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b/>
          <w:bCs/>
        </w:rPr>
        <w:t>Supporting Information Appendix B: Microcosm experiment</w:t>
      </w:r>
    </w:p>
    <w:p>
      <w:r>
        <w:rPr>
          <w:b/>
          <w:bCs/>
        </w:rPr>
        <w:t xml:space="preserve">SI B </w:t>
      </w:r>
      <w:r>
        <w:rPr>
          <w:rFonts w:hint="eastAsia"/>
          <w:b/>
          <w:bCs/>
        </w:rPr>
        <w:t>T</w:t>
      </w:r>
      <w:r>
        <w:rPr>
          <w:b/>
          <w:bCs/>
        </w:rPr>
        <w:t xml:space="preserve">able </w:t>
      </w:r>
      <w:r>
        <w:rPr>
          <w:rFonts w:hint="eastAsia"/>
          <w:b/>
          <w:bCs/>
        </w:rPr>
        <w:t>1</w:t>
      </w:r>
      <w:r>
        <w:rPr>
          <w:b/>
          <w:bCs/>
        </w:rPr>
        <w:t>:</w:t>
      </w:r>
      <w:r>
        <w:t xml:space="preserve"> Freshwater algae, zooplankton, and benthic invertebrates used as seeding material when constructing the microcosm</w:t>
      </w:r>
    </w:p>
    <w:tbl>
      <w:tblPr>
        <w:tblStyle w:val="9"/>
        <w:tblW w:w="8472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6"/>
        <w:gridCol w:w="2481"/>
        <w:gridCol w:w="406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19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48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Scientific name of species</w:t>
            </w:r>
          </w:p>
        </w:tc>
        <w:tc>
          <w:tcPr>
            <w:tcW w:w="406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Add abundance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Emergent invettebrate</w:t>
            </w:r>
          </w:p>
        </w:tc>
        <w:tc>
          <w:tcPr>
            <w:tcW w:w="248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Myriophyllum aquaticum</w:t>
            </w:r>
          </w:p>
        </w:tc>
        <w:tc>
          <w:tcPr>
            <w:tcW w:w="406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5 </w:t>
            </w:r>
            <w:r>
              <w:rPr>
                <w:rFonts w:hint="eastAsia" w:cs="Times New Roman"/>
                <w:sz w:val="18"/>
                <w:szCs w:val="18"/>
              </w:rPr>
              <w:t>individual/</w:t>
            </w:r>
            <w:r>
              <w:rPr>
                <w:rFonts w:cs="Times New Roman"/>
                <w:sz w:val="18"/>
                <w:szCs w:val="18"/>
              </w:rPr>
              <w:t>system, height 15 cm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single" w:color="auto" w:sz="4" w:space="0"/>
              <w:bottom w:val="nil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Phytoplankton </w:t>
            </w:r>
          </w:p>
        </w:tc>
        <w:tc>
          <w:tcPr>
            <w:tcW w:w="2481" w:type="dxa"/>
            <w:tcBorders>
              <w:top w:val="single" w:color="auto" w:sz="4" w:space="0"/>
              <w:bottom w:val="nil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Chlorella pyrenoidosa</w:t>
            </w:r>
          </w:p>
        </w:tc>
        <w:tc>
          <w:tcPr>
            <w:tcW w:w="4065" w:type="dxa"/>
            <w:tcBorders>
              <w:top w:val="single" w:color="auto" w:sz="4" w:space="0"/>
              <w:bottom w:val="nil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Concentration 1×10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cs="Times New Roman"/>
                <w:sz w:val="18"/>
                <w:szCs w:val="18"/>
              </w:rPr>
              <w:t xml:space="preserve"> cells∙mL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−1</w:t>
            </w:r>
            <w:r>
              <w:rPr>
                <w:rFonts w:cs="Times New Roman"/>
                <w:sz w:val="18"/>
                <w:szCs w:val="18"/>
              </w:rPr>
              <w:t>, add 3 mL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nil"/>
              <w:bottom w:val="nil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(freshwater </w:t>
            </w:r>
          </w:p>
        </w:tc>
        <w:tc>
          <w:tcPr>
            <w:tcW w:w="2481" w:type="dxa"/>
            <w:tcBorders>
              <w:top w:val="nil"/>
              <w:bottom w:val="nil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Scenedesmus quadricauda</w:t>
            </w:r>
          </w:p>
        </w:tc>
        <w:tc>
          <w:tcPr>
            <w:tcW w:w="4065" w:type="dxa"/>
            <w:tcBorders>
              <w:top w:val="nil"/>
              <w:bottom w:val="nil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Concentration 1×10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cs="Times New Roman"/>
                <w:sz w:val="18"/>
                <w:szCs w:val="18"/>
              </w:rPr>
              <w:t xml:space="preserve"> cells∙mL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−1</w:t>
            </w:r>
            <w:r>
              <w:rPr>
                <w:rFonts w:cs="Times New Roman"/>
                <w:sz w:val="18"/>
                <w:szCs w:val="18"/>
              </w:rPr>
              <w:t>, add 3 mL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nil"/>
              <w:bottom w:val="nil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Algae)</w:t>
            </w:r>
          </w:p>
        </w:tc>
        <w:tc>
          <w:tcPr>
            <w:tcW w:w="2481" w:type="dxa"/>
            <w:tcBorders>
              <w:top w:val="nil"/>
              <w:bottom w:val="nil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Selenastrum capricornutum</w:t>
            </w:r>
          </w:p>
        </w:tc>
        <w:tc>
          <w:tcPr>
            <w:tcW w:w="4065" w:type="dxa"/>
            <w:tcBorders>
              <w:top w:val="nil"/>
              <w:bottom w:val="nil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Concentration 1×10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cs="Times New Roman"/>
                <w:sz w:val="18"/>
                <w:szCs w:val="18"/>
              </w:rPr>
              <w:t xml:space="preserve"> cells∙mL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−1</w:t>
            </w:r>
            <w:r>
              <w:rPr>
                <w:rFonts w:cs="Times New Roman"/>
                <w:sz w:val="18"/>
                <w:szCs w:val="18"/>
              </w:rPr>
              <w:t>, add 3 mL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nil"/>
              <w:bottom w:val="single" w:color="auto" w:sz="4" w:space="0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481" w:type="dxa"/>
            <w:tcBorders>
              <w:top w:val="nil"/>
              <w:bottom w:val="single" w:color="auto" w:sz="4" w:space="0"/>
            </w:tcBorders>
          </w:tcPr>
          <w:p>
            <w:pPr>
              <w:rPr>
                <w:rFonts w:cs="Times New Roman"/>
                <w:i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Navicula</w:t>
            </w:r>
            <w:r>
              <w:rPr>
                <w:rFonts w:cs="Times New Roman"/>
                <w:sz w:val="18"/>
                <w:szCs w:val="18"/>
              </w:rPr>
              <w:t xml:space="preserve"> sp.</w:t>
            </w:r>
          </w:p>
        </w:tc>
        <w:tc>
          <w:tcPr>
            <w:tcW w:w="4065" w:type="dxa"/>
            <w:tcBorders>
              <w:top w:val="nil"/>
              <w:bottom w:val="single" w:color="auto" w:sz="4" w:space="0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Concentration 1×10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3</w:t>
            </w:r>
            <w:r>
              <w:rPr>
                <w:rFonts w:cs="Times New Roman"/>
                <w:sz w:val="18"/>
                <w:szCs w:val="18"/>
              </w:rPr>
              <w:t xml:space="preserve"> cells∙mL</w:t>
            </w:r>
            <w:r>
              <w:rPr>
                <w:rFonts w:cs="Times New Roman"/>
                <w:sz w:val="18"/>
                <w:szCs w:val="18"/>
                <w:vertAlign w:val="superscript"/>
              </w:rPr>
              <w:t>−1</w:t>
            </w:r>
            <w:r>
              <w:rPr>
                <w:rFonts w:cs="Times New Roman"/>
                <w:sz w:val="18"/>
                <w:szCs w:val="18"/>
              </w:rPr>
              <w:t>, add 3 mL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  <w:tcBorders>
              <w:top w:val="single" w:color="auto" w:sz="4" w:space="0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Zooplankton</w:t>
            </w:r>
          </w:p>
        </w:tc>
        <w:tc>
          <w:tcPr>
            <w:tcW w:w="2481" w:type="dxa"/>
            <w:tcBorders>
              <w:top w:val="single" w:color="auto" w:sz="4" w:space="0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Dolerocypris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  <w:r>
              <w:rPr>
                <w:rFonts w:cs="Times New Roman"/>
                <w:i/>
                <w:sz w:val="18"/>
                <w:szCs w:val="18"/>
              </w:rPr>
              <w:t>sinensis</w:t>
            </w:r>
          </w:p>
        </w:tc>
        <w:tc>
          <w:tcPr>
            <w:tcW w:w="4065" w:type="dxa"/>
            <w:tcBorders>
              <w:top w:val="single" w:color="auto" w:sz="4" w:space="0"/>
            </w:tcBorders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20 individual/system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</w:tcPr>
          <w:p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481" w:type="dxa"/>
          </w:tcPr>
          <w:p>
            <w:pPr>
              <w:rPr>
                <w:rFonts w:cs="Times New Roman"/>
                <w:sz w:val="18"/>
                <w:szCs w:val="18"/>
              </w:rPr>
            </w:pPr>
            <w:bookmarkStart w:id="0" w:name="_Hlk53498169"/>
            <w:r>
              <w:rPr>
                <w:rFonts w:cs="Times New Roman"/>
                <w:i/>
                <w:sz w:val="18"/>
                <w:szCs w:val="18"/>
              </w:rPr>
              <w:t>Brachionus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  <w:r>
              <w:rPr>
                <w:rFonts w:cs="Times New Roman"/>
                <w:i/>
                <w:sz w:val="18"/>
                <w:szCs w:val="18"/>
              </w:rPr>
              <w:t>calyciflorus</w:t>
            </w:r>
            <w:bookmarkEnd w:id="0"/>
          </w:p>
        </w:tc>
        <w:tc>
          <w:tcPr>
            <w:tcW w:w="4065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300 individual/system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</w:tcPr>
          <w:p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481" w:type="dxa"/>
          </w:tcPr>
          <w:p>
            <w:pPr>
              <w:rPr>
                <w:rFonts w:cs="Times New Roman"/>
                <w:sz w:val="18"/>
                <w:szCs w:val="18"/>
              </w:rPr>
            </w:pPr>
            <w:bookmarkStart w:id="1" w:name="_Hlk53498198"/>
            <w:r>
              <w:rPr>
                <w:rFonts w:cs="Times New Roman"/>
                <w:i/>
                <w:sz w:val="18"/>
                <w:szCs w:val="18"/>
              </w:rPr>
              <w:t>Polyarthra sp</w:t>
            </w:r>
            <w:r>
              <w:rPr>
                <w:rFonts w:cs="Times New Roman"/>
                <w:sz w:val="18"/>
                <w:szCs w:val="18"/>
              </w:rPr>
              <w:t>.</w:t>
            </w:r>
            <w:bookmarkEnd w:id="1"/>
          </w:p>
        </w:tc>
        <w:tc>
          <w:tcPr>
            <w:tcW w:w="4065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300 individual/system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</w:tcPr>
          <w:p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481" w:type="dxa"/>
          </w:tcPr>
          <w:p>
            <w:pPr>
              <w:rPr>
                <w:rFonts w:cs="Times New Roman"/>
                <w:sz w:val="18"/>
                <w:szCs w:val="18"/>
              </w:rPr>
            </w:pPr>
            <w:bookmarkStart w:id="2" w:name="_Hlk53496967"/>
            <w:r>
              <w:rPr>
                <w:rFonts w:cs="Times New Roman"/>
                <w:i/>
                <w:sz w:val="18"/>
                <w:szCs w:val="18"/>
              </w:rPr>
              <w:t>Eucyclops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  <w:r>
              <w:rPr>
                <w:rFonts w:cs="Times New Roman"/>
                <w:i/>
                <w:sz w:val="18"/>
                <w:szCs w:val="18"/>
              </w:rPr>
              <w:t>serrulatus</w:t>
            </w:r>
            <w:bookmarkEnd w:id="2"/>
          </w:p>
        </w:tc>
        <w:tc>
          <w:tcPr>
            <w:tcW w:w="4065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Adult of 400 individual/system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</w:tcPr>
          <w:p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481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Cypridopsis sp.</w:t>
            </w:r>
          </w:p>
        </w:tc>
        <w:tc>
          <w:tcPr>
            <w:tcW w:w="4065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Adult of 200 individual/system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</w:tcPr>
          <w:p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481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Scapholeberis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  <w:r>
              <w:rPr>
                <w:rFonts w:cs="Times New Roman"/>
                <w:i/>
                <w:sz w:val="18"/>
                <w:szCs w:val="18"/>
              </w:rPr>
              <w:t>mucronata</w:t>
            </w:r>
          </w:p>
        </w:tc>
        <w:tc>
          <w:tcPr>
            <w:tcW w:w="4065" w:type="dxa"/>
          </w:tcPr>
          <w:p>
            <w:pPr>
              <w:ind w:left="90" w:hanging="90" w:hangingChars="5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Newborn larvae (&lt;24 h), 70 individual/system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</w:tcPr>
          <w:p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481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Daphnia</w:t>
            </w:r>
            <w:r>
              <w:rPr>
                <w:rFonts w:cs="Times New Roman"/>
                <w:sz w:val="18"/>
                <w:szCs w:val="18"/>
              </w:rPr>
              <w:t xml:space="preserve"> </w:t>
            </w:r>
            <w:r>
              <w:rPr>
                <w:rFonts w:cs="Times New Roman"/>
                <w:i/>
                <w:sz w:val="18"/>
                <w:szCs w:val="18"/>
              </w:rPr>
              <w:t>carinata</w:t>
            </w:r>
          </w:p>
        </w:tc>
        <w:tc>
          <w:tcPr>
            <w:tcW w:w="4065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Newborn larvae (&lt;24 h), 40 individual/system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</w:tcPr>
          <w:p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481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Moina m</w:t>
            </w:r>
            <w:bookmarkStart w:id="12" w:name="_GoBack"/>
            <w:bookmarkEnd w:id="12"/>
            <w:r>
              <w:rPr>
                <w:rFonts w:cs="Times New Roman"/>
                <w:i/>
                <w:sz w:val="18"/>
                <w:szCs w:val="18"/>
              </w:rPr>
              <w:t>acrocopa</w:t>
            </w:r>
          </w:p>
        </w:tc>
        <w:tc>
          <w:tcPr>
            <w:tcW w:w="4065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Newborn larvae (&lt;24 h), 100 individual/system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Benthic inverberate</w:t>
            </w:r>
          </w:p>
        </w:tc>
        <w:tc>
          <w:tcPr>
            <w:tcW w:w="2481" w:type="dxa"/>
          </w:tcPr>
          <w:p>
            <w:pPr>
              <w:rPr>
                <w:rFonts w:cs="Times New Roman"/>
                <w:i/>
                <w:iCs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Neocaridina denticulata</w:t>
            </w:r>
          </w:p>
        </w:tc>
        <w:tc>
          <w:tcPr>
            <w:tcW w:w="4065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Adult without eggs, 30 individual/system; adult with eggs, 10 individual/system;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</w:tcPr>
          <w:p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481" w:type="dxa"/>
          </w:tcPr>
          <w:p>
            <w:pPr>
              <w:rPr>
                <w:rFonts w:cs="Times New Roman"/>
                <w:i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Dicrotendipes pelochloris</w:t>
            </w:r>
          </w:p>
        </w:tc>
        <w:tc>
          <w:tcPr>
            <w:tcW w:w="4065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first instar larvae, 40 individual/system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</w:tcPr>
          <w:p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481" w:type="dxa"/>
          </w:tcPr>
          <w:p>
            <w:pPr>
              <w:rPr>
                <w:rFonts w:cs="Times New Roman"/>
                <w:i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Physa acuta</w:t>
            </w:r>
          </w:p>
        </w:tc>
        <w:tc>
          <w:tcPr>
            <w:tcW w:w="4065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Length &gt; 4 mm, 10 individual/system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</w:tcPr>
          <w:p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481" w:type="dxa"/>
          </w:tcPr>
          <w:p>
            <w:pPr>
              <w:rPr>
                <w:rFonts w:cs="Times New Roman"/>
                <w:i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Corbicula fluminea</w:t>
            </w:r>
          </w:p>
        </w:tc>
        <w:tc>
          <w:tcPr>
            <w:tcW w:w="4065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Length &gt; 10 mm, 20 individual/system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</w:tcPr>
          <w:p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481" w:type="dxa"/>
          </w:tcPr>
          <w:p>
            <w:pPr>
              <w:rPr>
                <w:rFonts w:cs="Times New Roman"/>
                <w:i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Limnodrilus hoffmeisteri</w:t>
            </w:r>
          </w:p>
        </w:tc>
        <w:tc>
          <w:tcPr>
            <w:tcW w:w="4065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 individual/system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</w:tcPr>
          <w:p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481" w:type="dxa"/>
          </w:tcPr>
          <w:p>
            <w:pPr>
              <w:rPr>
                <w:rFonts w:cs="Times New Roman"/>
                <w:i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Branchiura sowerbyi</w:t>
            </w:r>
          </w:p>
        </w:tc>
        <w:tc>
          <w:tcPr>
            <w:tcW w:w="4065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20 individual/system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26" w:type="dxa"/>
          </w:tcPr>
          <w:p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481" w:type="dxa"/>
          </w:tcPr>
          <w:p>
            <w:pPr>
              <w:rPr>
                <w:rFonts w:cs="Times New Roman"/>
                <w:i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Dugesia japonica</w:t>
            </w:r>
          </w:p>
        </w:tc>
        <w:tc>
          <w:tcPr>
            <w:tcW w:w="4065" w:type="dxa"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 individual/system</w:t>
            </w:r>
          </w:p>
        </w:tc>
      </w:tr>
    </w:tbl>
    <w:p/>
    <w:p>
      <w:pPr>
        <w:widowControl/>
        <w:jc w:val="left"/>
      </w:pPr>
      <w:r>
        <w:br w:type="page"/>
      </w:r>
    </w:p>
    <w:p>
      <w:pPr>
        <w:rPr>
          <w:rFonts w:eastAsia="宋体"/>
        </w:rPr>
      </w:pPr>
      <w:r>
        <w:rPr>
          <w:b/>
          <w:bCs/>
        </w:rPr>
        <w:t>SI B Table</w:t>
      </w:r>
      <w:r>
        <w:rPr>
          <w:rFonts w:hint="eastAsia"/>
          <w:b/>
          <w:bCs/>
        </w:rPr>
        <w:t xml:space="preserve"> 2</w:t>
      </w:r>
      <w:r>
        <w:rPr>
          <w:rFonts w:hint="eastAsia"/>
        </w:rPr>
        <w:t xml:space="preserve"> </w:t>
      </w:r>
      <w:r>
        <w:t xml:space="preserve">: The </w:t>
      </w:r>
      <w:r>
        <w:rPr>
          <w:rFonts w:hint="eastAsia"/>
        </w:rPr>
        <w:t>concentration</w:t>
      </w:r>
      <w:r>
        <w:t xml:space="preserve"> of </w:t>
      </w:r>
      <w:r>
        <w:rPr>
          <w:rFonts w:hint="eastAsia"/>
        </w:rPr>
        <w:t>f</w:t>
      </w:r>
      <w:r>
        <w:t xml:space="preserve">ludioxonil </w:t>
      </w:r>
      <w:r>
        <w:rPr>
          <w:rFonts w:hint="eastAsia"/>
        </w:rPr>
        <w:t>in total sediment and overlying water on the 0 day</w:t>
      </w:r>
      <w:r>
        <w:t xml:space="preserve"> in microcosms that received different treatment-levels of fludioxonil (F2 – F5)</w:t>
      </w:r>
    </w:p>
    <w:tbl>
      <w:tblPr>
        <w:tblStyle w:val="8"/>
        <w:tblW w:w="4999" w:type="pct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7"/>
        <w:gridCol w:w="2178"/>
        <w:gridCol w:w="2073"/>
        <w:gridCol w:w="257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4" w:type="pc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0d</w:t>
            </w:r>
          </w:p>
        </w:tc>
        <w:tc>
          <w:tcPr>
            <w:tcW w:w="1306" w:type="pc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dry sediment</w:t>
            </w: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cs="Times New Roman"/>
                <w:szCs w:val="21"/>
                <w:lang w:val="en-GB"/>
              </w:rPr>
              <w:t>mg/kg</w:t>
            </w: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1243" w:type="pc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pore-water</w:t>
            </w: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cs="Times New Roman"/>
                <w:szCs w:val="21"/>
              </w:rPr>
              <w:t>μg/L</w:t>
            </w: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1545" w:type="pct"/>
            <w:tcBorders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overlying water</w:t>
            </w: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cs="Times New Roman"/>
                <w:szCs w:val="21"/>
              </w:rPr>
              <w:t>μg/L</w:t>
            </w:r>
            <w:r>
              <w:rPr>
                <w:rFonts w:cs="Times New Roman"/>
                <w:color w:val="000000"/>
                <w:kern w:val="0"/>
                <w:szCs w:val="21"/>
                <w:lang w:bidi="ar"/>
              </w:rPr>
              <w:t>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4" w:type="pct"/>
            <w:tcBorders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F2</w:t>
            </w:r>
          </w:p>
        </w:tc>
        <w:tc>
          <w:tcPr>
            <w:tcW w:w="1306" w:type="pct"/>
            <w:tcBorders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1.981</w:t>
            </w:r>
          </w:p>
        </w:tc>
        <w:tc>
          <w:tcPr>
            <w:tcW w:w="1243" w:type="pct"/>
            <w:tcBorders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10.676</w:t>
            </w:r>
          </w:p>
        </w:tc>
        <w:tc>
          <w:tcPr>
            <w:tcW w:w="1545" w:type="pct"/>
            <w:tcBorders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0.537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4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F2</w:t>
            </w:r>
          </w:p>
        </w:tc>
        <w:tc>
          <w:tcPr>
            <w:tcW w:w="1306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1.953</w:t>
            </w:r>
          </w:p>
        </w:tc>
        <w:tc>
          <w:tcPr>
            <w:tcW w:w="1243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10.842</w:t>
            </w:r>
          </w:p>
        </w:tc>
        <w:tc>
          <w:tcPr>
            <w:tcW w:w="1545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0.529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4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F2</w:t>
            </w:r>
          </w:p>
        </w:tc>
        <w:tc>
          <w:tcPr>
            <w:tcW w:w="1306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1.96</w:t>
            </w:r>
          </w:p>
        </w:tc>
        <w:tc>
          <w:tcPr>
            <w:tcW w:w="1243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10.734</w:t>
            </w:r>
          </w:p>
        </w:tc>
        <w:tc>
          <w:tcPr>
            <w:tcW w:w="1545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0.538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4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F3</w:t>
            </w:r>
          </w:p>
        </w:tc>
        <w:tc>
          <w:tcPr>
            <w:tcW w:w="1306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6.142</w:t>
            </w:r>
          </w:p>
        </w:tc>
        <w:tc>
          <w:tcPr>
            <w:tcW w:w="1243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34.451</w:t>
            </w:r>
          </w:p>
        </w:tc>
        <w:tc>
          <w:tcPr>
            <w:tcW w:w="1545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1.709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4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F3</w:t>
            </w:r>
          </w:p>
        </w:tc>
        <w:tc>
          <w:tcPr>
            <w:tcW w:w="1306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6.21</w:t>
            </w:r>
          </w:p>
        </w:tc>
        <w:tc>
          <w:tcPr>
            <w:tcW w:w="1243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34.253</w:t>
            </w:r>
          </w:p>
        </w:tc>
        <w:tc>
          <w:tcPr>
            <w:tcW w:w="1545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1.715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4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F3</w:t>
            </w:r>
          </w:p>
        </w:tc>
        <w:tc>
          <w:tcPr>
            <w:tcW w:w="1306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6.172</w:t>
            </w:r>
          </w:p>
        </w:tc>
        <w:tc>
          <w:tcPr>
            <w:tcW w:w="1243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34.601</w:t>
            </w:r>
          </w:p>
        </w:tc>
        <w:tc>
          <w:tcPr>
            <w:tcW w:w="1545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1.722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4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F4</w:t>
            </w:r>
          </w:p>
        </w:tc>
        <w:tc>
          <w:tcPr>
            <w:tcW w:w="1306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17.642</w:t>
            </w:r>
          </w:p>
        </w:tc>
        <w:tc>
          <w:tcPr>
            <w:tcW w:w="1243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109.92</w:t>
            </w:r>
          </w:p>
        </w:tc>
        <w:tc>
          <w:tcPr>
            <w:tcW w:w="1545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5.506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4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F4</w:t>
            </w:r>
          </w:p>
        </w:tc>
        <w:tc>
          <w:tcPr>
            <w:tcW w:w="1306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17.44</w:t>
            </w:r>
          </w:p>
        </w:tc>
        <w:tc>
          <w:tcPr>
            <w:tcW w:w="1243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108.841</w:t>
            </w:r>
          </w:p>
        </w:tc>
        <w:tc>
          <w:tcPr>
            <w:tcW w:w="1545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5.492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4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F4</w:t>
            </w:r>
          </w:p>
        </w:tc>
        <w:tc>
          <w:tcPr>
            <w:tcW w:w="1306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17.492</w:t>
            </w:r>
          </w:p>
        </w:tc>
        <w:tc>
          <w:tcPr>
            <w:tcW w:w="1243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110.025</w:t>
            </w:r>
          </w:p>
        </w:tc>
        <w:tc>
          <w:tcPr>
            <w:tcW w:w="1545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5.457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4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F5</w:t>
            </w:r>
          </w:p>
        </w:tc>
        <w:tc>
          <w:tcPr>
            <w:tcW w:w="1306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51.672</w:t>
            </w:r>
          </w:p>
        </w:tc>
        <w:tc>
          <w:tcPr>
            <w:tcW w:w="1243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452.947</w:t>
            </w:r>
          </w:p>
        </w:tc>
        <w:tc>
          <w:tcPr>
            <w:tcW w:w="1545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22.712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4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F5</w:t>
            </w:r>
          </w:p>
        </w:tc>
        <w:tc>
          <w:tcPr>
            <w:tcW w:w="1306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51.431</w:t>
            </w:r>
          </w:p>
        </w:tc>
        <w:tc>
          <w:tcPr>
            <w:tcW w:w="1243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456.165</w:t>
            </w:r>
          </w:p>
        </w:tc>
        <w:tc>
          <w:tcPr>
            <w:tcW w:w="1545" w:type="pct"/>
            <w:tcBorders>
              <w:top w:val="nil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22.684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904" w:type="pct"/>
            <w:tcBorders>
              <w:top w:val="nil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F5</w:t>
            </w:r>
          </w:p>
        </w:tc>
        <w:tc>
          <w:tcPr>
            <w:tcW w:w="1306" w:type="pct"/>
            <w:tcBorders>
              <w:top w:val="nil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51.248</w:t>
            </w:r>
          </w:p>
        </w:tc>
        <w:tc>
          <w:tcPr>
            <w:tcW w:w="1243" w:type="pct"/>
            <w:tcBorders>
              <w:top w:val="nil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455.814</w:t>
            </w:r>
          </w:p>
        </w:tc>
        <w:tc>
          <w:tcPr>
            <w:tcW w:w="1545" w:type="pct"/>
            <w:tcBorders>
              <w:top w:val="nil"/>
              <w:tl2br w:val="nil"/>
              <w:tr2bl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right"/>
              <w:textAlignment w:val="bottom"/>
              <w:rPr>
                <w:rFonts w:eastAsia="宋体" w:cs="Times New Roman"/>
                <w:color w:val="000000"/>
                <w:szCs w:val="21"/>
              </w:rPr>
            </w:pPr>
            <w:r>
              <w:rPr>
                <w:rFonts w:eastAsia="宋体" w:cs="Times New Roman"/>
                <w:color w:val="000000"/>
                <w:kern w:val="0"/>
                <w:szCs w:val="21"/>
                <w:lang w:bidi="ar"/>
              </w:rPr>
              <w:t>22.849</w:t>
            </w:r>
          </w:p>
        </w:tc>
      </w:tr>
    </w:tbl>
    <w:p/>
    <w:p/>
    <w:p>
      <w:pPr>
        <w:widowControl/>
        <w:jc w:val="left"/>
        <w:rPr>
          <w:rFonts w:cs="Times New Roman"/>
          <w:kern w:val="0"/>
        </w:rPr>
      </w:pPr>
      <w:bookmarkStart w:id="3" w:name="_Hlk48998098"/>
      <w:r>
        <w:rPr>
          <w:rFonts w:cs="Times New Roman"/>
          <w:kern w:val="0"/>
        </w:rPr>
        <w:br w:type="page"/>
      </w:r>
    </w:p>
    <w:p>
      <w:pPr>
        <w:jc w:val="left"/>
        <w:rPr>
          <w:rFonts w:cs="Times New Roman"/>
          <w:kern w:val="0"/>
        </w:rPr>
      </w:pPr>
      <w:r>
        <w:rPr>
          <w:rFonts w:cs="Times New Roman"/>
          <w:b/>
          <w:bCs/>
          <w:kern w:val="0"/>
        </w:rPr>
        <w:t>SI B Table 3:</w:t>
      </w:r>
      <w:r>
        <w:rPr>
          <w:rFonts w:cs="Times New Roman"/>
          <w:kern w:val="0"/>
        </w:rPr>
        <w:t xml:space="preserve"> Effects of Fludioxonil on macrobenthos Species Abundance: </w:t>
      </w:r>
      <w:r>
        <w:rPr>
          <w:rFonts w:hint="eastAsia" w:hAnsi="宋体" w:eastAsia="宋体" w:cs="Times New Roman"/>
          <w:sz w:val="18"/>
          <w:szCs w:val="18"/>
        </w:rPr>
        <w:t xml:space="preserve">↘ </w:t>
      </w:r>
      <w:r>
        <w:rPr>
          <w:rFonts w:hAnsi="宋体" w:eastAsia="宋体" w:cs="Times New Roman"/>
          <w:sz w:val="18"/>
          <w:szCs w:val="18"/>
        </w:rPr>
        <w:t xml:space="preserve">= mean decline; </w:t>
      </w:r>
      <w:r>
        <w:rPr>
          <w:rFonts w:hint="eastAsia" w:hAnsi="宋体" w:eastAsia="宋体" w:cs="Times New Roman"/>
          <w:sz w:val="18"/>
          <w:szCs w:val="18"/>
        </w:rPr>
        <w:t xml:space="preserve">↗ </w:t>
      </w:r>
      <w:r>
        <w:rPr>
          <w:rFonts w:hAnsi="宋体" w:eastAsia="宋体" w:cs="Times New Roman"/>
          <w:sz w:val="18"/>
          <w:szCs w:val="18"/>
        </w:rPr>
        <w:t xml:space="preserve">= mean increase; </w:t>
      </w:r>
      <w:r>
        <w:rPr>
          <w:rFonts w:cs="Times New Roman"/>
          <w:sz w:val="18"/>
          <w:szCs w:val="18"/>
        </w:rPr>
        <w:t>* = statistically different</w:t>
      </w:r>
    </w:p>
    <w:tbl>
      <w:tblPr>
        <w:tblStyle w:val="8"/>
        <w:tblW w:w="9322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6"/>
        <w:gridCol w:w="2293"/>
        <w:gridCol w:w="709"/>
        <w:gridCol w:w="1134"/>
        <w:gridCol w:w="1134"/>
        <w:gridCol w:w="945"/>
        <w:gridCol w:w="146"/>
        <w:gridCol w:w="1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26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</w:tcPr>
          <w:p>
            <w:pPr>
              <w:jc w:val="left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Species</w:t>
            </w:r>
          </w:p>
        </w:tc>
        <w:tc>
          <w:tcPr>
            <w:tcW w:w="229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</w:tcPr>
          <w:p>
            <w:pPr>
              <w:ind w:left="360" w:hanging="360" w:hangingChars="200"/>
              <w:jc w:val="left"/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Actual concentration Sediment</w:t>
            </w:r>
            <w:r>
              <w:rPr>
                <w:rFonts w:hint="eastAsia" w:eastAsia="宋体" w:cs="Times New Roman"/>
                <w:sz w:val="18"/>
                <w:szCs w:val="18"/>
              </w:rPr>
              <w:t>（</w:t>
            </w:r>
            <w:r>
              <w:rPr>
                <w:rFonts w:cs="Times New Roman"/>
                <w:sz w:val="18"/>
                <w:szCs w:val="18"/>
              </w:rPr>
              <w:t>0d</w:t>
            </w:r>
            <w:r>
              <w:rPr>
                <w:rFonts w:hint="eastAsia" w:cs="Times New Roman"/>
                <w:sz w:val="18"/>
                <w:szCs w:val="18"/>
              </w:rPr>
              <w:t>）</w:t>
            </w:r>
          </w:p>
        </w:tc>
        <w:tc>
          <w:tcPr>
            <w:tcW w:w="70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</w:tcPr>
          <w:p>
            <w:pPr>
              <w:jc w:val="left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0d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</w:tcPr>
          <w:p>
            <w:pPr>
              <w:jc w:val="left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10d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</w:tcPr>
          <w:p>
            <w:pPr>
              <w:jc w:val="left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20d</w:t>
            </w:r>
          </w:p>
        </w:tc>
        <w:tc>
          <w:tcPr>
            <w:tcW w:w="94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</w:tcPr>
          <w:p>
            <w:pPr>
              <w:jc w:val="left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30d</w:t>
            </w:r>
          </w:p>
        </w:tc>
        <w:tc>
          <w:tcPr>
            <w:tcW w:w="1181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noWrap/>
          </w:tcPr>
          <w:p>
            <w:pPr>
              <w:jc w:val="left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40d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26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Limnodrilus hoffmeisteri</w:t>
            </w:r>
          </w:p>
        </w:tc>
        <w:tc>
          <w:tcPr>
            <w:tcW w:w="229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Blank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94±0.8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90</w:t>
            </w:r>
            <w:r>
              <w:rPr>
                <w:rFonts w:hint="eastAsia" w:cs="Times New Roman"/>
                <w:sz w:val="18"/>
                <w:szCs w:val="18"/>
              </w:rPr>
              <w:t>.</w:t>
            </w:r>
            <w:r>
              <w:rPr>
                <w:rFonts w:cs="Times New Roman"/>
                <w:sz w:val="18"/>
                <w:szCs w:val="18"/>
              </w:rPr>
              <w:t>3±1.7</w:t>
            </w:r>
          </w:p>
        </w:tc>
        <w:tc>
          <w:tcPr>
            <w:tcW w:w="109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92±1.6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347.7±13.9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tbl>
            <w:tblPr>
              <w:tblStyle w:val="8"/>
              <w:tblW w:w="0" w:type="auto"/>
              <w:tblInd w:w="0" w:type="dxa"/>
              <w:shd w:val="clear" w:color="auto" w:fill="FFFFFF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"/>
              <w:gridCol w:w="6"/>
            </w:tblGrid>
            <w:tr>
              <w:tblPrEx>
                <w:shd w:val="clear" w:color="auto" w:fill="FFFFFF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Acetone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↗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↗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1.96±0.01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↗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6.17±0.03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17.52±0.09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↗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51.5±0.17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26" w:type="dxa"/>
            <w:vMerge w:val="restart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Branchiurasowerbyi</w:t>
            </w: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Blank</w:t>
            </w:r>
          </w:p>
        </w:tc>
        <w:tc>
          <w:tcPr>
            <w:tcW w:w="709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20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18.3±1.7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18.7±3.9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17.6±1.2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123.3±13.9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tbl>
            <w:tblPr>
              <w:tblStyle w:val="8"/>
              <w:tblW w:w="0" w:type="auto"/>
              <w:tblInd w:w="0" w:type="dxa"/>
              <w:shd w:val="clear" w:color="auto" w:fill="FFFFFF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"/>
              <w:gridCol w:w="6"/>
            </w:tblGrid>
            <w:tr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Acetone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1.96±0.01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6.17±0.03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17.52±0.09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51.5±0.17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hAnsi="宋体" w:eastAsia="宋体" w:cs="Times New Roman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26" w:type="dxa"/>
            <w:vMerge w:val="restart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i/>
                <w:iCs/>
                <w:sz w:val="18"/>
                <w:szCs w:val="18"/>
              </w:rPr>
              <w:t>Neocaridinadenticulata</w:t>
            </w: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Blank</w:t>
            </w:r>
          </w:p>
        </w:tc>
        <w:tc>
          <w:tcPr>
            <w:tcW w:w="709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40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55.3±2.6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73.3±7.4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53.3±11.4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53.3±10.5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tbl>
            <w:tblPr>
              <w:tblStyle w:val="8"/>
              <w:tblW w:w="0" w:type="auto"/>
              <w:tblInd w:w="0" w:type="dxa"/>
              <w:shd w:val="clear" w:color="auto" w:fill="FFFFFF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"/>
              <w:gridCol w:w="6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Acetone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1.96±0.01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6.17±0.03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17.52±0.09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51.5±0.17</w:t>
            </w:r>
          </w:p>
        </w:tc>
        <w:tc>
          <w:tcPr>
            <w:tcW w:w="709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ND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26" w:type="dxa"/>
            <w:vMerge w:val="restart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Corbicula fluminea</w:t>
            </w: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Blank</w:t>
            </w:r>
          </w:p>
        </w:tc>
        <w:tc>
          <w:tcPr>
            <w:tcW w:w="709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20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16.6±0.9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18.3±0.5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18.3±1.2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15.3±1.2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tbl>
            <w:tblPr>
              <w:tblStyle w:val="8"/>
              <w:tblW w:w="0" w:type="auto"/>
              <w:tblInd w:w="0" w:type="dxa"/>
              <w:shd w:val="clear" w:color="auto" w:fill="FFFFFF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"/>
              <w:gridCol w:w="6"/>
            </w:tblGrid>
            <w:tr>
              <w:tblPrEx>
                <w:shd w:val="clear" w:color="auto" w:fill="FFFFFF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Acetone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1.96±0.01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6.17±0.03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17.52±0.09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51.5±0.17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26" w:type="dxa"/>
            <w:vMerge w:val="restart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Physa acuta</w:t>
            </w: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Blank</w:t>
            </w:r>
          </w:p>
        </w:tc>
        <w:tc>
          <w:tcPr>
            <w:tcW w:w="709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18.3±3.3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45.3±5.3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58.3±7.4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89.3±11.8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tbl>
            <w:tblPr>
              <w:tblStyle w:val="8"/>
              <w:tblW w:w="0" w:type="auto"/>
              <w:tblInd w:w="0" w:type="dxa"/>
              <w:shd w:val="clear" w:color="auto" w:fill="FFFFFF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"/>
              <w:gridCol w:w="6"/>
            </w:tblGrid>
            <w:tr>
              <w:tblPrEx>
                <w:shd w:val="clear" w:color="auto" w:fill="FFFFFF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Acetone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1.96±0.01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6.17±0.03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17.52±0.09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51.5±0.17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26" w:type="dxa"/>
            <w:vMerge w:val="restart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Dugesia japonica</w:t>
            </w: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Blank</w:t>
            </w:r>
          </w:p>
        </w:tc>
        <w:tc>
          <w:tcPr>
            <w:tcW w:w="709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10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13.7±2.5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17.3±2.1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21.3±1.2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25.3±3.7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tbl>
            <w:tblPr>
              <w:tblStyle w:val="8"/>
              <w:tblW w:w="0" w:type="auto"/>
              <w:tblInd w:w="0" w:type="dxa"/>
              <w:shd w:val="clear" w:color="auto" w:fill="FFFFFF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"/>
              <w:gridCol w:w="6"/>
            </w:tblGrid>
            <w:tr>
              <w:tblPrEx>
                <w:shd w:val="clear" w:color="auto" w:fill="FFFFFF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Acetone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1.96±0.01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6.17±0.03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17.52±0.09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51.5±0.17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26" w:type="dxa"/>
            <w:vMerge w:val="restart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i/>
                <w:sz w:val="18"/>
                <w:szCs w:val="18"/>
              </w:rPr>
              <w:t>Dicrotendipes weiqiangensi</w:t>
            </w: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Blank</w:t>
            </w:r>
          </w:p>
        </w:tc>
        <w:tc>
          <w:tcPr>
            <w:tcW w:w="709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40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35.3±0.9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34.3±2.5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41.3±8.6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37.3±6.9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tbl>
            <w:tblPr>
              <w:tblStyle w:val="8"/>
              <w:tblW w:w="0" w:type="auto"/>
              <w:tblInd w:w="0" w:type="dxa"/>
              <w:shd w:val="clear" w:color="auto" w:fill="FFFFFF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"/>
              <w:gridCol w:w="6"/>
            </w:tblGrid>
            <w:tr>
              <w:tblPrEx>
                <w:shd w:val="clear" w:color="auto" w:fill="FFFFFF"/>
              </w:tblPrEx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Acetone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1.96±0.01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6.17±0.03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17.52±0.09</w:t>
            </w:r>
          </w:p>
        </w:tc>
        <w:tc>
          <w:tcPr>
            <w:tcW w:w="709" w:type="dxa"/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34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945" w:type="dxa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81" w:type="dxa"/>
            <w:gridSpan w:val="2"/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2293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51.5±0.17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widowControl/>
              <w:jc w:val="left"/>
              <w:rPr>
                <w:rFonts w:eastAsia="宋体" w:asciiTheme="minorHAnsi" w:hAnsiTheme="minorHAns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  <w:r>
              <w:rPr>
                <w:rFonts w:cs="Times New Roman"/>
                <w:sz w:val="18"/>
                <w:szCs w:val="18"/>
              </w:rPr>
              <w:t>*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  <w:tc>
          <w:tcPr>
            <w:tcW w:w="1181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rPr>
                <w:rFonts w:cs="Times New Roman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↘</w:t>
            </w:r>
          </w:p>
        </w:tc>
      </w:tr>
    </w:tbl>
    <w:p>
      <w:pPr>
        <w:jc w:val="center"/>
        <w:rPr>
          <w:rFonts w:cs="Times New Roman"/>
          <w:kern w:val="0"/>
        </w:rPr>
      </w:pPr>
      <w:r>
        <w:rPr>
          <w:rFonts w:cs="Times New Roman"/>
          <w:kern w:val="0"/>
        </w:rPr>
        <w:t>Note</w:t>
      </w:r>
      <w:r>
        <w:rPr>
          <w:rFonts w:hint="eastAsia" w:cs="Times New Roman"/>
          <w:kern w:val="0"/>
        </w:rPr>
        <w:t>：</w:t>
      </w:r>
      <w:r>
        <w:rPr>
          <w:rFonts w:cs="Times New Roman"/>
          <w:kern w:val="0"/>
        </w:rPr>
        <w:t>see SI B Fig. 4</w:t>
      </w:r>
    </w:p>
    <w:p>
      <w:pPr>
        <w:spacing w:before="312" w:beforeLines="100"/>
        <w:jc w:val="center"/>
        <w:rPr>
          <w:rFonts w:cs="Times New Roman"/>
          <w:kern w:val="0"/>
          <w:highlight w:val="yellow"/>
        </w:rPr>
      </w:pPr>
    </w:p>
    <w:p>
      <w:pPr>
        <w:spacing w:before="312" w:beforeLines="100"/>
        <w:rPr>
          <w:rFonts w:cs="Times New Roman"/>
          <w:kern w:val="0"/>
          <w:highlight w:val="yellow"/>
        </w:rPr>
      </w:pPr>
    </w:p>
    <w:p>
      <w:pPr>
        <w:jc w:val="left"/>
        <w:rPr>
          <w:rFonts w:cs="Times New Roman"/>
          <w:kern w:val="0"/>
        </w:rPr>
      </w:pPr>
      <w:r>
        <w:rPr>
          <w:rFonts w:cs="Times New Roman"/>
          <w:b/>
          <w:bCs/>
          <w:kern w:val="0"/>
        </w:rPr>
        <w:t>SI B Table 4:</w:t>
      </w:r>
      <w:r>
        <w:rPr>
          <w:rFonts w:cs="Times New Roman"/>
          <w:kern w:val="0"/>
        </w:rPr>
        <w:t xml:space="preserve"> Effects of Fludioxonil on Zooplankton Species Abundance: </w:t>
      </w:r>
      <w:r>
        <w:rPr>
          <w:rFonts w:hint="eastAsia" w:hAnsi="宋体" w:eastAsia="宋体" w:cs="Times New Roman"/>
          <w:sz w:val="18"/>
          <w:szCs w:val="18"/>
        </w:rPr>
        <w:t xml:space="preserve">↘ </w:t>
      </w:r>
      <w:r>
        <w:rPr>
          <w:rFonts w:hAnsi="宋体" w:eastAsia="宋体" w:cs="Times New Roman"/>
          <w:sz w:val="18"/>
          <w:szCs w:val="18"/>
        </w:rPr>
        <w:t xml:space="preserve">= mean decline; </w:t>
      </w:r>
      <w:r>
        <w:rPr>
          <w:rFonts w:hint="eastAsia" w:hAnsi="宋体" w:eastAsia="宋体" w:cs="Times New Roman"/>
          <w:sz w:val="18"/>
          <w:szCs w:val="18"/>
        </w:rPr>
        <w:t xml:space="preserve">↗ </w:t>
      </w:r>
      <w:r>
        <w:rPr>
          <w:rFonts w:hAnsi="宋体" w:eastAsia="宋体" w:cs="Times New Roman"/>
          <w:sz w:val="18"/>
          <w:szCs w:val="18"/>
        </w:rPr>
        <w:t xml:space="preserve">= mean increase; </w:t>
      </w:r>
      <w:r>
        <w:rPr>
          <w:rFonts w:cs="Times New Roman"/>
          <w:sz w:val="18"/>
          <w:szCs w:val="18"/>
        </w:rPr>
        <w:t>* = statistically different</w:t>
      </w:r>
    </w:p>
    <w:tbl>
      <w:tblPr>
        <w:tblStyle w:val="12"/>
        <w:tblW w:w="93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1481"/>
        <w:gridCol w:w="694"/>
        <w:gridCol w:w="1406"/>
        <w:gridCol w:w="1172"/>
        <w:gridCol w:w="1380"/>
        <w:gridCol w:w="12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86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Species</w:t>
            </w:r>
          </w:p>
        </w:tc>
        <w:tc>
          <w:tcPr>
            <w:tcW w:w="148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Actual  concentration Sediment</w:t>
            </w:r>
            <w:r>
              <w:rPr>
                <w:rFonts w:hint="eastAsia" w:eastAsia="宋体" w:cs="Times New Roman"/>
                <w:sz w:val="18"/>
                <w:szCs w:val="18"/>
              </w:rPr>
              <w:t>（</w:t>
            </w:r>
            <w:r>
              <w:rPr>
                <w:rFonts w:eastAsia="Times New Roman" w:cs="Times New Roman"/>
                <w:sz w:val="18"/>
                <w:szCs w:val="18"/>
              </w:rPr>
              <w:t>0d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69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0d</w:t>
            </w:r>
          </w:p>
        </w:tc>
        <w:tc>
          <w:tcPr>
            <w:tcW w:w="1406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10d</w:t>
            </w:r>
          </w:p>
        </w:tc>
        <w:tc>
          <w:tcPr>
            <w:tcW w:w="117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20d</w:t>
            </w:r>
          </w:p>
        </w:tc>
        <w:tc>
          <w:tcPr>
            <w:tcW w:w="138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30d</w:t>
            </w:r>
          </w:p>
        </w:tc>
        <w:tc>
          <w:tcPr>
            <w:tcW w:w="1276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  <w:insideH w:val="single" w:sz="4" w:space="0"/>
            </w:tcBorders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40d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86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i/>
                <w:sz w:val="18"/>
                <w:szCs w:val="18"/>
              </w:rPr>
              <w:t>Daphnia carinata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Blank</w:t>
            </w:r>
          </w:p>
        </w:tc>
        <w:tc>
          <w:tcPr>
            <w:tcW w:w="69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40</w:t>
            </w:r>
          </w:p>
        </w:tc>
        <w:tc>
          <w:tcPr>
            <w:tcW w:w="140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121.3±3.7</w:t>
            </w:r>
          </w:p>
        </w:tc>
        <w:tc>
          <w:tcPr>
            <w:tcW w:w="117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95.3±6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76.3±12.3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62.7±18.8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</w:rPr>
            </w:pPr>
          </w:p>
        </w:tc>
        <w:tc>
          <w:tcPr>
            <w:tcW w:w="1481" w:type="dxa"/>
            <w:noWrap/>
          </w:tcPr>
          <w:tbl>
            <w:tblPr>
              <w:tblStyle w:val="8"/>
              <w:tblW w:w="0" w:type="auto"/>
              <w:tblInd w:w="0" w:type="dxa"/>
              <w:shd w:val="clear" w:color="auto" w:fill="FFFFFF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"/>
              <w:gridCol w:w="6"/>
            </w:tblGrid>
            <w:tr>
              <w:tblPrEx>
                <w:shd w:val="clear" w:color="auto" w:fill="FFFFFF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Acetone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1.96±0.01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6.17±0.03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17.52±0.09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51.5±0.17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86" w:type="dxa"/>
            <w:vMerge w:val="restart"/>
            <w:noWrap/>
          </w:tcPr>
          <w:p>
            <w:pPr>
              <w:rPr>
                <w:rFonts w:cs="Times New Roman"/>
                <w:i/>
                <w:sz w:val="18"/>
                <w:szCs w:val="18"/>
              </w:rPr>
            </w:pPr>
            <w:r>
              <w:rPr>
                <w:rFonts w:eastAsia="Times New Roman" w:cs="Times New Roman"/>
                <w:i/>
                <w:sz w:val="18"/>
                <w:szCs w:val="18"/>
              </w:rPr>
              <w:t>Moina macrocopa</w:t>
            </w: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Blank</w:t>
            </w:r>
          </w:p>
        </w:tc>
        <w:tc>
          <w:tcPr>
            <w:tcW w:w="694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100</w:t>
            </w: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236.3±33.8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363.3±18.7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322.3±23.6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306.3±25.7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tbl>
            <w:tblPr>
              <w:tblStyle w:val="8"/>
              <w:tblW w:w="0" w:type="auto"/>
              <w:tblInd w:w="0" w:type="dxa"/>
              <w:shd w:val="clear" w:color="auto" w:fill="FFFFFF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"/>
              <w:gridCol w:w="6"/>
            </w:tblGrid>
            <w:tr>
              <w:tblPrEx>
                <w:shd w:val="clear" w:color="auto" w:fill="FFFFFF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Acetone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1.96±0.01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6.17±0.03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17.52±0.09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51.5±0.17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86" w:type="dxa"/>
            <w:vMerge w:val="restart"/>
            <w:noWrap/>
          </w:tcPr>
          <w:p>
            <w:pPr>
              <w:rPr>
                <w:rFonts w:cs="Times New Roman"/>
                <w:i/>
                <w:sz w:val="18"/>
                <w:szCs w:val="18"/>
              </w:rPr>
            </w:pPr>
            <w:r>
              <w:rPr>
                <w:rFonts w:eastAsia="Times New Roman" w:cs="Times New Roman"/>
                <w:i/>
                <w:sz w:val="18"/>
                <w:szCs w:val="18"/>
              </w:rPr>
              <w:t>Scapholeberis mucronata</w:t>
            </w: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Blank</w:t>
            </w:r>
          </w:p>
        </w:tc>
        <w:tc>
          <w:tcPr>
            <w:tcW w:w="694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70</w:t>
            </w: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173.3±38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146.3±30.6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137.3±21.6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143.3±35.1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tbl>
            <w:tblPr>
              <w:tblStyle w:val="8"/>
              <w:tblW w:w="0" w:type="auto"/>
              <w:tblInd w:w="0" w:type="dxa"/>
              <w:shd w:val="clear" w:color="auto" w:fill="FFFFFF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"/>
              <w:gridCol w:w="6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Acetone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1.96±0.01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6.17±0.03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17.52±0.09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51.5±0.17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86" w:type="dxa"/>
            <w:vMerge w:val="restart"/>
            <w:noWrap/>
          </w:tcPr>
          <w:p>
            <w:pPr>
              <w:rPr>
                <w:rFonts w:cs="Times New Roman"/>
                <w:i/>
                <w:sz w:val="18"/>
                <w:szCs w:val="18"/>
              </w:rPr>
            </w:pPr>
            <w:r>
              <w:rPr>
                <w:rFonts w:eastAsia="Times New Roman" w:cs="Times New Roman"/>
                <w:i/>
                <w:sz w:val="18"/>
                <w:szCs w:val="18"/>
              </w:rPr>
              <w:t>Eucyelops serrulatus</w:t>
            </w: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Blank</w:t>
            </w:r>
          </w:p>
        </w:tc>
        <w:tc>
          <w:tcPr>
            <w:tcW w:w="694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400</w:t>
            </w: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473.3±4.5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373.7±2.1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367.3±7.4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346.3±8.6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tbl>
            <w:tblPr>
              <w:tblStyle w:val="8"/>
              <w:tblW w:w="0" w:type="auto"/>
              <w:tblInd w:w="0" w:type="dxa"/>
              <w:shd w:val="clear" w:color="auto" w:fill="FFFFFF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"/>
              <w:gridCol w:w="6"/>
            </w:tblGrid>
            <w:tr>
              <w:tblPrEx>
                <w:shd w:val="clear" w:color="auto" w:fill="FFFFFF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Acetone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1.96±0.01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6.17±0.03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17.52±0.09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51.5±0.17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86" w:type="dxa"/>
            <w:vMerge w:val="restart"/>
            <w:noWrap/>
          </w:tcPr>
          <w:p>
            <w:pPr>
              <w:rPr>
                <w:rFonts w:cs="Times New Roman"/>
                <w:i/>
                <w:sz w:val="18"/>
                <w:szCs w:val="18"/>
              </w:rPr>
            </w:pPr>
            <w:r>
              <w:rPr>
                <w:rFonts w:eastAsia="Times New Roman" w:cs="Times New Roman"/>
                <w:i/>
                <w:sz w:val="18"/>
                <w:szCs w:val="18"/>
              </w:rPr>
              <w:t>Brachionus calyciflorus</w:t>
            </w: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Blank</w:t>
            </w:r>
          </w:p>
        </w:tc>
        <w:tc>
          <w:tcPr>
            <w:tcW w:w="694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300</w:t>
            </w: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450.7±26.5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405.3±46.9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440.7±34.7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427.3±29.8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tbl>
            <w:tblPr>
              <w:tblStyle w:val="8"/>
              <w:tblW w:w="0" w:type="auto"/>
              <w:tblInd w:w="0" w:type="dxa"/>
              <w:shd w:val="clear" w:color="auto" w:fill="FFFFFF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"/>
              <w:gridCol w:w="6"/>
            </w:tblGrid>
            <w:tr>
              <w:tblPrEx>
                <w:shd w:val="clear" w:color="auto" w:fill="FFFFFF"/>
              </w:tblPrEx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Acetone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1.96±0.01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6.17±0.03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17.52±0.09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cs="Times New Roman"/>
                <w:i/>
                <w:sz w:val="18"/>
                <w:szCs w:val="18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51.5±0.17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86" w:type="dxa"/>
            <w:vMerge w:val="restart"/>
            <w:noWrap/>
          </w:tcPr>
          <w:p>
            <w:pPr>
              <w:rPr>
                <w:rFonts w:eastAsia="Times New Roman" w:cs="Times New Roman"/>
                <w:i/>
              </w:rPr>
            </w:pPr>
            <w:r>
              <w:rPr>
                <w:rFonts w:eastAsia="Times New Roman" w:cs="Times New Roman"/>
                <w:i/>
                <w:sz w:val="18"/>
                <w:szCs w:val="18"/>
              </w:rPr>
              <w:t>Polyarthra  sp.</w:t>
            </w: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Blank</w:t>
            </w:r>
          </w:p>
        </w:tc>
        <w:tc>
          <w:tcPr>
            <w:tcW w:w="694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300</w:t>
            </w: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540.3±20.4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674.3±66.5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588.7±60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634.3±47.8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  <w:i/>
              </w:rPr>
            </w:pPr>
          </w:p>
        </w:tc>
        <w:tc>
          <w:tcPr>
            <w:tcW w:w="1481" w:type="dxa"/>
            <w:noWrap/>
          </w:tcPr>
          <w:tbl>
            <w:tblPr>
              <w:tblStyle w:val="8"/>
              <w:tblW w:w="0" w:type="auto"/>
              <w:tblInd w:w="0" w:type="dxa"/>
              <w:shd w:val="clear" w:color="auto" w:fill="FFFFFF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"/>
              <w:gridCol w:w="6"/>
            </w:tblGrid>
            <w:tr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Acetone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  <w:i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1.96±0.01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  <w:i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6.17±0.03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  <w:i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17.52±0.09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  <w:i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51.5±0.17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86" w:type="dxa"/>
            <w:vMerge w:val="restart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i/>
                <w:sz w:val="18"/>
                <w:szCs w:val="18"/>
              </w:rPr>
              <w:t>Dolerocypris sinensis</w:t>
            </w: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Blank</w:t>
            </w:r>
          </w:p>
        </w:tc>
        <w:tc>
          <w:tcPr>
            <w:tcW w:w="694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20</w:t>
            </w: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60.3±3.1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237.3±2.9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241±17.1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241.3±17.8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</w:rPr>
            </w:pPr>
          </w:p>
        </w:tc>
        <w:tc>
          <w:tcPr>
            <w:tcW w:w="1481" w:type="dxa"/>
            <w:noWrap/>
          </w:tcPr>
          <w:tbl>
            <w:tblPr>
              <w:tblStyle w:val="8"/>
              <w:tblW w:w="0" w:type="auto"/>
              <w:tblInd w:w="0" w:type="dxa"/>
              <w:shd w:val="clear" w:color="auto" w:fill="FFFFFF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"/>
              <w:gridCol w:w="6"/>
            </w:tblGrid>
            <w:tr>
              <w:tblPrEx>
                <w:shd w:val="clear" w:color="auto" w:fill="FFFFFF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Acetone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1.96±0.01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6.17±0.03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17.52±0.09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51.5±0.17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86" w:type="dxa"/>
            <w:vMerge w:val="restart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rPr>
                <w:rFonts w:eastAsia="Times New Roman" w:cs="Times New Roman"/>
                <w:i/>
              </w:rPr>
            </w:pPr>
            <w:r>
              <w:rPr>
                <w:rFonts w:eastAsia="Times New Roman" w:cs="Times New Roman"/>
                <w:i/>
                <w:sz w:val="18"/>
                <w:szCs w:val="18"/>
              </w:rPr>
              <w:t>Cypridopsis</w:t>
            </w: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宋体" w:cs="Times New Roman"/>
                <w:sz w:val="18"/>
                <w:szCs w:val="18"/>
              </w:rPr>
              <w:t>Blank</w:t>
            </w:r>
          </w:p>
        </w:tc>
        <w:tc>
          <w:tcPr>
            <w:tcW w:w="694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200</w:t>
            </w: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237.3±37.5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234.3±30.8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241.3±43.1</w:t>
            </w:r>
          </w:p>
        </w:tc>
        <w:tc>
          <w:tcPr>
            <w:tcW w:w="1276" w:type="dxa"/>
            <w:noWrap/>
          </w:tcPr>
          <w:p>
            <w:pPr>
              <w:rPr>
                <w:rFonts w:cs="Times New Roman"/>
              </w:rPr>
            </w:pPr>
            <w:r>
              <w:rPr>
                <w:rFonts w:eastAsia="Times New Roman" w:cs="Times New Roman"/>
              </w:rPr>
              <w:t>196.3±22.5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  <w:i/>
              </w:rPr>
            </w:pPr>
          </w:p>
        </w:tc>
        <w:tc>
          <w:tcPr>
            <w:tcW w:w="1481" w:type="dxa"/>
            <w:noWrap/>
          </w:tcPr>
          <w:tbl>
            <w:tblPr>
              <w:tblStyle w:val="8"/>
              <w:tblW w:w="0" w:type="auto"/>
              <w:tblInd w:w="0" w:type="dxa"/>
              <w:shd w:val="clear" w:color="auto" w:fill="FFFFFF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"/>
              <w:gridCol w:w="6"/>
            </w:tblGrid>
            <w:tr>
              <w:tblPrEx>
                <w:shd w:val="clear" w:color="auto" w:fill="FFFFFF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0" w:type="auto"/>
                  <w:shd w:val="clear" w:color="auto" w:fill="FFFFFF"/>
                </w:tcPr>
                <w:p>
                  <w:pPr>
                    <w:widowControl/>
                    <w:jc w:val="left"/>
                    <w:rPr>
                      <w:rFonts w:eastAsia="宋体" w:asciiTheme="minorHAnsi" w:hAnsiTheme="minorHAnsi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Acetone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  <w:i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1.96±0.01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  <w:i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6.17±0.03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  <w:i/>
              </w:rPr>
            </w:pPr>
          </w:p>
        </w:tc>
        <w:tc>
          <w:tcPr>
            <w:tcW w:w="1481" w:type="dxa"/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17.52±0.09</w:t>
            </w:r>
          </w:p>
        </w:tc>
        <w:tc>
          <w:tcPr>
            <w:tcW w:w="694" w:type="dxa"/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</w:p>
        </w:tc>
        <w:tc>
          <w:tcPr>
            <w:tcW w:w="1172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380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276" w:type="dxa"/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eastAsia="Times New Roman" w:cs="Times New Roman"/>
                <w:i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rPr>
                <w:rFonts w:eastAsia="Times New Roman"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51.5±0.17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widowControl/>
              <w:jc w:val="left"/>
              <w:rPr>
                <w:rFonts w:eastAsia="Times New Roman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12" w:space="0"/>
              <w:right w:val="nil"/>
            </w:tcBorders>
            <w:noWrap/>
          </w:tcPr>
          <w:p>
            <w:pPr>
              <w:rPr>
                <w:rFonts w:eastAsia="Times New Roman" w:cs="Times New Roman"/>
              </w:rPr>
            </w:pPr>
            <w:r>
              <w:rPr>
                <w:rFonts w:hint="eastAsia" w:ascii="宋体" w:hAnsi="宋体" w:eastAsia="宋体" w:cs="宋体"/>
              </w:rPr>
              <w:t>↘</w:t>
            </w:r>
            <w:r>
              <w:rPr>
                <w:rFonts w:eastAsia="Times New Roman" w:cs="Times New Roman"/>
              </w:rPr>
              <w:t>*</w:t>
            </w:r>
          </w:p>
        </w:tc>
      </w:tr>
    </w:tbl>
    <w:p/>
    <w:p/>
    <w:p>
      <w:pPr>
        <w:widowControl/>
        <w:jc w:val="left"/>
      </w:pPr>
      <w:r>
        <w:br w:type="page"/>
      </w:r>
    </w:p>
    <w:p>
      <w:r>
        <w:drawing>
          <wp:inline distT="0" distB="0" distL="0" distR="0">
            <wp:extent cx="5278120" cy="375158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96144" cy="37644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  <w:b/>
          <w:bCs/>
        </w:rPr>
        <w:t>S</w:t>
      </w:r>
      <w:r>
        <w:rPr>
          <w:b/>
          <w:bCs/>
        </w:rPr>
        <w:t>I B Fig 1</w:t>
      </w:r>
      <w:r>
        <w:t xml:space="preserve"> </w:t>
      </w:r>
      <w:r>
        <w:rPr>
          <w:lang w:val="en-GB"/>
        </w:rPr>
        <w:t>: Aquatic microcosm system internal structure</w:t>
      </w:r>
      <w:r>
        <w:rPr>
          <w:rFonts w:hint="eastAsia"/>
        </w:rPr>
        <w:t xml:space="preserve"> </w:t>
      </w:r>
      <w:r>
        <w:rPr>
          <w:lang w:val="en-GB"/>
        </w:rPr>
        <w:t>and establishment flow</w:t>
      </w:r>
      <w:r>
        <w:rPr>
          <w:rFonts w:hint="eastAsia"/>
        </w:rPr>
        <w:t xml:space="preserve"> </w:t>
      </w:r>
      <w:r>
        <w:rPr>
          <w:lang w:val="en-GB"/>
        </w:rPr>
        <w:t>sheet</w:t>
      </w:r>
    </w:p>
    <w:p>
      <w:pPr>
        <w:jc w:val="center"/>
        <w:rPr>
          <w:lang w:val="en-GB"/>
        </w:rPr>
      </w:pPr>
      <w:r>
        <w:rPr>
          <w:lang w:val="en-GB"/>
        </w:rPr>
        <w:t>Note: (a) Aquatic microcosm system; (b) thermostat water bath equipment</w:t>
      </w:r>
    </w:p>
    <w:p>
      <w:pPr>
        <w:widowControl/>
        <w:jc w:val="left"/>
        <w:rPr>
          <w:lang w:val="en-GB"/>
        </w:rPr>
      </w:pPr>
      <w:r>
        <w:rPr>
          <w:lang w:val="en-GB"/>
        </w:rPr>
        <w:br w:type="page"/>
      </w:r>
    </w:p>
    <w:p>
      <w:pPr>
        <w:jc w:val="center"/>
      </w:pPr>
    </w:p>
    <w:p>
      <w:pPr>
        <w:jc w:val="center"/>
      </w:pPr>
      <w:r>
        <w:drawing>
          <wp:inline distT="0" distB="0" distL="0" distR="0">
            <wp:extent cx="5278755" cy="2968625"/>
            <wp:effectExtent l="0" t="0" r="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5125" cy="29834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left"/>
      </w:pPr>
      <w:bookmarkStart w:id="4" w:name="_Hlk48993109"/>
      <w:bookmarkStart w:id="5" w:name="OLE_LINK12"/>
      <w:r>
        <w:rPr>
          <w:rFonts w:hint="eastAsia"/>
          <w:b/>
          <w:bCs/>
        </w:rPr>
        <w:t>S</w:t>
      </w:r>
      <w:r>
        <w:rPr>
          <w:b/>
          <w:bCs/>
        </w:rPr>
        <w:t>I B Fig 2</w:t>
      </w:r>
      <w:bookmarkEnd w:id="4"/>
      <w:bookmarkEnd w:id="5"/>
      <w:r>
        <w:t>: Microcosmic test equipment</w:t>
      </w:r>
    </w:p>
    <w:p>
      <w:pPr>
        <w:jc w:val="center"/>
      </w:pPr>
      <w:r>
        <w:t>Note: (a) thermostat water bath equipment; (b) plankton counting chamber; (c) water sampler.</w:t>
      </w:r>
    </w:p>
    <w:bookmarkEnd w:id="3"/>
    <w:p>
      <w:pPr>
        <w:widowControl/>
        <w:jc w:val="left"/>
      </w:pPr>
      <w:r>
        <w:br w:type="page"/>
      </w:r>
    </w:p>
    <w:p>
      <w:r>
        <w:drawing>
          <wp:inline distT="0" distB="0" distL="0" distR="0">
            <wp:extent cx="5234940" cy="3918585"/>
            <wp:effectExtent l="0" t="0" r="381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0789" cy="39377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bookmarkStart w:id="6" w:name="OLE_LINK5"/>
      <w:bookmarkStart w:id="7" w:name="OLE_LINK6"/>
      <w:r>
        <w:rPr>
          <w:rFonts w:hint="eastAsia"/>
          <w:b/>
          <w:bCs/>
        </w:rPr>
        <w:t>S</w:t>
      </w:r>
      <w:r>
        <w:rPr>
          <w:b/>
          <w:bCs/>
        </w:rPr>
        <w:t xml:space="preserve">I B Fig </w:t>
      </w:r>
      <w:bookmarkEnd w:id="6"/>
      <w:bookmarkEnd w:id="7"/>
      <w:r>
        <w:rPr>
          <w:b/>
          <w:bCs/>
        </w:rPr>
        <w:t>3:</w:t>
      </w:r>
      <w:r>
        <w:t xml:space="preserve"> Impact of difenoconazole on water quality parameters in indoor sediment-water aquatic microcosm A DO; B EC; C PH; D DOC</w:t>
      </w:r>
    </w:p>
    <w:p/>
    <w:p>
      <w:pPr>
        <w:jc w:val="left"/>
      </w:pPr>
      <w:r>
        <w:drawing>
          <wp:inline distT="0" distB="0" distL="0" distR="0">
            <wp:extent cx="5280660" cy="792099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04477" cy="79569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left"/>
        <w:rPr>
          <w:rFonts w:eastAsia="宋体" w:cs="Times New Roman"/>
          <w:u w:color="000000"/>
        </w:rPr>
      </w:pPr>
      <w:bookmarkStart w:id="8" w:name="OLE_LINK26"/>
      <w:bookmarkStart w:id="9" w:name="_Hlk49032733"/>
      <w:r>
        <w:rPr>
          <w:rFonts w:hint="eastAsia"/>
          <w:b/>
          <w:bCs/>
        </w:rPr>
        <w:t>S</w:t>
      </w:r>
      <w:r>
        <w:rPr>
          <w:b/>
          <w:bCs/>
        </w:rPr>
        <w:t xml:space="preserve">I B Fig </w:t>
      </w:r>
      <w:bookmarkEnd w:id="8"/>
      <w:bookmarkEnd w:id="9"/>
      <w:r>
        <w:rPr>
          <w:b/>
          <w:bCs/>
        </w:rPr>
        <w:t>4:</w:t>
      </w:r>
      <w:r>
        <w:t xml:space="preserve"> </w:t>
      </w:r>
      <w:r>
        <w:rPr>
          <w:rFonts w:eastAsia="宋体" w:cs="Times New Roman"/>
          <w:u w:color="000000"/>
        </w:rPr>
        <w:t xml:space="preserve">Effects of </w:t>
      </w:r>
      <w:r>
        <w:rPr>
          <w:rFonts w:hint="eastAsia" w:eastAsia="宋体" w:cs="Times New Roman"/>
          <w:u w:color="000000"/>
        </w:rPr>
        <w:t>fludioxonil</w:t>
      </w:r>
      <w:r>
        <w:rPr>
          <w:rFonts w:eastAsia="宋体" w:cs="Times New Roman"/>
          <w:u w:color="000000"/>
        </w:rPr>
        <w:t xml:space="preserve"> on benthic </w:t>
      </w:r>
      <w:r>
        <w:rPr>
          <w:rFonts w:hint="eastAsia" w:eastAsia="宋体" w:cs="Times New Roman"/>
          <w:u w:color="000000"/>
        </w:rPr>
        <w:t>animals</w:t>
      </w:r>
      <w:r>
        <w:rPr>
          <w:rFonts w:eastAsia="宋体" w:cs="Times New Roman"/>
          <w:u w:color="000000"/>
        </w:rPr>
        <w:t xml:space="preserve"> abundance</w:t>
      </w:r>
    </w:p>
    <w:p>
      <w:pPr>
        <w:jc w:val="left"/>
        <w:rPr>
          <w:rFonts w:eastAsia="宋体" w:cs="Times New Roman"/>
          <w:u w:color="000000"/>
        </w:rPr>
      </w:pPr>
    </w:p>
    <w:p>
      <w:pPr>
        <w:jc w:val="center"/>
        <w:rPr>
          <w:rFonts w:eastAsia="宋体" w:cs="Times New Roman"/>
          <w:u w:color="000000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eastAsia="宋体" w:cs="Times New Roman"/>
          <w:u w:color="000000"/>
        </w:rPr>
      </w:pPr>
      <w:r>
        <w:rPr>
          <w:rFonts w:eastAsia="宋体" w:cs="Times New Roman"/>
          <w:u w:color="000000"/>
        </w:rPr>
        <w:drawing>
          <wp:inline distT="0" distB="0" distL="0" distR="0">
            <wp:extent cx="5240655" cy="743902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712" cy="74730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jc w:val="center"/>
        <w:rPr>
          <w:rFonts w:eastAsia="宋体" w:cs="Times New Roman"/>
          <w:u w:color="000000"/>
        </w:rPr>
      </w:pPr>
    </w:p>
    <w:p>
      <w:pPr>
        <w:jc w:val="left"/>
      </w:pPr>
      <w:bookmarkStart w:id="10" w:name="OLE_LINK7"/>
      <w:bookmarkStart w:id="11" w:name="OLE_LINK8"/>
      <w:r>
        <w:rPr>
          <w:rFonts w:eastAsia="宋体" w:cs="Times New Roman"/>
          <w:b/>
          <w:bCs/>
          <w:u w:color="000000"/>
        </w:rPr>
        <w:t xml:space="preserve">SI B Fig </w:t>
      </w:r>
      <w:bookmarkEnd w:id="10"/>
      <w:bookmarkEnd w:id="11"/>
      <w:r>
        <w:rPr>
          <w:rFonts w:eastAsia="宋体" w:cs="Times New Roman"/>
          <w:b/>
          <w:bCs/>
          <w:u w:color="000000"/>
        </w:rPr>
        <w:t>5:</w:t>
      </w:r>
      <w:r>
        <w:rPr>
          <w:rFonts w:eastAsia="宋体" w:cs="Times New Roman"/>
          <w:u w:color="000000"/>
        </w:rPr>
        <w:t xml:space="preserve"> Effects of </w:t>
      </w:r>
      <w:r>
        <w:rPr>
          <w:rFonts w:hint="eastAsia" w:eastAsia="宋体" w:cs="Times New Roman"/>
          <w:u w:color="000000"/>
        </w:rPr>
        <w:t>fludioxonil</w:t>
      </w:r>
      <w:r>
        <w:rPr>
          <w:rFonts w:eastAsia="宋体" w:cs="Times New Roman"/>
          <w:u w:color="000000"/>
        </w:rPr>
        <w:t xml:space="preserve"> on zooplankton abundance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35"/>
  <w:bordersDoNotSurroundHeader w:val="1"/>
  <w:bordersDoNotSurroundFooter w:val="1"/>
  <w:documentProtection w:enforcement="0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23EB2"/>
    <w:rsid w:val="00023EB2"/>
    <w:rsid w:val="00044F44"/>
    <w:rsid w:val="00092F58"/>
    <w:rsid w:val="00097433"/>
    <w:rsid w:val="00097DFF"/>
    <w:rsid w:val="000A5AD0"/>
    <w:rsid w:val="000F36BE"/>
    <w:rsid w:val="001456C9"/>
    <w:rsid w:val="001855EE"/>
    <w:rsid w:val="001A0F93"/>
    <w:rsid w:val="001A6A38"/>
    <w:rsid w:val="001D07F8"/>
    <w:rsid w:val="0022606D"/>
    <w:rsid w:val="00235692"/>
    <w:rsid w:val="00316C0B"/>
    <w:rsid w:val="003172C7"/>
    <w:rsid w:val="00323914"/>
    <w:rsid w:val="00326507"/>
    <w:rsid w:val="00364000"/>
    <w:rsid w:val="0036649D"/>
    <w:rsid w:val="003A26DE"/>
    <w:rsid w:val="003B5490"/>
    <w:rsid w:val="004C38D9"/>
    <w:rsid w:val="004F0A0C"/>
    <w:rsid w:val="0056674F"/>
    <w:rsid w:val="005A0315"/>
    <w:rsid w:val="005F4347"/>
    <w:rsid w:val="0061015F"/>
    <w:rsid w:val="00657ED0"/>
    <w:rsid w:val="006F131B"/>
    <w:rsid w:val="0070544E"/>
    <w:rsid w:val="00715D68"/>
    <w:rsid w:val="0072715C"/>
    <w:rsid w:val="008009E9"/>
    <w:rsid w:val="00820B70"/>
    <w:rsid w:val="008640FB"/>
    <w:rsid w:val="00887D0E"/>
    <w:rsid w:val="008A6538"/>
    <w:rsid w:val="008F61AD"/>
    <w:rsid w:val="00902A1E"/>
    <w:rsid w:val="00960A58"/>
    <w:rsid w:val="009C1710"/>
    <w:rsid w:val="009C313D"/>
    <w:rsid w:val="009D07A3"/>
    <w:rsid w:val="00A56544"/>
    <w:rsid w:val="00A863BC"/>
    <w:rsid w:val="00AA217A"/>
    <w:rsid w:val="00AC1E78"/>
    <w:rsid w:val="00B63B84"/>
    <w:rsid w:val="00BA4E2F"/>
    <w:rsid w:val="00BF2108"/>
    <w:rsid w:val="00C45822"/>
    <w:rsid w:val="00C85ED6"/>
    <w:rsid w:val="00CB00B6"/>
    <w:rsid w:val="00CE79BF"/>
    <w:rsid w:val="00CF5E25"/>
    <w:rsid w:val="00DB63D4"/>
    <w:rsid w:val="00DF028A"/>
    <w:rsid w:val="00DF4747"/>
    <w:rsid w:val="00E074F5"/>
    <w:rsid w:val="00E77EB4"/>
    <w:rsid w:val="00E959D9"/>
    <w:rsid w:val="00ED0C23"/>
    <w:rsid w:val="00EF2C1F"/>
    <w:rsid w:val="00F066CB"/>
    <w:rsid w:val="00FB1D0B"/>
    <w:rsid w:val="0C6F637A"/>
    <w:rsid w:val="167979EF"/>
    <w:rsid w:val="208F5E5A"/>
    <w:rsid w:val="365F1341"/>
    <w:rsid w:val="36AE7D09"/>
    <w:rsid w:val="41274E6E"/>
    <w:rsid w:val="4B5B672B"/>
    <w:rsid w:val="55EB0E01"/>
    <w:rsid w:val="563402E5"/>
    <w:rsid w:val="6C5C580C"/>
    <w:rsid w:val="73145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Times New Roman" w:hAnsi="Times New Roman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semiHidden/>
    <w:unhideWhenUsed/>
    <w:uiPriority w:val="99"/>
    <w:pPr>
      <w:spacing w:line="240" w:lineRule="auto"/>
    </w:pPr>
    <w:rPr>
      <w:sz w:val="20"/>
      <w:szCs w:val="20"/>
    </w:rPr>
  </w:style>
  <w:style w:type="paragraph" w:styleId="3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9"/>
    <w:semiHidden/>
    <w:unhideWhenUsed/>
    <w:uiPriority w:val="99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annotation reference"/>
    <w:basedOn w:val="10"/>
    <w:semiHidden/>
    <w:unhideWhenUsed/>
    <w:qFormat/>
    <w:uiPriority w:val="99"/>
    <w:rPr>
      <w:sz w:val="16"/>
      <w:szCs w:val="16"/>
    </w:rPr>
  </w:style>
  <w:style w:type="table" w:customStyle="1" w:styleId="12">
    <w:name w:val="三线表"/>
    <w:basedOn w:val="8"/>
    <w:qFormat/>
    <w:uiPriority w:val="99"/>
    <w:rPr>
      <w:rFonts w:eastAsia="Times New Roman"/>
    </w:rPr>
    <w:tblPr>
      <w:tblBorders>
        <w:top w:val="single" w:color="auto" w:sz="6" w:space="0"/>
        <w:bottom w:val="single" w:color="auto" w:sz="6" w:space="0"/>
      </w:tblBorders>
    </w:tblPr>
    <w:tblStylePr w:type="firstRow">
      <w:tcPr>
        <w:tcBorders>
          <w:top w:val="single" w:color="auto" w:sz="12" w:space="0"/>
          <w:bottom w:val="single" w:color="auto" w:sz="4" w:space="0"/>
        </w:tcBorders>
      </w:tcPr>
    </w:tblStylePr>
  </w:style>
  <w:style w:type="table" w:customStyle="1" w:styleId="13">
    <w:name w:val="样式1"/>
    <w:basedOn w:val="8"/>
    <w:qFormat/>
    <w:uiPriority w:val="99"/>
    <w:tblPr>
      <w:tblBorders>
        <w:top w:val="single" w:color="auto" w:sz="12" w:space="0"/>
        <w:bottom w:val="single" w:color="auto" w:sz="12" w:space="0"/>
      </w:tblBorders>
    </w:tblPr>
    <w:tblStylePr w:type="firstRow">
      <w:tcPr>
        <w:tcBorders>
          <w:bottom w:val="single" w:color="auto" w:sz="4" w:space="0"/>
        </w:tcBorders>
      </w:tcPr>
    </w:tblStylePr>
  </w:style>
  <w:style w:type="character" w:customStyle="1" w:styleId="14">
    <w:name w:val="页眉 字符"/>
    <w:basedOn w:val="10"/>
    <w:link w:val="5"/>
    <w:uiPriority w:val="99"/>
    <w:rPr>
      <w:sz w:val="18"/>
      <w:szCs w:val="18"/>
    </w:rPr>
  </w:style>
  <w:style w:type="character" w:customStyle="1" w:styleId="15">
    <w:name w:val="页脚 字符"/>
    <w:basedOn w:val="10"/>
    <w:link w:val="4"/>
    <w:uiPriority w:val="99"/>
    <w:rPr>
      <w:sz w:val="18"/>
      <w:szCs w:val="18"/>
    </w:rPr>
  </w:style>
  <w:style w:type="character" w:customStyle="1" w:styleId="16">
    <w:name w:val="批注框文本 字符"/>
    <w:basedOn w:val="10"/>
    <w:link w:val="3"/>
    <w:semiHidden/>
    <w:uiPriority w:val="99"/>
    <w:rPr>
      <w:rFonts w:ascii="Times New Roman" w:hAnsi="Times New Roman"/>
      <w:sz w:val="18"/>
      <w:szCs w:val="18"/>
    </w:rPr>
  </w:style>
  <w:style w:type="paragraph" w:customStyle="1" w:styleId="17">
    <w:name w:val="列出段落1"/>
    <w:basedOn w:val="1"/>
    <w:qFormat/>
    <w:uiPriority w:val="34"/>
    <w:pPr>
      <w:jc w:val="center"/>
    </w:pPr>
    <w:rPr>
      <w:rFonts w:eastAsia="宋体" w:cs="Times New Roman"/>
      <w:sz w:val="24"/>
      <w:lang w:val="en-GB"/>
    </w:rPr>
  </w:style>
  <w:style w:type="character" w:customStyle="1" w:styleId="18">
    <w:name w:val="批注文字 字符"/>
    <w:basedOn w:val="10"/>
    <w:link w:val="2"/>
    <w:semiHidden/>
    <w:qFormat/>
    <w:uiPriority w:val="99"/>
    <w:rPr>
      <w:rFonts w:eastAsiaTheme="minorEastAsia" w:cstheme="minorBidi"/>
      <w:kern w:val="2"/>
      <w:lang w:val="en-US" w:eastAsia="zh-CN"/>
    </w:rPr>
  </w:style>
  <w:style w:type="character" w:customStyle="1" w:styleId="19">
    <w:name w:val="批注主题 字符"/>
    <w:basedOn w:val="18"/>
    <w:link w:val="7"/>
    <w:semiHidden/>
    <w:qFormat/>
    <w:uiPriority w:val="99"/>
    <w:rPr>
      <w:rFonts w:eastAsiaTheme="minorEastAsia" w:cstheme="minorBidi"/>
      <w:b/>
      <w:bCs/>
      <w:kern w:val="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4.xml"/><Relationship Id="rId13" Type="http://schemas.openxmlformats.org/officeDocument/2006/relationships/customXml" Target="../customXml/item3.xml"/><Relationship Id="rId12" Type="http://schemas.openxmlformats.org/officeDocument/2006/relationships/customXml" Target="../customXml/item2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499DF47AE6574EBDD934635F4845BB" ma:contentTypeVersion="10" ma:contentTypeDescription="Een nieuw document maken." ma:contentTypeScope="" ma:versionID="e17a6ba5fc69474a2f8890349210178d">
  <xsd:schema xmlns:xsd="http://www.w3.org/2001/XMLSchema" xmlns:xs="http://www.w3.org/2001/XMLSchema" xmlns:p="http://schemas.microsoft.com/office/2006/metadata/properties" xmlns:ns3="182b565c-ec1a-4025-a4c2-84d1567243de" targetNamespace="http://schemas.microsoft.com/office/2006/metadata/properties" ma:root="true" ma:fieldsID="4278d4671e1a478bdf92553027d1a4f2" ns3:_="">
    <xsd:import namespace="182b565c-ec1a-4025-a4c2-84d1567243d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b565c-ec1a-4025-a4c2-84d1567243d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5B6449-9D19-49ED-BF40-E26F99545F22}">
  <ds:schemaRefs/>
</ds:datastoreItem>
</file>

<file path=customXml/itemProps3.xml><?xml version="1.0" encoding="utf-8"?>
<ds:datastoreItem xmlns:ds="http://schemas.openxmlformats.org/officeDocument/2006/customXml" ds:itemID="{54826042-4D21-42C4-8CF4-3A76906E9C4B}">
  <ds:schemaRefs/>
</ds:datastoreItem>
</file>

<file path=customXml/itemProps4.xml><?xml version="1.0" encoding="utf-8"?>
<ds:datastoreItem xmlns:ds="http://schemas.openxmlformats.org/officeDocument/2006/customXml" ds:itemID="{115B0511-6AFD-4795-BFC0-C24B16B4120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Wageningen University and Research</Company>
  <Pages>12</Pages>
  <Words>855</Words>
  <Characters>4879</Characters>
  <Lines>40</Lines>
  <Paragraphs>11</Paragraphs>
  <TotalTime>100</TotalTime>
  <ScaleCrop>false</ScaleCrop>
  <LinksUpToDate>false</LinksUpToDate>
  <CharactersWithSpaces>5723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2021-01-19T16:12:00Z</dcterms:created>
  <dc:creator>健 孙</dc:creator>
  <cp:lastModifiedBy>susanyin</cp:lastModifiedBy>
  <dcterms:modified xsi:type="dcterms:W3CDTF">2021-03-24T14:17:48Z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ContentTypeId">
    <vt:lpwstr>0x0101006D499DF47AE6574EBDD934635F4845BB</vt:lpwstr>
  </property>
  <property fmtid="{D5CDD505-2E9C-101B-9397-08002B2CF9AE}" pid="4" name="ICV">
    <vt:lpwstr>D4C5BE300E9B404C87C9130C042D902F</vt:lpwstr>
  </property>
</Properties>
</file>