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F5BE7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b/>
          <w:sz w:val="24"/>
          <w:szCs w:val="24"/>
        </w:rPr>
        <w:t>Urinary tract infections among pregnant women in rural West Amhara, Ethiopia: Prevalence, bacterial etiology, risk factors, and antimicrobial resistance patterns</w:t>
      </w:r>
    </w:p>
    <w:p w14:paraId="32558B7B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</w:rPr>
        <w:t>Mulatu Melese Derebe, MSc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1,2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Unmesha Roy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Paladhi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>, PhD, MPH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Firehiwot Workneh,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Abaineh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Munshea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>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Gizachew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Yismaw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>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Kalkidan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Yibeltal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>, MD, MPH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Nebiyou Fasil, PhD, MPH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Alemayehu Worku,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Tsehaynesh Gebreyesus, MSc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Wudu </w:t>
      </w:r>
      <w:proofErr w:type="spellStart"/>
      <w:r w:rsidRPr="00EA0FED">
        <w:rPr>
          <w:rFonts w:ascii="Times New Roman" w:eastAsia="Times New Roman" w:hAnsi="Times New Roman" w:cs="Times New Roman"/>
          <w:sz w:val="24"/>
          <w:szCs w:val="24"/>
        </w:rPr>
        <w:t>Tafere</w:t>
      </w:r>
      <w:proofErr w:type="spellEnd"/>
      <w:r w:rsidRPr="00EA0FED">
        <w:rPr>
          <w:rFonts w:ascii="Times New Roman" w:eastAsia="Times New Roman" w:hAnsi="Times New Roman" w:cs="Times New Roman"/>
          <w:sz w:val="24"/>
          <w:szCs w:val="24"/>
        </w:rPr>
        <w:t>, MSc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Alem Tsega, MSc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Parul Christian,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Rose L. Molina, MD, MPH,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 Blair J. Wylie, MD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, Yemane Berhane, MD, MPH, PhD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A0FED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A0FED">
        <w:rPr>
          <w:rFonts w:ascii="Times New Roman" w:eastAsia="Times New Roman" w:hAnsi="Times New Roman" w:cs="Times New Roman"/>
          <w:color w:val="222222"/>
          <w:sz w:val="24"/>
          <w:szCs w:val="24"/>
        </w:rPr>
        <w:t>Anne CC Lee, MD, MPH</w:t>
      </w: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A0FED">
        <w:rPr>
          <w:rFonts w:ascii="Times New Roman" w:eastAsia="Times New Roman" w:hAnsi="Times New Roman" w:cs="Times New Roman"/>
          <w:color w:val="222222"/>
          <w:sz w:val="24"/>
          <w:szCs w:val="24"/>
        </w:rPr>
        <w:t>*</w:t>
      </w:r>
    </w:p>
    <w:p w14:paraId="16D4AA01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778AA44E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Health Biotechnology Division, Institute of Biotechnology, Bahir Dar University, Bahir Dar, Ethiopia</w:t>
      </w:r>
    </w:p>
    <w:p w14:paraId="1CCE2A2A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Amhara Public Health Institute, Bahir Dar, Ethiopia</w:t>
      </w:r>
    </w:p>
    <w:p w14:paraId="2C346167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Global Alliance for Infant and Maternal Health, Warren Alpert Medical School, Department of Pediatrics, Brown University, Providence, RI, USA</w:t>
      </w:r>
    </w:p>
    <w:p w14:paraId="70898594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4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Department of Epidemiology and Biostatistics, Addis Continental Institute of Public Health, Addis Ababa, Ethiopia</w:t>
      </w:r>
    </w:p>
    <w:p w14:paraId="66D684CF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Department of Reproductive Health and Population, Addis Continental Institute of Public Health, Addis Ababa, Ethiopia</w:t>
      </w:r>
    </w:p>
    <w:p w14:paraId="4EB1F7C1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Department of Global Health and Health Policy, Addis Continental Institute of Public Health, Addis Ababa, Ethiopia</w:t>
      </w:r>
    </w:p>
    <w:p w14:paraId="1C7A78F0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7</w:t>
      </w:r>
      <w:r w:rsidRPr="00EA0FED">
        <w:rPr>
          <w:rFonts w:ascii="Times New Roman" w:eastAsia="Times New Roman" w:hAnsi="Times New Roman" w:cs="Times New Roman"/>
          <w:sz w:val="24"/>
          <w:szCs w:val="24"/>
        </w:rPr>
        <w:t>Department of Human Development, Teachers College, Columbia University, New York, USA</w:t>
      </w:r>
    </w:p>
    <w:p w14:paraId="217E5027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  <w:r w:rsidRPr="00EA0FED">
        <w:rPr>
          <w:rFonts w:ascii="Times New Roman" w:eastAsia="Times New Roman" w:hAnsi="Times New Roman" w:cs="Times New Roman"/>
          <w:sz w:val="24"/>
          <w:szCs w:val="24"/>
          <w:highlight w:val="white"/>
        </w:rPr>
        <w:t>Beth Israel Deaconess Medical Center, Boston, MA</w:t>
      </w:r>
    </w:p>
    <w:p w14:paraId="7186DAAB" w14:textId="77777777" w:rsidR="00140C6A" w:rsidRPr="00EA0FED" w:rsidRDefault="00140C6A" w:rsidP="00140C6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sz w:val="24"/>
          <w:szCs w:val="24"/>
        </w:rPr>
        <w:t>*Co-senior authors</w:t>
      </w:r>
    </w:p>
    <w:p w14:paraId="09B9F3B5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6C8C990C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4F9259C0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2C88D7CD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599BD96A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5E63629E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78856B84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7CFD2672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45233CB7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66FC8CD3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53FAEBC6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69058D9C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373CC72A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487FCE00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0B79F672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142B5220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51AC6F40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4030178A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043842CD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2CA6DED2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6ACFBBE1" w14:textId="77777777" w:rsidR="00140C6A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</w:pPr>
    </w:p>
    <w:p w14:paraId="5A5A909E" w14:textId="6FAD6A31" w:rsidR="00140C6A" w:rsidRPr="00EA0FED" w:rsidRDefault="00140C6A" w:rsidP="00140C6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  <w:lastRenderedPageBreak/>
        <w:t xml:space="preserve">Supplementary documents: </w:t>
      </w:r>
    </w:p>
    <w:p w14:paraId="5F6AF07D" w14:textId="77777777" w:rsidR="00140C6A" w:rsidRPr="003053C5" w:rsidRDefault="00140C6A" w:rsidP="00140C6A">
      <w:pPr>
        <w:spacing w:before="240" w:line="240" w:lineRule="auto"/>
        <w:rPr>
          <w:rFonts w:ascii="Times New Roman" w:eastAsia="Times New Roman" w:hAnsi="Times New Roman" w:cs="Times New Roman"/>
          <w:bCs/>
          <w:color w:val="131413"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  <w:t xml:space="preserve">Supplementary Table S1: </w:t>
      </w:r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 xml:space="preserve">The etiology of </w:t>
      </w:r>
      <w:proofErr w:type="spellStart"/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>uropathogens</w:t>
      </w:r>
      <w:proofErr w:type="spellEnd"/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 xml:space="preserve"> isolated among symptomatic and asymptomatic pregnant women diagnosed with UTIs in rural Amhara, Ethiopia, 2020-2022.</w:t>
      </w:r>
    </w:p>
    <w:p w14:paraId="2498C540" w14:textId="77777777" w:rsidR="00140C6A" w:rsidRPr="003053C5" w:rsidRDefault="00140C6A" w:rsidP="00140C6A">
      <w:pPr>
        <w:spacing w:line="240" w:lineRule="auto"/>
        <w:rPr>
          <w:rFonts w:ascii="Times New Roman" w:eastAsia="Times New Roman" w:hAnsi="Times New Roman" w:cs="Times New Roman"/>
          <w:bCs/>
          <w:color w:val="131413"/>
          <w:sz w:val="24"/>
          <w:szCs w:val="24"/>
        </w:rPr>
      </w:pPr>
    </w:p>
    <w:tbl>
      <w:tblPr>
        <w:tblpPr w:leftFromText="180" w:rightFromText="180" w:topFromText="180" w:bottomFromText="180" w:vertAnchor="text" w:tblpXSpec="center"/>
        <w:tblW w:w="8610" w:type="dxa"/>
        <w:tblBorders>
          <w:top w:val="single" w:sz="6" w:space="0" w:color="000000"/>
          <w:bottom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0"/>
        <w:gridCol w:w="1755"/>
        <w:gridCol w:w="1935"/>
        <w:gridCol w:w="1770"/>
      </w:tblGrid>
      <w:tr w:rsidR="00140C6A" w:rsidRPr="003053C5" w14:paraId="2F1921E1" w14:textId="77777777" w:rsidTr="00C40439">
        <w:trPr>
          <w:trHeight w:val="6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13D3F9ED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Bacterial Isolates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4627AC20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Asymptomatic</w:t>
            </w:r>
          </w:p>
          <w:p w14:paraId="7B0315D9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N= 12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406A17F3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Symptomatic</w:t>
            </w:r>
          </w:p>
          <w:p w14:paraId="41259154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N=9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59452B5D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Total</w:t>
            </w:r>
          </w:p>
          <w:p w14:paraId="4D9D858C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N=21</w:t>
            </w:r>
          </w:p>
        </w:tc>
      </w:tr>
      <w:tr w:rsidR="00140C6A" w:rsidRPr="003053C5" w14:paraId="722ACF45" w14:textId="77777777" w:rsidTr="00C40439">
        <w:trPr>
          <w:trHeight w:val="3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72357C4B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Escherichia coli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08EE34FF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(41.7%)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3573D5E8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 (58.3%)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37E1F2C2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(57.1%)</w:t>
            </w:r>
          </w:p>
        </w:tc>
      </w:tr>
      <w:tr w:rsidR="00140C6A" w:rsidRPr="003053C5" w14:paraId="192FB2AE" w14:textId="77777777" w:rsidTr="00C40439">
        <w:trPr>
          <w:trHeight w:val="3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6F5E7F40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Enterococcus faecalis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1744BDC1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(100.0%)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43304032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(0.0)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2D1BA903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(1.3%)</w:t>
            </w:r>
          </w:p>
        </w:tc>
      </w:tr>
      <w:tr w:rsidR="00140C6A" w:rsidRPr="003053C5" w14:paraId="66F11367" w14:textId="77777777" w:rsidTr="00C40439">
        <w:trPr>
          <w:trHeight w:val="3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55E687D7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Klebsiella pneumoniae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07F619A7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(66.7%)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0742C748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(33.3%)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27E3BDB2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 (1.3%)</w:t>
            </w:r>
          </w:p>
        </w:tc>
      </w:tr>
      <w:tr w:rsidR="00140C6A" w:rsidRPr="003053C5" w14:paraId="4669A984" w14:textId="77777777" w:rsidTr="00C40439">
        <w:trPr>
          <w:trHeight w:val="3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49824A08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Staphylococcus aureus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265EF92A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(0.0)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24897516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(100.0%)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485D82A4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(4.8%)</w:t>
            </w:r>
          </w:p>
        </w:tc>
      </w:tr>
      <w:tr w:rsidR="00140C6A" w:rsidRPr="003053C5" w14:paraId="0507D873" w14:textId="77777777" w:rsidTr="00C40439">
        <w:trPr>
          <w:trHeight w:val="31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5E9901EC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Staphylococcus saprophyticus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2EEB93D3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(100.0%)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1E92DE5F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(100.0%)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</w:tcPr>
          <w:p w14:paraId="03699864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(4.8%)</w:t>
            </w:r>
          </w:p>
        </w:tc>
      </w:tr>
      <w:tr w:rsidR="00140C6A" w:rsidRPr="003053C5" w14:paraId="360942E5" w14:textId="77777777" w:rsidTr="00C40439">
        <w:trPr>
          <w:trHeight w:val="405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</w:tcPr>
          <w:p w14:paraId="19075606" w14:textId="77777777" w:rsidR="00140C6A" w:rsidRPr="003053C5" w:rsidRDefault="00140C6A" w:rsidP="00CF00BD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Other streptococcus species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</w:tcPr>
          <w:p w14:paraId="497BD808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(100.0%)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</w:tcPr>
          <w:p w14:paraId="2F1B790F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 (0.0)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</w:tcPr>
          <w:p w14:paraId="4BFFF93C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(4.8%)</w:t>
            </w:r>
          </w:p>
        </w:tc>
      </w:tr>
      <w:tr w:rsidR="00140C6A" w:rsidRPr="003053C5" w14:paraId="6E2161CF" w14:textId="77777777" w:rsidTr="00C40439">
        <w:trPr>
          <w:trHeight w:val="300"/>
        </w:trPr>
        <w:tc>
          <w:tcPr>
            <w:tcW w:w="3150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1C582BB4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755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7D914A11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 (57.1%)</w:t>
            </w:r>
          </w:p>
        </w:tc>
        <w:tc>
          <w:tcPr>
            <w:tcW w:w="1935" w:type="dxa"/>
            <w:shd w:val="clear" w:color="auto" w:fill="auto"/>
            <w:tcMar>
              <w:left w:w="100" w:type="dxa"/>
              <w:right w:w="100" w:type="dxa"/>
            </w:tcMar>
            <w:vAlign w:val="bottom"/>
          </w:tcPr>
          <w:p w14:paraId="49D3586D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(42.9%)</w:t>
            </w:r>
          </w:p>
        </w:tc>
        <w:tc>
          <w:tcPr>
            <w:tcW w:w="1770" w:type="dxa"/>
            <w:shd w:val="clear" w:color="auto" w:fill="auto"/>
            <w:tcMar>
              <w:left w:w="100" w:type="dxa"/>
              <w:right w:w="100" w:type="dxa"/>
            </w:tcMar>
          </w:tcPr>
          <w:p w14:paraId="4BF416F4" w14:textId="77777777" w:rsidR="00140C6A" w:rsidRPr="003053C5" w:rsidRDefault="00140C6A" w:rsidP="00CF00B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53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 (100.0%)</w:t>
            </w:r>
          </w:p>
        </w:tc>
      </w:tr>
    </w:tbl>
    <w:p w14:paraId="11B233DE" w14:textId="77777777" w:rsidR="00140C6A" w:rsidRPr="003053C5" w:rsidRDefault="00140C6A" w:rsidP="00140C6A">
      <w:pPr>
        <w:spacing w:after="24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b/>
          <w:color w:val="131413"/>
          <w:sz w:val="24"/>
          <w:szCs w:val="24"/>
        </w:rPr>
        <w:t>Supplementary Figure S1</w:t>
      </w:r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 xml:space="preserve">. Antimicrobial susceptibility profiles of UTI </w:t>
      </w:r>
      <w:proofErr w:type="spellStart"/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>uropathogens</w:t>
      </w:r>
      <w:proofErr w:type="spellEnd"/>
      <w:r w:rsidRPr="003053C5">
        <w:rPr>
          <w:rFonts w:ascii="Times New Roman" w:eastAsia="Times New Roman" w:hAnsi="Times New Roman" w:cs="Times New Roman"/>
          <w:bCs/>
          <w:sz w:val="24"/>
          <w:szCs w:val="24"/>
        </w:rPr>
        <w:t xml:space="preserve"> (n=21) from urine culture among pregnant women attending ANC in rural Amhara region, Ethiopia, 2020-2022.</w:t>
      </w:r>
    </w:p>
    <w:p w14:paraId="7C7C9440" w14:textId="77777777" w:rsidR="00140C6A" w:rsidRPr="00EA0FED" w:rsidRDefault="00140C6A" w:rsidP="00140C6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FED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6FDFA22A" wp14:editId="02456E43">
            <wp:extent cx="5943600" cy="3441700"/>
            <wp:effectExtent l="0" t="0" r="0" b="0"/>
            <wp:docPr id="2" name="image1.png" descr="A graph of numbers and a number of numbers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A graph of numbers and a number of numbers&#10;&#10;Description automatically generated with medium confidenc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F685DB" w14:textId="74A3F664" w:rsidR="000904E2" w:rsidRDefault="00140C6A" w:rsidP="00140C6A">
      <w:pPr>
        <w:spacing w:line="240" w:lineRule="auto"/>
        <w:jc w:val="both"/>
      </w:pPr>
      <w:r w:rsidRPr="003053C5">
        <w:rPr>
          <w:rFonts w:ascii="Times New Roman" w:eastAsia="Times New Roman" w:hAnsi="Times New Roman" w:cs="Times New Roman"/>
          <w:sz w:val="24"/>
          <w:szCs w:val="24"/>
        </w:rPr>
        <w:t xml:space="preserve">Abbreviations: AMC- </w:t>
      </w:r>
      <w:proofErr w:type="spellStart"/>
      <w:r w:rsidRPr="003053C5">
        <w:rPr>
          <w:rFonts w:ascii="Times New Roman" w:eastAsia="Times New Roman" w:hAnsi="Times New Roman" w:cs="Times New Roman"/>
          <w:sz w:val="24"/>
          <w:szCs w:val="24"/>
        </w:rPr>
        <w:t>amoxacillin-clavilanic</w:t>
      </w:r>
      <w:proofErr w:type="spellEnd"/>
      <w:r w:rsidRPr="003053C5">
        <w:rPr>
          <w:rFonts w:ascii="Times New Roman" w:eastAsia="Times New Roman" w:hAnsi="Times New Roman" w:cs="Times New Roman"/>
          <w:sz w:val="24"/>
          <w:szCs w:val="24"/>
        </w:rPr>
        <w:t xml:space="preserve"> acid; AMP- ampicillin; CFZ- cefazolin; COT- cotrimoxazole; CPD- cefpodoxime; NFT- nitrofurantoin.</w:t>
      </w:r>
    </w:p>
    <w:sectPr w:rsidR="000904E2" w:rsidSect="00140C6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lnNumType w:countBy="1" w:restart="continuous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FBB92" w14:textId="77777777" w:rsidR="0075470F" w:rsidRDefault="0075470F">
      <w:pPr>
        <w:spacing w:line="240" w:lineRule="auto"/>
      </w:pPr>
      <w:r>
        <w:separator/>
      </w:r>
    </w:p>
  </w:endnote>
  <w:endnote w:type="continuationSeparator" w:id="0">
    <w:p w14:paraId="2FCCDA18" w14:textId="77777777" w:rsidR="0075470F" w:rsidRDefault="007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08213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EEFF824" w14:textId="3FB4D2F8" w:rsidR="00C40439" w:rsidRDefault="00C404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8501A4" w14:textId="77777777" w:rsidR="00E070A2" w:rsidRDefault="00E070A2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63E96" w14:textId="77777777" w:rsidR="0075470F" w:rsidRDefault="0075470F">
      <w:pPr>
        <w:spacing w:line="240" w:lineRule="auto"/>
      </w:pPr>
      <w:r>
        <w:separator/>
      </w:r>
    </w:p>
  </w:footnote>
  <w:footnote w:type="continuationSeparator" w:id="0">
    <w:p w14:paraId="6E5D080D" w14:textId="77777777" w:rsidR="0075470F" w:rsidRDefault="007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B3608" w14:textId="77777777" w:rsidR="00E070A2" w:rsidRDefault="00E070A2">
    <w:pPr>
      <w:spacing w:after="200" w:line="240" w:lineRule="aut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6A"/>
    <w:rsid w:val="000904E2"/>
    <w:rsid w:val="00140C6A"/>
    <w:rsid w:val="00301692"/>
    <w:rsid w:val="00434A6B"/>
    <w:rsid w:val="00544B0A"/>
    <w:rsid w:val="00737A76"/>
    <w:rsid w:val="0075470F"/>
    <w:rsid w:val="00C40439"/>
    <w:rsid w:val="00E0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0BEFDC"/>
  <w15:chartTrackingRefBased/>
  <w15:docId w15:val="{24A13C39-D67D-4489-90A3-EA40672B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C6A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C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C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C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C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C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C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C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C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C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0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C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0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C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0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C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0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C6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140C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C6A"/>
    <w:rPr>
      <w:rFonts w:ascii="Arial" w:eastAsia="Arial" w:hAnsi="Arial" w:cs="Arial"/>
      <w:kern w:val="0"/>
      <w:lang w:val="en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140C6A"/>
  </w:style>
  <w:style w:type="paragraph" w:styleId="Header">
    <w:name w:val="header"/>
    <w:basedOn w:val="Normal"/>
    <w:link w:val="HeaderChar"/>
    <w:uiPriority w:val="99"/>
    <w:unhideWhenUsed/>
    <w:rsid w:val="00C404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39"/>
    <w:rPr>
      <w:rFonts w:ascii="Arial" w:eastAsia="Arial" w:hAnsi="Arial" w:cs="Arial"/>
      <w:kern w:val="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1993</Characters>
  <Application>Microsoft Office Word</Application>
  <DocSecurity>0</DocSecurity>
  <Lines>68</Lines>
  <Paragraphs>39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Mulatu Melese Derebe</dc:creator>
  <cp:keywords/>
  <dc:description/>
  <cp:lastModifiedBy>Mulatu Melese Derebe</cp:lastModifiedBy>
  <cp:revision>2</cp:revision>
  <dcterms:created xsi:type="dcterms:W3CDTF">2024-12-28T05:22:00Z</dcterms:created>
  <dcterms:modified xsi:type="dcterms:W3CDTF">2024-12-29T19:03:00Z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48de7de1-977b-4806-b3d5-5fe87802a228</vt:lpwstr>
  </property>
</Properties>
</file>