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2268"/>
        <w:gridCol w:w="2410"/>
        <w:gridCol w:w="1275"/>
      </w:tblGrid>
      <w:tr w:rsidR="00CA3735" w:rsidRPr="00D92C0F" w:rsidTr="009A07ED">
        <w:trPr>
          <w:trHeight w:val="567"/>
        </w:trPr>
        <w:tc>
          <w:tcPr>
            <w:tcW w:w="3227" w:type="dxa"/>
            <w:tcBorders>
              <w:bottom w:val="single" w:sz="4" w:space="0" w:color="auto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Mortality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Complete remission</w:t>
            </w:r>
          </w:p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lang w:val="en-GB"/>
              </w:rPr>
              <w:t>n=79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Without malignancy </w:t>
            </w:r>
          </w:p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n = </w:t>
            </w:r>
            <w:r w:rsidRPr="00D92C0F">
              <w:rPr>
                <w:rFonts w:ascii="Times New Roman" w:hAnsi="Times New Roman"/>
                <w:b/>
                <w:color w:val="000000"/>
                <w:lang w:val="en-GB"/>
              </w:rPr>
              <w:t>825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p-value</w:t>
            </w:r>
          </w:p>
        </w:tc>
      </w:tr>
      <w:tr w:rsidR="00CA3735" w:rsidRPr="00D92C0F" w:rsidTr="009A07ED">
        <w:trPr>
          <w:trHeight w:val="483"/>
        </w:trPr>
        <w:tc>
          <w:tcPr>
            <w:tcW w:w="3227" w:type="dxa"/>
            <w:tcBorders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ICU 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22 (27.8%)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196 (23.8%)</w:t>
            </w:r>
          </w:p>
        </w:tc>
        <w:tc>
          <w:tcPr>
            <w:tcW w:w="1275" w:type="dxa"/>
            <w:tcBorders>
              <w:left w:val="nil"/>
              <w:bottom w:val="nil"/>
            </w:tcBorders>
          </w:tcPr>
          <w:p w:rsidR="00CA3735" w:rsidRPr="00D92C0F" w:rsidRDefault="00CA3735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0.42</w:t>
            </w:r>
          </w:p>
        </w:tc>
      </w:tr>
      <w:tr w:rsidR="00CA3735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35 (44.3%)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244 (29.6%)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:rsidR="00CA3735" w:rsidRPr="00D92C0F" w:rsidRDefault="00CA3735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0.07</w:t>
            </w:r>
          </w:p>
        </w:tc>
      </w:tr>
      <w:tr w:rsidR="00CA3735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43 (54.4%)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288 (34.9%)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:rsidR="00CA3735" w:rsidRPr="00D92C0F" w:rsidRDefault="00CA3735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0.001*</w:t>
            </w:r>
          </w:p>
        </w:tc>
      </w:tr>
      <w:tr w:rsidR="00CA3735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47 (59.5%)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305 (37%)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:rsidR="00CA3735" w:rsidRPr="00D92C0F" w:rsidRDefault="00CA3735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 0.001*</w:t>
            </w:r>
          </w:p>
        </w:tc>
      </w:tr>
      <w:tr w:rsidR="00CA3735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single" w:sz="4" w:space="0" w:color="auto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48 (60.8%)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3735" w:rsidRPr="00D92C0F" w:rsidRDefault="00CA3735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332 (40.2%)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</w:tcBorders>
          </w:tcPr>
          <w:p w:rsidR="00CA3735" w:rsidRPr="00D92C0F" w:rsidRDefault="00CA3735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0.001*</w:t>
            </w:r>
          </w:p>
        </w:tc>
      </w:tr>
    </w:tbl>
    <w:p w:rsidR="00CA3735" w:rsidRPr="00D92C0F" w:rsidRDefault="008C4949" w:rsidP="00CA3735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</w:t>
      </w:r>
      <w:bookmarkStart w:id="0" w:name="_GoBack"/>
      <w:bookmarkEnd w:id="0"/>
      <w:r w:rsidR="00CA3735" w:rsidRPr="00D92C0F">
        <w:rPr>
          <w:rFonts w:ascii="Times New Roman" w:hAnsi="Times New Roman" w:cs="Times New Roman"/>
          <w:sz w:val="20"/>
          <w:szCs w:val="20"/>
          <w:lang w:val="en-GB"/>
        </w:rPr>
        <w:t xml:space="preserve"> 9 Outcome patients with complete remission compared to outcome patients without a malignancy</w:t>
      </w:r>
    </w:p>
    <w:p w:rsidR="004666C7" w:rsidRPr="00CA3735" w:rsidRDefault="004666C7" w:rsidP="00CA3735">
      <w:pPr>
        <w:rPr>
          <w:lang w:val="en-GB"/>
        </w:rPr>
      </w:pPr>
    </w:p>
    <w:sectPr w:rsidR="004666C7" w:rsidRPr="00CA37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4769D4"/>
    <w:rsid w:val="004C57D9"/>
    <w:rsid w:val="005E23BA"/>
    <w:rsid w:val="008C4949"/>
    <w:rsid w:val="008C6752"/>
    <w:rsid w:val="00B11412"/>
    <w:rsid w:val="00B975F3"/>
    <w:rsid w:val="00C333A1"/>
    <w:rsid w:val="00CA3735"/>
    <w:rsid w:val="00D13CE8"/>
    <w:rsid w:val="00D82C57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3</cp:revision>
  <dcterms:created xsi:type="dcterms:W3CDTF">2020-08-02T10:58:00Z</dcterms:created>
  <dcterms:modified xsi:type="dcterms:W3CDTF">2020-08-02T11:49:00Z</dcterms:modified>
</cp:coreProperties>
</file>