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17"/>
        <w:gridCol w:w="1301"/>
        <w:gridCol w:w="1267"/>
        <w:gridCol w:w="1133"/>
        <w:gridCol w:w="1473"/>
        <w:gridCol w:w="1071"/>
      </w:tblGrid>
      <w:tr w:rsidR="00EB5A08" w:rsidRPr="00D92C0F" w:rsidTr="009A07ED">
        <w:trPr>
          <w:trHeight w:val="567"/>
        </w:trPr>
        <w:tc>
          <w:tcPr>
            <w:tcW w:w="15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D92C0F">
              <w:rPr>
                <w:rFonts w:ascii="Times New Roman" w:hAnsi="Times New Roman" w:cs="Times New Roman"/>
                <w:b/>
                <w:lang w:val="en-GB"/>
              </w:rPr>
              <w:t>Variable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D92C0F">
              <w:rPr>
                <w:rFonts w:ascii="Times New Roman" w:hAnsi="Times New Roman" w:cs="Times New Roman"/>
                <w:b/>
                <w:lang w:val="en-GB"/>
              </w:rPr>
              <w:t>Patient cases</w:t>
            </w:r>
          </w:p>
        </w:tc>
        <w:tc>
          <w:tcPr>
            <w:tcW w:w="6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D92C0F">
              <w:rPr>
                <w:rFonts w:ascii="Times New Roman" w:hAnsi="Times New Roman" w:cs="Times New Roman"/>
                <w:b/>
                <w:lang w:val="en-GB"/>
              </w:rPr>
              <w:t xml:space="preserve">Mortality 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b/>
                <w:vertAlign w:val="superscript"/>
                <w:lang w:val="en-GB"/>
              </w:rPr>
            </w:pPr>
            <w:r w:rsidRPr="00D92C0F">
              <w:rPr>
                <w:rFonts w:ascii="Times New Roman" w:hAnsi="Times New Roman" w:cs="Times New Roman"/>
                <w:b/>
                <w:lang w:val="en-GB"/>
              </w:rPr>
              <w:t xml:space="preserve">OR </w:t>
            </w:r>
          </w:p>
        </w:tc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b/>
                <w:vertAlign w:val="superscript"/>
                <w:lang w:val="en-GB"/>
              </w:rPr>
            </w:pPr>
            <w:r w:rsidRPr="00D92C0F">
              <w:rPr>
                <w:rFonts w:ascii="Times New Roman" w:hAnsi="Times New Roman" w:cs="Times New Roman"/>
                <w:b/>
                <w:lang w:val="en-GB"/>
              </w:rPr>
              <w:t xml:space="preserve">95% CI 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b/>
                <w:vertAlign w:val="superscript"/>
                <w:lang w:val="en-GB"/>
              </w:rPr>
            </w:pPr>
            <w:r w:rsidRPr="00D92C0F">
              <w:rPr>
                <w:rFonts w:ascii="Times New Roman" w:hAnsi="Times New Roman" w:cs="Times New Roman"/>
                <w:b/>
                <w:lang w:val="en-GB"/>
              </w:rPr>
              <w:t xml:space="preserve">P-value </w:t>
            </w:r>
          </w:p>
        </w:tc>
      </w:tr>
      <w:tr w:rsidR="00EB5A08" w:rsidRPr="00D92C0F" w:rsidTr="009A07ED">
        <w:trPr>
          <w:trHeight w:val="567"/>
        </w:trPr>
        <w:tc>
          <w:tcPr>
            <w:tcW w:w="1554" w:type="pct"/>
            <w:tcBorders>
              <w:top w:val="single" w:sz="4" w:space="0" w:color="auto"/>
            </w:tcBorders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Age</w:t>
            </w:r>
          </w:p>
        </w:tc>
        <w:tc>
          <w:tcPr>
            <w:tcW w:w="718" w:type="pct"/>
            <w:tcBorders>
              <w:top w:val="single" w:sz="4" w:space="0" w:color="auto"/>
            </w:tcBorders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699" w:type="pct"/>
            <w:tcBorders>
              <w:top w:val="single" w:sz="4" w:space="0" w:color="auto"/>
            </w:tcBorders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1.01</w:t>
            </w:r>
          </w:p>
        </w:tc>
        <w:tc>
          <w:tcPr>
            <w:tcW w:w="813" w:type="pct"/>
            <w:tcBorders>
              <w:top w:val="single" w:sz="4" w:space="0" w:color="auto"/>
            </w:tcBorders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0.99-1.04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0.22</w:t>
            </w:r>
          </w:p>
        </w:tc>
      </w:tr>
      <w:tr w:rsidR="00EB5A08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Gender (male)</w:t>
            </w:r>
          </w:p>
        </w:tc>
        <w:tc>
          <w:tcPr>
            <w:tcW w:w="718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142 (64.3%)</w:t>
            </w:r>
          </w:p>
        </w:tc>
        <w:tc>
          <w:tcPr>
            <w:tcW w:w="699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69 (48.6%)</w:t>
            </w:r>
          </w:p>
        </w:tc>
        <w:tc>
          <w:tcPr>
            <w:tcW w:w="625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1.93</w:t>
            </w:r>
          </w:p>
        </w:tc>
        <w:tc>
          <w:tcPr>
            <w:tcW w:w="813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1.09-3.42</w:t>
            </w:r>
          </w:p>
        </w:tc>
        <w:tc>
          <w:tcPr>
            <w:tcW w:w="591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</w:t>
            </w:r>
          </w:p>
        </w:tc>
      </w:tr>
      <w:tr w:rsidR="00EB5A08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Comorbidity (CCI) </w:t>
            </w:r>
          </w:p>
        </w:tc>
        <w:tc>
          <w:tcPr>
            <w:tcW w:w="718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699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625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1.00</w:t>
            </w:r>
          </w:p>
        </w:tc>
        <w:tc>
          <w:tcPr>
            <w:tcW w:w="813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0.90-1.12</w:t>
            </w:r>
          </w:p>
        </w:tc>
        <w:tc>
          <w:tcPr>
            <w:tcW w:w="591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0.96</w:t>
            </w:r>
          </w:p>
        </w:tc>
      </w:tr>
      <w:tr w:rsidR="00EB5A08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ECOG PS before ICU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 (ref)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718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 (20.8%)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55 (24.9%)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 (17.2%)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51 (23.1%)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 (6.8%)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99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 (23.9%)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22 (40%)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 (44.7%)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29 (56.9%)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 (73.3%)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25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2.12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2.58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4.19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8.75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3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0.89-5.04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1.02-6.54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1.75-10.06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2.31-33.08</w:t>
            </w:r>
          </w:p>
        </w:tc>
        <w:tc>
          <w:tcPr>
            <w:tcW w:w="591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0.09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&lt;0.05*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0.001*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0.001*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A08" w:rsidRPr="00D92C0F" w:rsidTr="009A07ED">
        <w:trPr>
          <w:trHeight w:val="1300"/>
        </w:trPr>
        <w:tc>
          <w:tcPr>
            <w:tcW w:w="1554" w:type="pct"/>
            <w:shd w:val="clear" w:color="auto" w:fill="auto"/>
          </w:tcPr>
          <w:p w:rsidR="00EB5A08" w:rsidRPr="005E03FC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Active malignancy (ref)</w:t>
            </w:r>
          </w:p>
          <w:p w:rsidR="00EB5A08" w:rsidRPr="005E03FC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CR &lt; 5yr </w:t>
            </w:r>
          </w:p>
          <w:p w:rsidR="00EB5A08" w:rsidRPr="005E03FC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CR &gt; 5yr </w:t>
            </w:r>
          </w:p>
          <w:p w:rsidR="00EB5A08" w:rsidRPr="005E03FC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Active + CR </w:t>
            </w:r>
          </w:p>
        </w:tc>
        <w:tc>
          <w:tcPr>
            <w:tcW w:w="718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125 (56.6%)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41 (18.6%)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33 (14.9%)</w:t>
            </w: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17 (7.7%)</w:t>
            </w:r>
          </w:p>
        </w:tc>
        <w:tc>
          <w:tcPr>
            <w:tcW w:w="699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54 (43.2%) 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17 (41.5%) </w:t>
            </w: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 xml:space="preserve">15 (45.5%) </w:t>
            </w: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 xml:space="preserve">7 (41.2%) </w:t>
            </w:r>
          </w:p>
        </w:tc>
        <w:tc>
          <w:tcPr>
            <w:tcW w:w="625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0.93</w:t>
            </w: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1.10</w:t>
            </w: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0.92</w:t>
            </w:r>
          </w:p>
        </w:tc>
        <w:tc>
          <w:tcPr>
            <w:tcW w:w="813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0.46-1.90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0.51-2.37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0.33-2.58</w:t>
            </w:r>
          </w:p>
        </w:tc>
        <w:tc>
          <w:tcPr>
            <w:tcW w:w="591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0.85</w:t>
            </w: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0.82</w:t>
            </w: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0.87</w:t>
            </w:r>
          </w:p>
        </w:tc>
      </w:tr>
      <w:tr w:rsidR="00EB5A08" w:rsidRPr="00D92C0F" w:rsidTr="009A07ED">
        <w:trPr>
          <w:trHeight w:val="979"/>
        </w:trPr>
        <w:tc>
          <w:tcPr>
            <w:tcW w:w="1554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Solid malignancy (ref)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Hematological malignancy 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Hematological and Solid</w:t>
            </w:r>
          </w:p>
        </w:tc>
        <w:tc>
          <w:tcPr>
            <w:tcW w:w="718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172 (77.8%)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37 (16.7%) </w:t>
            </w: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10 (4.5%)</w:t>
            </w:r>
          </w:p>
        </w:tc>
        <w:tc>
          <w:tcPr>
            <w:tcW w:w="699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68 (39.5%)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21 (56.8%) 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 (50%)</w:t>
            </w:r>
          </w:p>
        </w:tc>
        <w:tc>
          <w:tcPr>
            <w:tcW w:w="625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2.01</w:t>
            </w: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1.53</w:t>
            </w:r>
          </w:p>
        </w:tc>
        <w:tc>
          <w:tcPr>
            <w:tcW w:w="813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0.98-4.12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0.43-5.48</w:t>
            </w:r>
          </w:p>
        </w:tc>
        <w:tc>
          <w:tcPr>
            <w:tcW w:w="591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</w:t>
            </w: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0.51</w:t>
            </w:r>
          </w:p>
        </w:tc>
      </w:tr>
      <w:tr w:rsidR="00EB5A08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Emergency surgery (ref)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Medical reasons 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718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37 (16.7%)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180 (81.4%)</w:t>
            </w:r>
          </w:p>
        </w:tc>
        <w:tc>
          <w:tcPr>
            <w:tcW w:w="699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14 (37.8%) </w:t>
            </w: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 xml:space="preserve">80 (44.4%) </w:t>
            </w: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25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1.31</w:t>
            </w:r>
          </w:p>
        </w:tc>
        <w:tc>
          <w:tcPr>
            <w:tcW w:w="813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0.64-2.72</w:t>
            </w:r>
          </w:p>
        </w:tc>
        <w:tc>
          <w:tcPr>
            <w:tcW w:w="591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0.46</w:t>
            </w:r>
          </w:p>
        </w:tc>
      </w:tr>
      <w:tr w:rsidR="00EB5A08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Metastatic malignancy</w:t>
            </w:r>
          </w:p>
        </w:tc>
        <w:tc>
          <w:tcPr>
            <w:tcW w:w="718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60 (27.1%)</w:t>
            </w:r>
          </w:p>
        </w:tc>
        <w:tc>
          <w:tcPr>
            <w:tcW w:w="699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25 (41.2%)</w:t>
            </w:r>
          </w:p>
        </w:tc>
        <w:tc>
          <w:tcPr>
            <w:tcW w:w="625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1.31</w:t>
            </w:r>
          </w:p>
        </w:tc>
        <w:tc>
          <w:tcPr>
            <w:tcW w:w="813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0.61-2.83</w:t>
            </w:r>
          </w:p>
        </w:tc>
        <w:tc>
          <w:tcPr>
            <w:tcW w:w="591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0.49</w:t>
            </w:r>
          </w:p>
        </w:tc>
      </w:tr>
      <w:tr w:rsidR="00EB5A08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Stem cell transplantation </w:t>
            </w:r>
          </w:p>
        </w:tc>
        <w:tc>
          <w:tcPr>
            <w:tcW w:w="718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12 (5.4%)</w:t>
            </w:r>
          </w:p>
        </w:tc>
        <w:tc>
          <w:tcPr>
            <w:tcW w:w="699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 (66.7%)</w:t>
            </w:r>
          </w:p>
        </w:tc>
        <w:tc>
          <w:tcPr>
            <w:tcW w:w="625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2.81</w:t>
            </w:r>
          </w:p>
        </w:tc>
        <w:tc>
          <w:tcPr>
            <w:tcW w:w="813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0.82-9.61</w:t>
            </w:r>
          </w:p>
        </w:tc>
        <w:tc>
          <w:tcPr>
            <w:tcW w:w="591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0.10</w:t>
            </w:r>
          </w:p>
        </w:tc>
      </w:tr>
      <w:tr w:rsidR="00EB5A08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SOFA score </w:t>
            </w:r>
          </w:p>
        </w:tc>
        <w:tc>
          <w:tcPr>
            <w:tcW w:w="718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699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625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1.18</w:t>
            </w:r>
          </w:p>
        </w:tc>
        <w:tc>
          <w:tcPr>
            <w:tcW w:w="813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1.08-1.28</w:t>
            </w:r>
          </w:p>
        </w:tc>
        <w:tc>
          <w:tcPr>
            <w:tcW w:w="591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&lt;0.001*</w:t>
            </w:r>
          </w:p>
        </w:tc>
      </w:tr>
      <w:tr w:rsidR="00EB5A08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Sepsis</w:t>
            </w:r>
          </w:p>
        </w:tc>
        <w:tc>
          <w:tcPr>
            <w:tcW w:w="718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90 (40.7%)</w:t>
            </w:r>
          </w:p>
        </w:tc>
        <w:tc>
          <w:tcPr>
            <w:tcW w:w="699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52 (57.8%)</w:t>
            </w:r>
          </w:p>
        </w:tc>
        <w:tc>
          <w:tcPr>
            <w:tcW w:w="625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2.80</w:t>
            </w:r>
          </w:p>
        </w:tc>
        <w:tc>
          <w:tcPr>
            <w:tcW w:w="813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1.61-4.88</w:t>
            </w:r>
          </w:p>
        </w:tc>
        <w:tc>
          <w:tcPr>
            <w:tcW w:w="591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&lt;0.001*</w:t>
            </w:r>
          </w:p>
        </w:tc>
      </w:tr>
      <w:tr w:rsidR="00EB5A08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Cancer treatment during ICU</w:t>
            </w:r>
          </w:p>
        </w:tc>
        <w:tc>
          <w:tcPr>
            <w:tcW w:w="718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10 (4.5%)</w:t>
            </w:r>
          </w:p>
        </w:tc>
        <w:tc>
          <w:tcPr>
            <w:tcW w:w="699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 (40%)</w:t>
            </w:r>
          </w:p>
        </w:tc>
        <w:tc>
          <w:tcPr>
            <w:tcW w:w="625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0.88</w:t>
            </w:r>
          </w:p>
        </w:tc>
        <w:tc>
          <w:tcPr>
            <w:tcW w:w="813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0.24-3.21</w:t>
            </w:r>
          </w:p>
        </w:tc>
        <w:tc>
          <w:tcPr>
            <w:tcW w:w="591" w:type="pct"/>
            <w:shd w:val="clear" w:color="auto" w:fill="auto"/>
          </w:tcPr>
          <w:p w:rsidR="00EB5A08" w:rsidRPr="00D92C0F" w:rsidRDefault="00EB5A08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0.85</w:t>
            </w:r>
          </w:p>
        </w:tc>
      </w:tr>
    </w:tbl>
    <w:p w:rsidR="00EB5A08" w:rsidRPr="00D92C0F" w:rsidRDefault="00EB5A08" w:rsidP="00EB5A08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bookmarkStart w:id="0" w:name="_GoBack"/>
      <w:r w:rsidRPr="00D92C0F">
        <w:rPr>
          <w:rFonts w:ascii="Times New Roman" w:hAnsi="Times New Roman" w:cs="Times New Roman"/>
          <w:sz w:val="20"/>
          <w:szCs w:val="20"/>
          <w:lang w:val="en-GB"/>
        </w:rPr>
        <w:t>Supplementary table 2 Univariate binary logistic regression analysis study population of possible predictors of hospital mortality</w:t>
      </w:r>
    </w:p>
    <w:bookmarkEnd w:id="0"/>
    <w:p w:rsidR="004666C7" w:rsidRPr="00EB5A08" w:rsidRDefault="004666C7" w:rsidP="00EB5A08">
      <w:pPr>
        <w:rPr>
          <w:lang w:val="en-GB"/>
        </w:rPr>
      </w:pPr>
    </w:p>
    <w:sectPr w:rsidR="004666C7" w:rsidRPr="00EB5A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52"/>
    <w:rsid w:val="00037B0C"/>
    <w:rsid w:val="003E28CA"/>
    <w:rsid w:val="004666C7"/>
    <w:rsid w:val="005E23BA"/>
    <w:rsid w:val="008C6752"/>
    <w:rsid w:val="00B975F3"/>
    <w:rsid w:val="00C333A1"/>
    <w:rsid w:val="00E02390"/>
    <w:rsid w:val="00EB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1BE11"/>
  <w15:chartTrackingRefBased/>
  <w15:docId w15:val="{10D11E76-4309-4169-A26F-7E0007A0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752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E.N. van der Zee</dc:creator>
  <cp:keywords/>
  <dc:description/>
  <cp:lastModifiedBy>E.N. van der Zee</cp:lastModifiedBy>
  <cp:revision>2</cp:revision>
  <dcterms:created xsi:type="dcterms:W3CDTF">2020-08-02T10:48:00Z</dcterms:created>
  <dcterms:modified xsi:type="dcterms:W3CDTF">2020-08-02T10:48:00Z</dcterms:modified>
</cp:coreProperties>
</file>