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196D0" w14:textId="57029B59" w:rsidR="00701E58" w:rsidRDefault="00F70404" w:rsidP="00F70404">
      <w:pPr>
        <w:spacing w:line="360" w:lineRule="auto"/>
        <w:rPr>
          <w:rFonts w:ascii="Arial" w:eastAsia="宋体" w:hAnsi="Arial" w:cs="Arial"/>
          <w:b/>
          <w:bCs/>
          <w:sz w:val="28"/>
          <w:szCs w:val="28"/>
        </w:rPr>
      </w:pPr>
      <w:r w:rsidRPr="00F70404">
        <w:rPr>
          <w:rFonts w:ascii="Arial" w:eastAsia="宋体" w:hAnsi="Arial" w:cs="Arial" w:hint="eastAsia"/>
          <w:b/>
          <w:bCs/>
          <w:sz w:val="28"/>
          <w:szCs w:val="28"/>
        </w:rPr>
        <w:t>Supplementary Information</w:t>
      </w:r>
    </w:p>
    <w:p w14:paraId="347A98A4" w14:textId="77777777" w:rsidR="00F70404" w:rsidRDefault="00F70404" w:rsidP="00F70404">
      <w:pPr>
        <w:spacing w:line="360" w:lineRule="auto"/>
        <w:rPr>
          <w:rFonts w:ascii="Arial" w:eastAsia="宋体" w:hAnsi="Arial" w:cs="Arial"/>
          <w:b/>
          <w:bCs/>
          <w:sz w:val="28"/>
          <w:szCs w:val="28"/>
        </w:rPr>
      </w:pPr>
    </w:p>
    <w:p w14:paraId="187C67EA" w14:textId="4DEB0E67" w:rsidR="00F70404" w:rsidRPr="00F70404" w:rsidRDefault="00F70404" w:rsidP="00F70404">
      <w:pPr>
        <w:spacing w:line="360" w:lineRule="auto"/>
        <w:rPr>
          <w:rFonts w:ascii="Arial" w:eastAsia="宋体" w:hAnsi="Arial" w:cs="Arial"/>
          <w:b/>
          <w:bCs/>
          <w:sz w:val="24"/>
          <w:szCs w:val="24"/>
        </w:rPr>
      </w:pPr>
      <w:r w:rsidRPr="00F70404">
        <w:rPr>
          <w:rFonts w:ascii="Arial" w:eastAsia="宋体" w:hAnsi="Arial" w:cs="Arial" w:hint="eastAsia"/>
          <w:b/>
          <w:bCs/>
          <w:sz w:val="24"/>
          <w:szCs w:val="24"/>
        </w:rPr>
        <w:t>Supplementary</w:t>
      </w:r>
      <w:r w:rsidRPr="00F70404">
        <w:rPr>
          <w:rFonts w:ascii="Arial" w:eastAsia="宋体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eastAsia="宋体" w:hAnsi="Arial" w:cs="Arial" w:hint="eastAsia"/>
          <w:b/>
          <w:bCs/>
          <w:sz w:val="24"/>
          <w:szCs w:val="24"/>
        </w:rPr>
        <w:t>f</w:t>
      </w:r>
      <w:r w:rsidRPr="00F70404">
        <w:rPr>
          <w:rFonts w:ascii="Arial" w:eastAsia="宋体" w:hAnsi="Arial" w:cs="Arial" w:hint="eastAsia"/>
          <w:b/>
          <w:bCs/>
          <w:sz w:val="24"/>
          <w:szCs w:val="24"/>
        </w:rPr>
        <w:t>igure legend</w:t>
      </w:r>
      <w:r>
        <w:rPr>
          <w:rFonts w:ascii="Arial" w:eastAsia="宋体" w:hAnsi="Arial" w:cs="Arial" w:hint="eastAsia"/>
          <w:b/>
          <w:bCs/>
          <w:sz w:val="24"/>
          <w:szCs w:val="24"/>
        </w:rPr>
        <w:t>s</w:t>
      </w:r>
    </w:p>
    <w:p w14:paraId="022C040E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 xml:space="preserve">Figure S1. The immunogenicity of 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 xml:space="preserve">the 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spike protein produced from different protein expression 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>systems</w:t>
      </w:r>
      <w:r w:rsidRPr="00DE170C">
        <w:rPr>
          <w:rFonts w:ascii="Arial" w:hAnsi="Arial" w:cs="Arial"/>
          <w:b/>
          <w:bCs/>
          <w:sz w:val="24"/>
          <w:szCs w:val="28"/>
        </w:rPr>
        <w:t>.</w:t>
      </w:r>
    </w:p>
    <w:p w14:paraId="6DA43971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A.</w:t>
      </w:r>
      <w:r w:rsidRPr="00DE170C">
        <w:rPr>
          <w:rFonts w:ascii="Arial" w:hAnsi="Arial" w:cs="Arial"/>
          <w:sz w:val="24"/>
          <w:szCs w:val="28"/>
        </w:rPr>
        <w:t xml:space="preserve"> RBD-specific IgG titers in sera induced by intranasal immunization </w:t>
      </w:r>
      <w:r w:rsidRPr="00DE170C">
        <w:rPr>
          <w:rFonts w:ascii="Arial" w:eastAsia="等线" w:hAnsi="Arial" w:cs="Arial"/>
          <w:sz w:val="24"/>
          <w:szCs w:val="28"/>
        </w:rPr>
        <w:t>with the</w:t>
      </w:r>
      <w:r w:rsidRPr="00DE170C">
        <w:rPr>
          <w:rFonts w:ascii="Arial" w:hAnsi="Arial" w:cs="Arial"/>
          <w:sz w:val="24"/>
          <w:szCs w:val="28"/>
        </w:rPr>
        <w:t xml:space="preserve"> spike protein of the </w:t>
      </w:r>
      <w:r w:rsidRPr="00DE170C">
        <w:rPr>
          <w:rFonts w:ascii="Arial" w:eastAsia="等线" w:hAnsi="Arial" w:cs="Arial"/>
          <w:sz w:val="24"/>
          <w:szCs w:val="28"/>
        </w:rPr>
        <w:t xml:space="preserve">original </w:t>
      </w:r>
      <w:r w:rsidRPr="00DE170C">
        <w:rPr>
          <w:rFonts w:ascii="Arial" w:hAnsi="Arial" w:cs="Arial"/>
          <w:sz w:val="24"/>
          <w:szCs w:val="28"/>
        </w:rPr>
        <w:t xml:space="preserve">SARS-CoV-2 strain expressed in CHO cells and 293 cells. </w:t>
      </w:r>
      <w:r w:rsidRPr="00DE170C">
        <w:rPr>
          <w:rFonts w:ascii="Arial" w:hAnsi="Arial" w:cs="Arial"/>
          <w:b/>
          <w:bCs/>
          <w:sz w:val="24"/>
          <w:szCs w:val="28"/>
        </w:rPr>
        <w:t>B.</w:t>
      </w:r>
      <w:r w:rsidRPr="00DE170C">
        <w:rPr>
          <w:rFonts w:ascii="Arial" w:hAnsi="Arial" w:cs="Arial"/>
          <w:sz w:val="24"/>
          <w:szCs w:val="28"/>
        </w:rPr>
        <w:t xml:space="preserve"> RBD-specific IgG titers in sera induced by intranasal immunization </w:t>
      </w:r>
      <w:r w:rsidRPr="00DE170C">
        <w:rPr>
          <w:rFonts w:ascii="Arial" w:eastAsia="等线" w:hAnsi="Arial" w:cs="Arial"/>
          <w:sz w:val="24"/>
          <w:szCs w:val="28"/>
        </w:rPr>
        <w:t>with the</w:t>
      </w:r>
      <w:r w:rsidRPr="00DE170C">
        <w:rPr>
          <w:rFonts w:ascii="Arial" w:hAnsi="Arial" w:cs="Arial"/>
          <w:sz w:val="24"/>
          <w:szCs w:val="28"/>
        </w:rPr>
        <w:t xml:space="preserve"> spike protein of the </w:t>
      </w:r>
      <w:r w:rsidRPr="00DE170C">
        <w:rPr>
          <w:rFonts w:ascii="Arial" w:eastAsia="等线" w:hAnsi="Arial" w:cs="Arial"/>
          <w:sz w:val="24"/>
          <w:szCs w:val="28"/>
        </w:rPr>
        <w:t xml:space="preserve">original </w:t>
      </w:r>
      <w:r w:rsidRPr="00DE170C">
        <w:rPr>
          <w:rFonts w:ascii="Arial" w:hAnsi="Arial" w:cs="Arial"/>
          <w:sz w:val="24"/>
          <w:szCs w:val="28"/>
        </w:rPr>
        <w:t>SARS-CoV-2 strain expressed in baculovirus-</w:t>
      </w:r>
      <w:r w:rsidRPr="00DE170C">
        <w:rPr>
          <w:rFonts w:ascii="Arial" w:eastAsia="等线" w:hAnsi="Arial" w:cs="Arial"/>
          <w:sz w:val="24"/>
          <w:szCs w:val="28"/>
        </w:rPr>
        <w:t>infected</w:t>
      </w:r>
      <w:r w:rsidRPr="00DE170C">
        <w:rPr>
          <w:rFonts w:ascii="Arial" w:hAnsi="Arial" w:cs="Arial"/>
          <w:sz w:val="24"/>
          <w:szCs w:val="28"/>
        </w:rPr>
        <w:t xml:space="preserve"> cells and CHO cells. </w:t>
      </w:r>
      <w:r w:rsidRPr="00DE170C">
        <w:rPr>
          <w:rFonts w:ascii="Arial" w:eastAsia="等线" w:hAnsi="Arial" w:cs="Arial"/>
          <w:sz w:val="24"/>
          <w:szCs w:val="28"/>
        </w:rPr>
        <w:t>The data are presented</w:t>
      </w:r>
      <w:r w:rsidRPr="00DE170C">
        <w:rPr>
          <w:rFonts w:ascii="Arial" w:hAnsi="Arial" w:cs="Arial"/>
          <w:sz w:val="24"/>
          <w:szCs w:val="28"/>
        </w:rPr>
        <w:t xml:space="preserve"> as the </w:t>
      </w:r>
      <w:r w:rsidRPr="00DE170C">
        <w:rPr>
          <w:rFonts w:ascii="Arial" w:eastAsia="等线" w:hAnsi="Arial" w:cs="Arial"/>
          <w:sz w:val="24"/>
          <w:szCs w:val="28"/>
        </w:rPr>
        <w:t>means ± SEMs</w:t>
      </w:r>
      <w:r w:rsidRPr="00DE170C">
        <w:rPr>
          <w:rFonts w:ascii="Arial" w:hAnsi="Arial" w:cs="Arial"/>
          <w:sz w:val="24"/>
          <w:szCs w:val="28"/>
        </w:rPr>
        <w:t xml:space="preserve">. Groups were compared </w:t>
      </w:r>
      <w:r w:rsidRPr="00DE170C">
        <w:rPr>
          <w:rFonts w:ascii="Arial" w:eastAsia="等线" w:hAnsi="Arial" w:cs="Arial"/>
          <w:sz w:val="24"/>
          <w:szCs w:val="28"/>
        </w:rPr>
        <w:t>via</w:t>
      </w:r>
      <w:r w:rsidRPr="00DE170C">
        <w:rPr>
          <w:rFonts w:ascii="Arial" w:hAnsi="Arial" w:cs="Arial"/>
          <w:sz w:val="24"/>
          <w:szCs w:val="28"/>
        </w:rPr>
        <w:t xml:space="preserve"> one-way ANOVA. 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&lt;0.05, ***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&lt;0.001; ns, nonsignificant.</w:t>
      </w:r>
    </w:p>
    <w:p w14:paraId="503C9246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</w:p>
    <w:p w14:paraId="3EC45954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Figure S2. The effectiveness and biocompatibility of LNT as a respiratory mucosal adjuvant.</w:t>
      </w:r>
    </w:p>
    <w:p w14:paraId="0DA3B373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A.</w:t>
      </w:r>
      <w:r w:rsidRPr="00DE170C">
        <w:rPr>
          <w:rFonts w:ascii="Arial" w:hAnsi="Arial" w:cs="Arial"/>
          <w:sz w:val="24"/>
          <w:szCs w:val="28"/>
        </w:rPr>
        <w:t xml:space="preserve"> RBD-specific IgG titers in sera induced by intranasal immunization </w:t>
      </w:r>
      <w:r w:rsidRPr="00DE170C">
        <w:rPr>
          <w:rFonts w:ascii="Arial" w:eastAsia="等线" w:hAnsi="Arial" w:cs="Arial"/>
          <w:sz w:val="24"/>
          <w:szCs w:val="28"/>
        </w:rPr>
        <w:t>with</w:t>
      </w:r>
      <w:r w:rsidRPr="00DE170C">
        <w:rPr>
          <w:rFonts w:ascii="Arial" w:hAnsi="Arial" w:cs="Arial"/>
          <w:sz w:val="24"/>
          <w:szCs w:val="28"/>
        </w:rPr>
        <w:t xml:space="preserve"> spike protein together with different adjuvants </w:t>
      </w:r>
      <w:r w:rsidRPr="00DE170C">
        <w:rPr>
          <w:rFonts w:ascii="Arial" w:eastAsia="等线" w:hAnsi="Arial" w:cs="Arial"/>
          <w:sz w:val="24"/>
          <w:szCs w:val="28"/>
        </w:rPr>
        <w:t>after</w:t>
      </w:r>
      <w:r w:rsidRPr="00DE170C">
        <w:rPr>
          <w:rFonts w:ascii="Arial" w:hAnsi="Arial" w:cs="Arial"/>
          <w:sz w:val="24"/>
          <w:szCs w:val="28"/>
        </w:rPr>
        <w:t xml:space="preserve"> the 2</w:t>
      </w:r>
      <w:r w:rsidRPr="00DE170C">
        <w:rPr>
          <w:rFonts w:ascii="Arial" w:hAnsi="Arial" w:cs="Arial"/>
          <w:sz w:val="24"/>
          <w:szCs w:val="28"/>
          <w:vertAlign w:val="superscript"/>
        </w:rPr>
        <w:t>nd</w:t>
      </w:r>
      <w:r w:rsidRPr="00DE170C">
        <w:rPr>
          <w:rFonts w:ascii="Arial" w:hAnsi="Arial" w:cs="Arial"/>
          <w:sz w:val="24"/>
          <w:szCs w:val="28"/>
        </w:rPr>
        <w:t xml:space="preserve"> immunization. </w:t>
      </w:r>
      <w:r w:rsidRPr="00DE170C">
        <w:rPr>
          <w:rFonts w:ascii="Arial" w:hAnsi="Arial" w:cs="Arial"/>
          <w:b/>
          <w:bCs/>
          <w:sz w:val="24"/>
          <w:szCs w:val="28"/>
        </w:rPr>
        <w:t>B.</w:t>
      </w:r>
      <w:r w:rsidRPr="00DE170C">
        <w:rPr>
          <w:rFonts w:ascii="Arial" w:hAnsi="Arial" w:cs="Arial"/>
          <w:sz w:val="24"/>
          <w:szCs w:val="28"/>
        </w:rPr>
        <w:t xml:space="preserve"> RBD-specific IgG serum titers induced by intranasal immunization </w:t>
      </w:r>
      <w:r w:rsidRPr="00DE170C">
        <w:rPr>
          <w:rFonts w:ascii="Arial" w:eastAsia="等线" w:hAnsi="Arial" w:cs="Arial"/>
          <w:sz w:val="24"/>
          <w:szCs w:val="28"/>
        </w:rPr>
        <w:t>with</w:t>
      </w:r>
      <w:r w:rsidRPr="00DE170C">
        <w:rPr>
          <w:rFonts w:ascii="Arial" w:hAnsi="Arial" w:cs="Arial"/>
          <w:sz w:val="24"/>
          <w:szCs w:val="28"/>
        </w:rPr>
        <w:t xml:space="preserve"> spike protein with pre- or co-instillation of LNT. </w:t>
      </w:r>
      <w:r w:rsidRPr="00DE170C">
        <w:rPr>
          <w:rFonts w:ascii="Arial" w:hAnsi="Arial" w:cs="Arial"/>
          <w:b/>
          <w:bCs/>
          <w:sz w:val="24"/>
          <w:szCs w:val="28"/>
        </w:rPr>
        <w:t>C.</w:t>
      </w:r>
      <w:r w:rsidRPr="00DE170C">
        <w:rPr>
          <w:rFonts w:ascii="Arial" w:hAnsi="Arial" w:cs="Arial"/>
          <w:sz w:val="24"/>
          <w:szCs w:val="28"/>
        </w:rPr>
        <w:t xml:space="preserve"> RBD-specific serum IgG titers induced by intranasal immunization </w:t>
      </w:r>
      <w:r w:rsidRPr="00DE170C">
        <w:rPr>
          <w:rFonts w:ascii="Arial" w:eastAsia="等线" w:hAnsi="Arial" w:cs="Arial"/>
          <w:sz w:val="24"/>
          <w:szCs w:val="28"/>
        </w:rPr>
        <w:t>with the</w:t>
      </w:r>
      <w:r w:rsidRPr="00DE170C">
        <w:rPr>
          <w:rFonts w:ascii="Arial" w:hAnsi="Arial" w:cs="Arial"/>
          <w:sz w:val="24"/>
          <w:szCs w:val="28"/>
        </w:rPr>
        <w:t xml:space="preserve"> spike protein together with different </w:t>
      </w:r>
      <w:r w:rsidRPr="00DE170C">
        <w:rPr>
          <w:rFonts w:ascii="Arial" w:eastAsia="等线" w:hAnsi="Arial" w:cs="Arial"/>
          <w:sz w:val="24"/>
          <w:szCs w:val="28"/>
        </w:rPr>
        <w:t>doses</w:t>
      </w:r>
      <w:r w:rsidRPr="00DE170C">
        <w:rPr>
          <w:rFonts w:ascii="Arial" w:hAnsi="Arial" w:cs="Arial"/>
          <w:sz w:val="24"/>
          <w:szCs w:val="28"/>
        </w:rPr>
        <w:t xml:space="preserve"> of LNT. 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D. </w:t>
      </w:r>
      <w:r w:rsidRPr="00DE170C">
        <w:rPr>
          <w:rFonts w:ascii="Arial" w:hAnsi="Arial" w:cs="Arial"/>
          <w:sz w:val="24"/>
          <w:szCs w:val="28"/>
        </w:rPr>
        <w:t xml:space="preserve">Enriched pathways </w:t>
      </w:r>
      <w:r w:rsidRPr="00DE170C">
        <w:rPr>
          <w:rFonts w:ascii="Arial" w:eastAsia="等线" w:hAnsi="Arial" w:cs="Arial"/>
          <w:sz w:val="24"/>
          <w:szCs w:val="28"/>
        </w:rPr>
        <w:t>associated with</w:t>
      </w:r>
      <w:r w:rsidRPr="00DE170C">
        <w:rPr>
          <w:rFonts w:ascii="Arial" w:hAnsi="Arial" w:cs="Arial"/>
          <w:sz w:val="24"/>
          <w:szCs w:val="28"/>
        </w:rPr>
        <w:t xml:space="preserve"> genes in </w:t>
      </w:r>
      <w:r w:rsidRPr="00DE170C">
        <w:rPr>
          <w:rFonts w:ascii="Arial" w:eastAsia="等线" w:hAnsi="Arial" w:cs="Arial"/>
          <w:sz w:val="24"/>
          <w:szCs w:val="28"/>
        </w:rPr>
        <w:t xml:space="preserve">the </w:t>
      </w:r>
      <w:r w:rsidRPr="00DE170C">
        <w:rPr>
          <w:rFonts w:ascii="Arial" w:hAnsi="Arial" w:cs="Arial"/>
          <w:sz w:val="24"/>
          <w:szCs w:val="28"/>
        </w:rPr>
        <w:t xml:space="preserve">lung tissues of mice </w:t>
      </w:r>
      <w:r w:rsidRPr="00DE170C">
        <w:rPr>
          <w:rFonts w:ascii="Arial" w:eastAsia="等线" w:hAnsi="Arial" w:cs="Arial"/>
          <w:sz w:val="24"/>
          <w:szCs w:val="28"/>
        </w:rPr>
        <w:t>intranasally instilled with LNT</w:t>
      </w:r>
      <w:r w:rsidRPr="00DE170C">
        <w:rPr>
          <w:rFonts w:ascii="Arial" w:hAnsi="Arial" w:cs="Arial"/>
          <w:sz w:val="24"/>
          <w:szCs w:val="28"/>
        </w:rPr>
        <w:t xml:space="preserve">. </w:t>
      </w:r>
      <w:r w:rsidRPr="00DE170C">
        <w:rPr>
          <w:rFonts w:ascii="Arial" w:hAnsi="Arial" w:cs="Arial"/>
          <w:b/>
          <w:bCs/>
          <w:sz w:val="24"/>
          <w:szCs w:val="28"/>
        </w:rPr>
        <w:t>E.</w:t>
      </w:r>
      <w:r w:rsidRPr="00DE170C">
        <w:rPr>
          <w:rFonts w:ascii="Arial" w:hAnsi="Arial" w:cs="Arial"/>
          <w:sz w:val="24"/>
          <w:szCs w:val="28"/>
        </w:rPr>
        <w:t xml:space="preserve"> Index of </w:t>
      </w:r>
      <w:r w:rsidRPr="00DE170C">
        <w:rPr>
          <w:rFonts w:ascii="Arial" w:eastAsia="等线" w:hAnsi="Arial" w:cs="Arial"/>
          <w:sz w:val="24"/>
          <w:szCs w:val="28"/>
        </w:rPr>
        <w:t xml:space="preserve">the </w:t>
      </w:r>
      <w:r w:rsidRPr="00DE170C">
        <w:rPr>
          <w:rFonts w:ascii="Arial" w:hAnsi="Arial" w:cs="Arial"/>
          <w:sz w:val="24"/>
          <w:szCs w:val="28"/>
        </w:rPr>
        <w:t>lungs (lung weight/body weight) at 24 h post</w:t>
      </w:r>
      <w:r w:rsidRPr="00DE170C">
        <w:rPr>
          <w:rFonts w:ascii="Arial" w:eastAsia="等线" w:hAnsi="Arial" w:cs="Arial"/>
          <w:sz w:val="24"/>
          <w:szCs w:val="28"/>
        </w:rPr>
        <w:t>-</w:t>
      </w:r>
      <w:r w:rsidRPr="00DE170C">
        <w:rPr>
          <w:rFonts w:ascii="Arial" w:hAnsi="Arial" w:cs="Arial"/>
          <w:sz w:val="24"/>
          <w:szCs w:val="28"/>
        </w:rPr>
        <w:t xml:space="preserve">immunization. </w:t>
      </w:r>
      <w:r w:rsidRPr="00DE170C">
        <w:rPr>
          <w:rFonts w:ascii="Arial" w:hAnsi="Arial" w:cs="Arial"/>
          <w:b/>
          <w:bCs/>
          <w:sz w:val="24"/>
          <w:szCs w:val="28"/>
        </w:rPr>
        <w:t>F.</w:t>
      </w:r>
      <w:r w:rsidRPr="00DE170C">
        <w:rPr>
          <w:rFonts w:ascii="Arial" w:hAnsi="Arial" w:cs="Arial"/>
          <w:sz w:val="24"/>
          <w:szCs w:val="28"/>
        </w:rPr>
        <w:t xml:space="preserve"> H&amp;E staining of the nasals and lungs at 24 h post</w:t>
      </w:r>
      <w:r w:rsidRPr="00DE170C">
        <w:rPr>
          <w:rFonts w:ascii="Arial" w:eastAsia="等线" w:hAnsi="Arial" w:cs="Arial"/>
          <w:sz w:val="24"/>
          <w:szCs w:val="28"/>
        </w:rPr>
        <w:t>-</w:t>
      </w:r>
      <w:r w:rsidRPr="00DE170C">
        <w:rPr>
          <w:rFonts w:ascii="Arial" w:hAnsi="Arial" w:cs="Arial"/>
          <w:sz w:val="24"/>
          <w:szCs w:val="28"/>
        </w:rPr>
        <w:t>immunization (scale bars,</w:t>
      </w:r>
      <w:r w:rsidRPr="00DE170C">
        <w:rPr>
          <w:rFonts w:ascii="Arial" w:eastAsia="等线" w:hAnsi="Arial" w:cs="Arial"/>
          <w:sz w:val="24"/>
          <w:szCs w:val="28"/>
        </w:rPr>
        <w:t xml:space="preserve"> </w:t>
      </w:r>
      <w:r w:rsidRPr="00DE170C">
        <w:rPr>
          <w:rFonts w:ascii="Arial" w:hAnsi="Arial" w:cs="Arial"/>
          <w:sz w:val="24"/>
          <w:szCs w:val="28"/>
        </w:rPr>
        <w:t xml:space="preserve">100 </w:t>
      </w:r>
      <w:r w:rsidRPr="00DE170C">
        <w:rPr>
          <w:rFonts w:ascii="Arial" w:eastAsia="宋体" w:hAnsi="Arial" w:cs="Arial"/>
          <w:sz w:val="24"/>
          <w:szCs w:val="24"/>
        </w:rPr>
        <w:sym w:font="Symbol" w:char="F06D"/>
      </w:r>
      <w:r w:rsidRPr="00DE170C">
        <w:rPr>
          <w:rFonts w:ascii="Arial" w:hAnsi="Arial" w:cs="Arial"/>
          <w:sz w:val="24"/>
          <w:szCs w:val="28"/>
        </w:rPr>
        <w:t xml:space="preserve">m). </w:t>
      </w:r>
      <w:r w:rsidRPr="00DE170C">
        <w:rPr>
          <w:rFonts w:ascii="Arial" w:eastAsia="等线" w:hAnsi="Arial" w:cs="Arial"/>
          <w:sz w:val="24"/>
          <w:szCs w:val="28"/>
        </w:rPr>
        <w:t>The data are presented</w:t>
      </w:r>
      <w:r w:rsidRPr="00DE170C">
        <w:rPr>
          <w:rFonts w:ascii="Arial" w:hAnsi="Arial" w:cs="Arial"/>
          <w:sz w:val="24"/>
          <w:szCs w:val="28"/>
        </w:rPr>
        <w:t xml:space="preserve"> as the </w:t>
      </w:r>
      <w:r w:rsidRPr="00DE170C">
        <w:rPr>
          <w:rFonts w:ascii="Arial" w:eastAsia="等线" w:hAnsi="Arial" w:cs="Arial"/>
          <w:sz w:val="24"/>
          <w:szCs w:val="28"/>
        </w:rPr>
        <w:t>means ± SEMs</w:t>
      </w:r>
      <w:r w:rsidRPr="00DE170C">
        <w:rPr>
          <w:rFonts w:ascii="Arial" w:hAnsi="Arial" w:cs="Arial"/>
          <w:sz w:val="24"/>
          <w:szCs w:val="28"/>
        </w:rPr>
        <w:t xml:space="preserve">. Groups were compared </w:t>
      </w:r>
      <w:r w:rsidRPr="00DE170C">
        <w:rPr>
          <w:rFonts w:ascii="Arial" w:eastAsia="等线" w:hAnsi="Arial" w:cs="Arial"/>
          <w:sz w:val="24"/>
          <w:szCs w:val="28"/>
        </w:rPr>
        <w:t>via</w:t>
      </w:r>
      <w:r w:rsidRPr="00DE170C">
        <w:rPr>
          <w:rFonts w:ascii="Arial" w:hAnsi="Arial" w:cs="Arial"/>
          <w:sz w:val="24"/>
          <w:szCs w:val="28"/>
        </w:rPr>
        <w:t xml:space="preserve"> one-way ANOVA. 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 xml:space="preserve">&lt;0.05; ** 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&lt;0.01; ns: nonsignificant.</w:t>
      </w:r>
    </w:p>
    <w:p w14:paraId="5C2804A3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</w:p>
    <w:p w14:paraId="0646D475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Figure S3. S1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>-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 or S2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>-</w:t>
      </w:r>
      <w:r w:rsidRPr="00DE170C">
        <w:rPr>
          <w:rFonts w:ascii="Arial" w:hAnsi="Arial" w:cs="Arial"/>
          <w:b/>
          <w:bCs/>
          <w:sz w:val="24"/>
          <w:szCs w:val="28"/>
        </w:rPr>
        <w:t>specific IFN-</w:t>
      </w:r>
      <w:r w:rsidRPr="00DE170C">
        <w:rPr>
          <w:rFonts w:ascii="Arial" w:hAnsi="Arial" w:cs="Arial"/>
          <w:b/>
          <w:bCs/>
          <w:sz w:val="24"/>
          <w:szCs w:val="28"/>
        </w:rPr>
        <w:sym w:font="Symbol" w:char="F067"/>
      </w:r>
      <w:r w:rsidRPr="00DE170C">
        <w:rPr>
          <w:rFonts w:ascii="Arial" w:hAnsi="Arial" w:cs="Arial"/>
          <w:b/>
          <w:bCs/>
          <w:sz w:val="24"/>
          <w:szCs w:val="28"/>
        </w:rPr>
        <w:t>-secreting T-cell responses of spleen cells.</w:t>
      </w:r>
    </w:p>
    <w:p w14:paraId="66514DEA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lastRenderedPageBreak/>
        <w:t xml:space="preserve">A. </w:t>
      </w:r>
      <w:r w:rsidRPr="00DE170C">
        <w:rPr>
          <w:rFonts w:ascii="Arial" w:hAnsi="Arial" w:cs="Arial"/>
          <w:sz w:val="24"/>
          <w:szCs w:val="28"/>
        </w:rPr>
        <w:t>Representative images of the IFN-</w:t>
      </w:r>
      <w:r w:rsidRPr="00DE170C">
        <w:rPr>
          <w:rFonts w:ascii="Arial" w:hAnsi="Arial" w:cs="Arial"/>
          <w:sz w:val="24"/>
          <w:szCs w:val="28"/>
        </w:rPr>
        <w:sym w:font="Symbol" w:char="F067"/>
      </w:r>
      <w:r w:rsidRPr="00DE170C">
        <w:rPr>
          <w:rFonts w:ascii="Arial" w:hAnsi="Arial" w:cs="Arial"/>
          <w:sz w:val="24"/>
          <w:szCs w:val="28"/>
        </w:rPr>
        <w:t xml:space="preserve">- and IL-17A-secreting T-cell responses of spleen cells </w:t>
      </w:r>
      <w:r w:rsidRPr="00DE170C">
        <w:rPr>
          <w:rFonts w:ascii="Arial" w:eastAsia="等线" w:hAnsi="Arial" w:cs="Arial"/>
          <w:sz w:val="24"/>
          <w:szCs w:val="28"/>
        </w:rPr>
        <w:t xml:space="preserve">stimulated </w:t>
      </w:r>
      <w:r w:rsidRPr="00DE170C">
        <w:rPr>
          <w:rFonts w:ascii="Arial" w:hAnsi="Arial" w:cs="Arial"/>
          <w:sz w:val="24"/>
          <w:szCs w:val="28"/>
        </w:rPr>
        <w:t xml:space="preserve">with </w:t>
      </w:r>
      <w:r w:rsidRPr="00DE170C">
        <w:rPr>
          <w:rFonts w:ascii="Arial" w:eastAsia="等线" w:hAnsi="Arial" w:cs="Arial"/>
          <w:sz w:val="24"/>
          <w:szCs w:val="28"/>
        </w:rPr>
        <w:t xml:space="preserve">the </w:t>
      </w:r>
      <w:r w:rsidRPr="00DE170C">
        <w:rPr>
          <w:rFonts w:ascii="Arial" w:hAnsi="Arial" w:cs="Arial"/>
          <w:sz w:val="24"/>
          <w:szCs w:val="28"/>
        </w:rPr>
        <w:t xml:space="preserve">S1 protein. </w:t>
      </w:r>
      <w:r w:rsidRPr="00DE170C">
        <w:rPr>
          <w:rFonts w:ascii="Arial" w:hAnsi="Arial" w:cs="Arial"/>
          <w:b/>
          <w:bCs/>
          <w:sz w:val="24"/>
          <w:szCs w:val="28"/>
        </w:rPr>
        <w:t>B.</w:t>
      </w:r>
      <w:r w:rsidRPr="00DE170C">
        <w:rPr>
          <w:rFonts w:ascii="Arial" w:hAnsi="Arial" w:cs="Arial"/>
          <w:sz w:val="24"/>
          <w:szCs w:val="28"/>
        </w:rPr>
        <w:t xml:space="preserve"> Representative images of the IFN-</w:t>
      </w:r>
      <w:r w:rsidRPr="00DE170C">
        <w:rPr>
          <w:rFonts w:ascii="Arial" w:hAnsi="Arial" w:cs="Arial"/>
          <w:sz w:val="24"/>
          <w:szCs w:val="28"/>
        </w:rPr>
        <w:sym w:font="Symbol" w:char="F067"/>
      </w:r>
      <w:r w:rsidRPr="00DE170C">
        <w:rPr>
          <w:rFonts w:ascii="Arial" w:hAnsi="Arial" w:cs="Arial"/>
          <w:sz w:val="24"/>
          <w:szCs w:val="28"/>
        </w:rPr>
        <w:t xml:space="preserve">- and IL-17A-secreting T-cell responses of spleen cells </w:t>
      </w:r>
      <w:r w:rsidRPr="00DE170C">
        <w:rPr>
          <w:rFonts w:ascii="Arial" w:eastAsia="等线" w:hAnsi="Arial" w:cs="Arial"/>
          <w:sz w:val="24"/>
          <w:szCs w:val="28"/>
        </w:rPr>
        <w:t xml:space="preserve">stimulated </w:t>
      </w:r>
      <w:r w:rsidRPr="00DE170C">
        <w:rPr>
          <w:rFonts w:ascii="Arial" w:hAnsi="Arial" w:cs="Arial"/>
          <w:sz w:val="24"/>
          <w:szCs w:val="28"/>
        </w:rPr>
        <w:t xml:space="preserve">with </w:t>
      </w:r>
      <w:r w:rsidRPr="00DE170C">
        <w:rPr>
          <w:rFonts w:ascii="Arial" w:eastAsia="等线" w:hAnsi="Arial" w:cs="Arial"/>
          <w:sz w:val="24"/>
          <w:szCs w:val="28"/>
        </w:rPr>
        <w:t xml:space="preserve">the </w:t>
      </w:r>
      <w:r w:rsidRPr="00DE170C">
        <w:rPr>
          <w:rFonts w:ascii="Arial" w:hAnsi="Arial" w:cs="Arial"/>
          <w:sz w:val="24"/>
          <w:szCs w:val="28"/>
        </w:rPr>
        <w:t>S2 protein.</w:t>
      </w:r>
    </w:p>
    <w:p w14:paraId="5826F9CD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</w:p>
    <w:p w14:paraId="6A4A079C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Figure S4. Neutralizing antibody titers against authentic SARS-CoV-2 VOCs in mucosal samples.</w:t>
      </w:r>
    </w:p>
    <w:p w14:paraId="3512D938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A-B.</w:t>
      </w:r>
      <w:r w:rsidRPr="00DE170C">
        <w:rPr>
          <w:rFonts w:ascii="Arial" w:hAnsi="Arial" w:cs="Arial"/>
          <w:sz w:val="24"/>
          <w:szCs w:val="28"/>
        </w:rPr>
        <w:t xml:space="preserve"> RBD-specific IgA (</w:t>
      </w:r>
      <w:r w:rsidRPr="00DE170C">
        <w:rPr>
          <w:rFonts w:ascii="Arial" w:hAnsi="Arial" w:cs="Arial"/>
          <w:b/>
          <w:bCs/>
          <w:sz w:val="24"/>
          <w:szCs w:val="28"/>
        </w:rPr>
        <w:t>A</w:t>
      </w:r>
      <w:r w:rsidRPr="00DE170C">
        <w:rPr>
          <w:rFonts w:ascii="Arial" w:hAnsi="Arial" w:cs="Arial"/>
          <w:sz w:val="24"/>
          <w:szCs w:val="28"/>
        </w:rPr>
        <w:t>) and IgG (</w:t>
      </w:r>
      <w:r w:rsidRPr="00DE170C">
        <w:rPr>
          <w:rFonts w:ascii="Arial" w:hAnsi="Arial" w:cs="Arial"/>
          <w:b/>
          <w:bCs/>
          <w:sz w:val="24"/>
          <w:szCs w:val="28"/>
        </w:rPr>
        <w:t>B</w:t>
      </w:r>
      <w:r w:rsidRPr="00DE170C">
        <w:rPr>
          <w:rFonts w:ascii="Arial" w:hAnsi="Arial" w:cs="Arial"/>
          <w:sz w:val="24"/>
          <w:szCs w:val="28"/>
        </w:rPr>
        <w:t xml:space="preserve">) titers in VLF </w:t>
      </w:r>
      <w:r w:rsidRPr="00DE170C">
        <w:rPr>
          <w:rFonts w:ascii="Arial" w:eastAsia="等线" w:hAnsi="Arial" w:cs="Arial"/>
          <w:sz w:val="24"/>
          <w:szCs w:val="28"/>
        </w:rPr>
        <w:t>after</w:t>
      </w:r>
      <w:r w:rsidRPr="00DE170C">
        <w:rPr>
          <w:rFonts w:ascii="Arial" w:hAnsi="Arial" w:cs="Arial"/>
          <w:sz w:val="24"/>
          <w:szCs w:val="28"/>
        </w:rPr>
        <w:t xml:space="preserve"> the 2</w:t>
      </w:r>
      <w:r w:rsidRPr="00DE170C">
        <w:rPr>
          <w:rFonts w:ascii="Arial" w:hAnsi="Arial" w:cs="Arial"/>
          <w:sz w:val="24"/>
          <w:szCs w:val="28"/>
          <w:vertAlign w:val="superscript"/>
        </w:rPr>
        <w:t>nd</w:t>
      </w:r>
      <w:r w:rsidRPr="00DE170C">
        <w:rPr>
          <w:rFonts w:ascii="Arial" w:hAnsi="Arial" w:cs="Arial"/>
          <w:sz w:val="24"/>
          <w:szCs w:val="28"/>
        </w:rPr>
        <w:t xml:space="preserve"> and 3</w:t>
      </w:r>
      <w:r w:rsidRPr="00DE170C">
        <w:rPr>
          <w:rFonts w:ascii="Arial" w:hAnsi="Arial" w:cs="Arial"/>
          <w:sz w:val="24"/>
          <w:szCs w:val="28"/>
          <w:vertAlign w:val="superscript"/>
        </w:rPr>
        <w:t>rd</w:t>
      </w:r>
      <w:r w:rsidRPr="00DE170C">
        <w:rPr>
          <w:rFonts w:ascii="Arial" w:hAnsi="Arial" w:cs="Arial"/>
          <w:sz w:val="24"/>
          <w:szCs w:val="28"/>
        </w:rPr>
        <w:t xml:space="preserve"> immunizations. 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C-D. </w:t>
      </w:r>
      <w:r w:rsidRPr="00DE170C">
        <w:rPr>
          <w:rFonts w:ascii="Arial" w:hAnsi="Arial" w:cs="Arial"/>
          <w:sz w:val="24"/>
          <w:szCs w:val="28"/>
        </w:rPr>
        <w:t xml:space="preserve">Neutralizing antibody titers against authentic SARS-CoV-2 VOCs in </w:t>
      </w:r>
      <w:r w:rsidRPr="00DE170C">
        <w:rPr>
          <w:rFonts w:ascii="Arial" w:eastAsia="等线" w:hAnsi="Arial" w:cs="Arial"/>
          <w:sz w:val="24"/>
          <w:szCs w:val="28"/>
        </w:rPr>
        <w:t xml:space="preserve">the </w:t>
      </w:r>
      <w:r w:rsidRPr="00DE170C">
        <w:rPr>
          <w:rFonts w:ascii="Arial" w:hAnsi="Arial" w:cs="Arial"/>
          <w:sz w:val="24"/>
          <w:szCs w:val="28"/>
        </w:rPr>
        <w:t>BALF (</w:t>
      </w:r>
      <w:r w:rsidRPr="00DE170C">
        <w:rPr>
          <w:rFonts w:ascii="Arial" w:hAnsi="Arial" w:cs="Arial"/>
          <w:b/>
          <w:bCs/>
          <w:sz w:val="24"/>
          <w:szCs w:val="28"/>
        </w:rPr>
        <w:t>C</w:t>
      </w:r>
      <w:r w:rsidRPr="00DE170C">
        <w:rPr>
          <w:rFonts w:ascii="Arial" w:hAnsi="Arial" w:cs="Arial"/>
          <w:sz w:val="24"/>
          <w:szCs w:val="28"/>
        </w:rPr>
        <w:t>) or NLF (</w:t>
      </w:r>
      <w:r w:rsidRPr="00DE170C">
        <w:rPr>
          <w:rFonts w:ascii="Arial" w:hAnsi="Arial" w:cs="Arial"/>
          <w:b/>
          <w:bCs/>
          <w:sz w:val="24"/>
          <w:szCs w:val="28"/>
        </w:rPr>
        <w:t>D</w:t>
      </w:r>
      <w:r w:rsidRPr="00DE170C">
        <w:rPr>
          <w:rFonts w:ascii="Arial" w:hAnsi="Arial" w:cs="Arial"/>
          <w:sz w:val="24"/>
          <w:szCs w:val="28"/>
        </w:rPr>
        <w:t xml:space="preserve">) </w:t>
      </w:r>
      <w:r w:rsidRPr="00DE170C">
        <w:rPr>
          <w:rFonts w:ascii="Arial" w:eastAsia="等线" w:hAnsi="Arial" w:cs="Arial"/>
          <w:sz w:val="24"/>
          <w:szCs w:val="28"/>
        </w:rPr>
        <w:t>after</w:t>
      </w:r>
      <w:r w:rsidRPr="00DE170C">
        <w:rPr>
          <w:rFonts w:ascii="Arial" w:hAnsi="Arial" w:cs="Arial"/>
          <w:sz w:val="24"/>
          <w:szCs w:val="28"/>
        </w:rPr>
        <w:t xml:space="preserve"> the 2</w:t>
      </w:r>
      <w:r w:rsidRPr="00DE170C">
        <w:rPr>
          <w:rFonts w:ascii="Arial" w:hAnsi="Arial" w:cs="Arial"/>
          <w:sz w:val="24"/>
          <w:szCs w:val="28"/>
          <w:vertAlign w:val="superscript"/>
        </w:rPr>
        <w:t>nd</w:t>
      </w:r>
      <w:r w:rsidRPr="00DE170C">
        <w:rPr>
          <w:rFonts w:ascii="Arial" w:hAnsi="Arial" w:cs="Arial"/>
          <w:sz w:val="24"/>
          <w:szCs w:val="28"/>
        </w:rPr>
        <w:t xml:space="preserve"> immunization. </w:t>
      </w:r>
      <w:r w:rsidRPr="00DE170C">
        <w:rPr>
          <w:rFonts w:ascii="Arial" w:eastAsia="等线" w:hAnsi="Arial" w:cs="Arial"/>
          <w:sz w:val="24"/>
          <w:szCs w:val="28"/>
        </w:rPr>
        <w:t>The data are presented</w:t>
      </w:r>
      <w:r w:rsidRPr="00DE170C">
        <w:rPr>
          <w:rFonts w:ascii="Arial" w:hAnsi="Arial" w:cs="Arial"/>
          <w:sz w:val="24"/>
          <w:szCs w:val="28"/>
        </w:rPr>
        <w:t xml:space="preserve"> as the </w:t>
      </w:r>
      <w:r w:rsidRPr="00DE170C">
        <w:rPr>
          <w:rFonts w:ascii="Arial" w:eastAsia="等线" w:hAnsi="Arial" w:cs="Arial"/>
          <w:sz w:val="24"/>
          <w:szCs w:val="28"/>
        </w:rPr>
        <w:t>means</w:t>
      </w:r>
      <w:r w:rsidRPr="00DE170C">
        <w:rPr>
          <w:rFonts w:ascii="Arial" w:hAnsi="Arial" w:cs="Arial"/>
          <w:sz w:val="24"/>
          <w:szCs w:val="28"/>
        </w:rPr>
        <w:t xml:space="preserve"> ± </w:t>
      </w:r>
      <w:r w:rsidRPr="00DE170C">
        <w:rPr>
          <w:rFonts w:ascii="Arial" w:eastAsia="等线" w:hAnsi="Arial" w:cs="Arial"/>
          <w:sz w:val="24"/>
          <w:szCs w:val="28"/>
        </w:rPr>
        <w:t>SEMs</w:t>
      </w:r>
      <w:r w:rsidRPr="00DE170C">
        <w:rPr>
          <w:rFonts w:ascii="Arial" w:hAnsi="Arial" w:cs="Arial"/>
          <w:sz w:val="24"/>
          <w:szCs w:val="28"/>
        </w:rPr>
        <w:t xml:space="preserve"> and are representative of at least</w:t>
      </w:r>
      <w:r w:rsidRPr="00DE170C">
        <w:rPr>
          <w:rFonts w:ascii="Arial" w:hAnsi="Arial" w:cs="Arial"/>
          <w:color w:val="0000FF"/>
          <w:sz w:val="24"/>
          <w:szCs w:val="28"/>
        </w:rPr>
        <w:t xml:space="preserve"> </w:t>
      </w:r>
      <w:r w:rsidRPr="00DE170C">
        <w:rPr>
          <w:rFonts w:ascii="Arial" w:hAnsi="Arial" w:cs="Arial"/>
          <w:sz w:val="24"/>
          <w:szCs w:val="28"/>
        </w:rPr>
        <w:t xml:space="preserve">three independent experiments. Groups were compared </w:t>
      </w:r>
      <w:r w:rsidRPr="00DE170C">
        <w:rPr>
          <w:rFonts w:ascii="Arial" w:eastAsia="等线" w:hAnsi="Arial" w:cs="Arial"/>
          <w:sz w:val="24"/>
          <w:szCs w:val="28"/>
        </w:rPr>
        <w:t>via</w:t>
      </w:r>
      <w:r w:rsidRPr="00DE170C">
        <w:rPr>
          <w:rFonts w:ascii="Arial" w:hAnsi="Arial" w:cs="Arial"/>
          <w:sz w:val="24"/>
          <w:szCs w:val="28"/>
        </w:rPr>
        <w:t xml:space="preserve"> ordinary one-way ANOVA or </w:t>
      </w:r>
      <w:r w:rsidRPr="00DE170C">
        <w:rPr>
          <w:rFonts w:ascii="Arial" w:eastAsia="等线" w:hAnsi="Arial" w:cs="Arial"/>
          <w:sz w:val="24"/>
          <w:szCs w:val="28"/>
        </w:rPr>
        <w:t>the Kruskal-</w:t>
      </w:r>
      <w:proofErr w:type="gramStart"/>
      <w:r w:rsidRPr="00DE170C">
        <w:rPr>
          <w:rFonts w:ascii="Arial" w:eastAsia="等线" w:hAnsi="Arial" w:cs="Arial"/>
          <w:sz w:val="24"/>
          <w:szCs w:val="28"/>
        </w:rPr>
        <w:t>Wallis</w:t>
      </w:r>
      <w:proofErr w:type="gramEnd"/>
      <w:r w:rsidRPr="00DE170C">
        <w:rPr>
          <w:rFonts w:ascii="Arial" w:hAnsi="Arial" w:cs="Arial"/>
          <w:sz w:val="24"/>
          <w:szCs w:val="28"/>
        </w:rPr>
        <w:t xml:space="preserve"> test. 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&lt;0.05, 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&lt;0.01; ns, nonsignificant.</w:t>
      </w:r>
    </w:p>
    <w:p w14:paraId="2F240240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</w:p>
    <w:p w14:paraId="137720FA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 xml:space="preserve">Fig. S5. 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>Evaluation of the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 depletion efficiency of </w:t>
      </w:r>
      <w:r w:rsidRPr="00DE170C">
        <w:rPr>
          <w:rFonts w:ascii="Arial" w:eastAsia="等线" w:hAnsi="Arial" w:cs="Arial"/>
          <w:b/>
          <w:bCs/>
          <w:sz w:val="24"/>
          <w:szCs w:val="28"/>
        </w:rPr>
        <w:t>CD8+ T</w:t>
      </w:r>
      <w:r w:rsidRPr="00DE170C">
        <w:rPr>
          <w:rFonts w:ascii="Arial" w:hAnsi="Arial" w:cs="Arial"/>
          <w:b/>
          <w:bCs/>
          <w:sz w:val="24"/>
          <w:szCs w:val="28"/>
        </w:rPr>
        <w:t xml:space="preserve"> cells.</w:t>
      </w:r>
    </w:p>
    <w:p w14:paraId="5C38D47C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A</w:t>
      </w:r>
      <w:r w:rsidRPr="00DE170C">
        <w:rPr>
          <w:rFonts w:ascii="Arial" w:hAnsi="Arial" w:cs="Arial"/>
          <w:sz w:val="24"/>
          <w:szCs w:val="28"/>
        </w:rPr>
        <w:t xml:space="preserve">. Representative dot plots (left) and frequency (right) of </w:t>
      </w:r>
      <w:r w:rsidRPr="00DE170C">
        <w:rPr>
          <w:rFonts w:ascii="Arial" w:eastAsia="等线" w:hAnsi="Arial" w:cs="Arial"/>
          <w:sz w:val="24"/>
          <w:szCs w:val="28"/>
        </w:rPr>
        <w:t>CD8+ T</w:t>
      </w:r>
      <w:r w:rsidRPr="00DE170C">
        <w:rPr>
          <w:rFonts w:ascii="Arial" w:hAnsi="Arial" w:cs="Arial"/>
          <w:sz w:val="24"/>
          <w:szCs w:val="28"/>
        </w:rPr>
        <w:t xml:space="preserve"> cells in the blood. </w:t>
      </w:r>
      <w:r w:rsidRPr="00DE170C">
        <w:rPr>
          <w:rFonts w:ascii="Arial" w:eastAsia="等线" w:hAnsi="Arial" w:cs="Arial"/>
          <w:sz w:val="24"/>
          <w:szCs w:val="28"/>
        </w:rPr>
        <w:t>The data are presented</w:t>
      </w:r>
      <w:r w:rsidRPr="00DE170C">
        <w:rPr>
          <w:rFonts w:ascii="Arial" w:hAnsi="Arial" w:cs="Arial"/>
          <w:sz w:val="24"/>
          <w:szCs w:val="28"/>
        </w:rPr>
        <w:t xml:space="preserve"> as the </w:t>
      </w:r>
      <w:r w:rsidRPr="00DE170C">
        <w:rPr>
          <w:rFonts w:ascii="Arial" w:eastAsia="等线" w:hAnsi="Arial" w:cs="Arial"/>
          <w:sz w:val="24"/>
          <w:szCs w:val="28"/>
        </w:rPr>
        <w:t>means</w:t>
      </w:r>
      <w:r w:rsidRPr="00DE170C">
        <w:rPr>
          <w:rFonts w:ascii="Arial" w:hAnsi="Arial" w:cs="Arial"/>
          <w:sz w:val="24"/>
          <w:szCs w:val="28"/>
        </w:rPr>
        <w:t xml:space="preserve"> ± </w:t>
      </w:r>
      <w:r w:rsidRPr="00DE170C">
        <w:rPr>
          <w:rFonts w:ascii="Arial" w:eastAsia="等线" w:hAnsi="Arial" w:cs="Arial"/>
          <w:sz w:val="24"/>
          <w:szCs w:val="28"/>
        </w:rPr>
        <w:t>SEMs</w:t>
      </w:r>
      <w:r w:rsidRPr="00DE170C">
        <w:rPr>
          <w:rFonts w:ascii="Arial" w:hAnsi="Arial" w:cs="Arial"/>
          <w:sz w:val="24"/>
          <w:szCs w:val="28"/>
        </w:rPr>
        <w:t xml:space="preserve"> and are representative of at least</w:t>
      </w:r>
      <w:r w:rsidRPr="00DE170C">
        <w:rPr>
          <w:rFonts w:ascii="Arial" w:hAnsi="Arial" w:cs="Arial"/>
          <w:color w:val="0000FF"/>
          <w:sz w:val="24"/>
          <w:szCs w:val="28"/>
        </w:rPr>
        <w:t xml:space="preserve"> </w:t>
      </w:r>
      <w:r w:rsidRPr="00DE170C">
        <w:rPr>
          <w:rFonts w:ascii="Arial" w:hAnsi="Arial" w:cs="Arial"/>
          <w:sz w:val="24"/>
          <w:szCs w:val="28"/>
        </w:rPr>
        <w:t xml:space="preserve">three independent experiments. Groups were compared </w:t>
      </w:r>
      <w:r w:rsidRPr="00DE170C">
        <w:rPr>
          <w:rFonts w:ascii="Arial" w:eastAsia="等线" w:hAnsi="Arial" w:cs="Arial"/>
          <w:sz w:val="24"/>
          <w:szCs w:val="28"/>
        </w:rPr>
        <w:t>via</w:t>
      </w:r>
      <w:r w:rsidRPr="00DE170C">
        <w:rPr>
          <w:rFonts w:ascii="Arial" w:hAnsi="Arial" w:cs="Arial"/>
          <w:sz w:val="24"/>
          <w:szCs w:val="28"/>
        </w:rPr>
        <w:t xml:space="preserve"> unpaired two-sided Student’s </w:t>
      </w:r>
      <w:r w:rsidRPr="00DE170C">
        <w:rPr>
          <w:rFonts w:ascii="Arial" w:hAnsi="Arial" w:cs="Arial"/>
          <w:i/>
          <w:iCs/>
          <w:sz w:val="24"/>
          <w:szCs w:val="28"/>
        </w:rPr>
        <w:t>t</w:t>
      </w:r>
      <w:r w:rsidRPr="00DE170C">
        <w:rPr>
          <w:rFonts w:ascii="Arial" w:hAnsi="Arial" w:cs="Arial"/>
          <w:sz w:val="24"/>
          <w:szCs w:val="28"/>
        </w:rPr>
        <w:t>-test. ****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&lt;0.0001.</w:t>
      </w:r>
    </w:p>
    <w:p w14:paraId="0B3C85B2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</w:p>
    <w:p w14:paraId="2BE1BFAD" w14:textId="77777777" w:rsidR="00F70404" w:rsidRPr="00DE170C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>Figure S6. S-2P effectively activated innate immunity.</w:t>
      </w:r>
    </w:p>
    <w:p w14:paraId="0E832AAA" w14:textId="77777777" w:rsidR="00F70404" w:rsidRPr="00DE170C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 w:rsidRPr="00DE170C">
        <w:rPr>
          <w:rFonts w:ascii="Arial" w:hAnsi="Arial" w:cs="Arial"/>
          <w:b/>
          <w:bCs/>
          <w:sz w:val="24"/>
          <w:szCs w:val="28"/>
        </w:rPr>
        <w:t xml:space="preserve">A. </w:t>
      </w:r>
      <w:bookmarkStart w:id="0" w:name="_Hlk179617275"/>
      <w:r w:rsidRPr="00DE170C">
        <w:rPr>
          <w:rFonts w:ascii="Arial" w:hAnsi="Arial" w:cs="Arial"/>
          <w:sz w:val="24"/>
          <w:szCs w:val="28"/>
        </w:rPr>
        <w:t xml:space="preserve">Enriched pathways </w:t>
      </w:r>
      <w:r w:rsidRPr="00DE170C">
        <w:rPr>
          <w:rFonts w:ascii="Arial" w:eastAsia="等线" w:hAnsi="Arial" w:cs="Arial"/>
          <w:sz w:val="24"/>
          <w:szCs w:val="28"/>
        </w:rPr>
        <w:t>associated with genes whose expression was upregulated in the</w:t>
      </w:r>
      <w:r w:rsidRPr="00DE170C">
        <w:rPr>
          <w:rFonts w:ascii="Arial" w:hAnsi="Arial" w:cs="Arial"/>
          <w:sz w:val="24"/>
          <w:szCs w:val="28"/>
        </w:rPr>
        <w:t xml:space="preserve"> lung tissues of mice </w:t>
      </w:r>
      <w:bookmarkStart w:id="1" w:name="_Hlk179617138"/>
      <w:bookmarkEnd w:id="0"/>
      <w:r w:rsidRPr="00DE170C">
        <w:rPr>
          <w:rFonts w:ascii="Arial" w:eastAsia="等线" w:hAnsi="Arial" w:cs="Arial"/>
          <w:sz w:val="24"/>
          <w:szCs w:val="28"/>
        </w:rPr>
        <w:t>intranasally immunized with S-2P. B Upregulation of type I IFN-</w:t>
      </w:r>
      <w:r w:rsidRPr="00DE170C">
        <w:rPr>
          <w:rFonts w:ascii="Arial" w:hAnsi="Arial" w:cs="Arial"/>
          <w:sz w:val="24"/>
          <w:szCs w:val="28"/>
        </w:rPr>
        <w:t>related genes</w:t>
      </w:r>
      <w:bookmarkEnd w:id="1"/>
      <w:r w:rsidRPr="00DE170C">
        <w:rPr>
          <w:rFonts w:ascii="Arial" w:hAnsi="Arial" w:cs="Arial"/>
          <w:sz w:val="24"/>
          <w:szCs w:val="28"/>
        </w:rPr>
        <w:t xml:space="preserve"> in BMDCs </w:t>
      </w:r>
      <w:r w:rsidRPr="00DE170C">
        <w:rPr>
          <w:rFonts w:ascii="Arial" w:eastAsia="等线" w:hAnsi="Arial" w:cs="Arial"/>
          <w:sz w:val="24"/>
          <w:szCs w:val="28"/>
        </w:rPr>
        <w:t xml:space="preserve">stimulated </w:t>
      </w:r>
      <w:r w:rsidRPr="00DE170C">
        <w:rPr>
          <w:rFonts w:ascii="Arial" w:hAnsi="Arial" w:cs="Arial"/>
          <w:sz w:val="24"/>
          <w:szCs w:val="28"/>
        </w:rPr>
        <w:t xml:space="preserve">with S-2P but not HA. </w:t>
      </w:r>
      <w:r w:rsidRPr="00DE170C">
        <w:rPr>
          <w:rFonts w:ascii="Arial" w:eastAsia="等线" w:hAnsi="Arial" w:cs="Arial"/>
          <w:sz w:val="24"/>
          <w:szCs w:val="28"/>
        </w:rPr>
        <w:t>The data are presented</w:t>
      </w:r>
      <w:r w:rsidRPr="00DE170C">
        <w:rPr>
          <w:rFonts w:ascii="Arial" w:hAnsi="Arial" w:cs="Arial"/>
          <w:sz w:val="24"/>
          <w:szCs w:val="28"/>
        </w:rPr>
        <w:t xml:space="preserve"> as the </w:t>
      </w:r>
      <w:r w:rsidRPr="00DE170C">
        <w:rPr>
          <w:rFonts w:ascii="Arial" w:eastAsia="等线" w:hAnsi="Arial" w:cs="Arial"/>
          <w:sz w:val="24"/>
          <w:szCs w:val="28"/>
        </w:rPr>
        <w:t>means ± SEMs</w:t>
      </w:r>
      <w:r w:rsidRPr="00DE170C">
        <w:rPr>
          <w:rFonts w:ascii="Arial" w:hAnsi="Arial" w:cs="Arial"/>
          <w:sz w:val="24"/>
          <w:szCs w:val="28"/>
        </w:rPr>
        <w:t xml:space="preserve">. Groups were compared </w:t>
      </w:r>
      <w:r w:rsidRPr="00DE170C">
        <w:rPr>
          <w:rFonts w:ascii="Arial" w:eastAsia="等线" w:hAnsi="Arial" w:cs="Arial"/>
          <w:sz w:val="24"/>
          <w:szCs w:val="28"/>
        </w:rPr>
        <w:t>via</w:t>
      </w:r>
      <w:r w:rsidRPr="00DE170C">
        <w:rPr>
          <w:rFonts w:ascii="Arial" w:hAnsi="Arial" w:cs="Arial"/>
          <w:sz w:val="24"/>
          <w:szCs w:val="28"/>
        </w:rPr>
        <w:t xml:space="preserve"> one-way ANOVA or </w:t>
      </w:r>
      <w:r w:rsidRPr="00DE170C">
        <w:rPr>
          <w:rFonts w:ascii="Arial" w:eastAsia="等线" w:hAnsi="Arial" w:cs="Arial"/>
          <w:sz w:val="24"/>
          <w:szCs w:val="28"/>
        </w:rPr>
        <w:t>the Kruskal-</w:t>
      </w:r>
      <w:proofErr w:type="gramStart"/>
      <w:r w:rsidRPr="00DE170C">
        <w:rPr>
          <w:rFonts w:ascii="Arial" w:eastAsia="等线" w:hAnsi="Arial" w:cs="Arial"/>
          <w:sz w:val="24"/>
          <w:szCs w:val="28"/>
        </w:rPr>
        <w:t>Wallis</w:t>
      </w:r>
      <w:proofErr w:type="gramEnd"/>
      <w:r w:rsidRPr="00DE170C">
        <w:rPr>
          <w:rFonts w:ascii="Arial" w:hAnsi="Arial" w:cs="Arial"/>
          <w:sz w:val="24"/>
          <w:szCs w:val="28"/>
        </w:rPr>
        <w:t xml:space="preserve"> test. 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&lt;0.05; 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&lt;0.01; ***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&lt;0.001; ****</w:t>
      </w:r>
      <w:r w:rsidRPr="00DE170C">
        <w:rPr>
          <w:rFonts w:ascii="Arial" w:hAnsi="Arial" w:cs="Arial"/>
          <w:i/>
          <w:iCs/>
          <w:sz w:val="24"/>
          <w:szCs w:val="28"/>
        </w:rPr>
        <w:t>P</w:t>
      </w:r>
      <w:r w:rsidRPr="00DE170C">
        <w:rPr>
          <w:rFonts w:ascii="Arial" w:hAnsi="Arial" w:cs="Arial"/>
          <w:sz w:val="24"/>
          <w:szCs w:val="28"/>
        </w:rPr>
        <w:t>&lt;0.0001; ns, nonsignificant.</w:t>
      </w:r>
    </w:p>
    <w:p w14:paraId="5C5BB0D8" w14:textId="06CA1B8F" w:rsidR="00F70404" w:rsidRDefault="00F70404" w:rsidP="00F70404">
      <w:pPr>
        <w:widowControl/>
        <w:jc w:val="left"/>
        <w:rPr>
          <w:rFonts w:ascii="Arial" w:eastAsia="宋体" w:hAnsi="Arial" w:cs="Arial" w:hint="eastAsia"/>
          <w:b/>
          <w:bCs/>
          <w:sz w:val="28"/>
          <w:szCs w:val="28"/>
        </w:rPr>
      </w:pPr>
      <w:r>
        <w:rPr>
          <w:rFonts w:ascii="Arial" w:eastAsia="宋体" w:hAnsi="Arial" w:cs="Arial"/>
          <w:b/>
          <w:bCs/>
          <w:sz w:val="28"/>
          <w:szCs w:val="28"/>
        </w:rPr>
        <w:br w:type="page"/>
      </w:r>
    </w:p>
    <w:p w14:paraId="7E0CC1E0" w14:textId="456D7D03" w:rsidR="00F70404" w:rsidRDefault="00F70404" w:rsidP="00F70404">
      <w:pPr>
        <w:spacing w:line="360" w:lineRule="auto"/>
        <w:rPr>
          <w:rFonts w:ascii="Arial" w:eastAsia="宋体" w:hAnsi="Arial" w:cs="Arial" w:hint="eastAsia"/>
          <w:b/>
          <w:bCs/>
          <w:sz w:val="28"/>
          <w:szCs w:val="28"/>
        </w:rPr>
      </w:pPr>
      <w:r w:rsidRPr="00F70404">
        <w:rPr>
          <w:rFonts w:ascii="Arial" w:eastAsia="宋体" w:hAnsi="Arial" w:cs="Arial" w:hint="eastAsia"/>
          <w:b/>
          <w:bCs/>
          <w:sz w:val="24"/>
          <w:szCs w:val="24"/>
        </w:rPr>
        <w:lastRenderedPageBreak/>
        <w:t xml:space="preserve">Supplementary </w:t>
      </w:r>
      <w:r>
        <w:rPr>
          <w:rFonts w:ascii="Arial" w:eastAsia="宋体" w:hAnsi="Arial" w:cs="Arial" w:hint="eastAsia"/>
          <w:b/>
          <w:bCs/>
          <w:sz w:val="24"/>
          <w:szCs w:val="24"/>
        </w:rPr>
        <w:t>f</w:t>
      </w:r>
      <w:r w:rsidRPr="00F70404">
        <w:rPr>
          <w:rFonts w:ascii="Arial" w:eastAsia="宋体" w:hAnsi="Arial" w:cs="Arial" w:hint="eastAsia"/>
          <w:b/>
          <w:bCs/>
          <w:sz w:val="24"/>
          <w:szCs w:val="24"/>
        </w:rPr>
        <w:t>igure</w:t>
      </w:r>
      <w:r>
        <w:rPr>
          <w:rFonts w:ascii="Arial" w:eastAsia="宋体" w:hAnsi="Arial" w:cs="Arial" w:hint="eastAsia"/>
          <w:b/>
          <w:bCs/>
          <w:sz w:val="24"/>
          <w:szCs w:val="24"/>
        </w:rPr>
        <w:t>s</w:t>
      </w:r>
    </w:p>
    <w:p w14:paraId="235A172F" w14:textId="523832BA" w:rsidR="00F70404" w:rsidRDefault="00F70404" w:rsidP="00F70404">
      <w:pPr>
        <w:spacing w:line="360" w:lineRule="auto"/>
        <w:rPr>
          <w:rFonts w:ascii="Arial" w:hAnsi="Arial" w:cs="Arial" w:hint="eastAsia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657CC5" wp14:editId="337060D7">
            <wp:extent cx="5272405" cy="3756454"/>
            <wp:effectExtent l="0" t="0" r="4445" b="0"/>
            <wp:docPr id="664079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9654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47C1A" w14:textId="00AF5647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 w:hint="eastAsia"/>
          <w:b/>
          <w:bCs/>
          <w:sz w:val="24"/>
          <w:szCs w:val="28"/>
        </w:rPr>
        <w:t xml:space="preserve">Fig. S1. </w:t>
      </w:r>
      <w:r>
        <w:rPr>
          <w:rFonts w:ascii="Arial" w:eastAsia="等线" w:hAnsi="Arial" w:cs="Arial"/>
          <w:b/>
          <w:bCs/>
          <w:sz w:val="24"/>
          <w:szCs w:val="28"/>
        </w:rPr>
        <w:t>Comparison of the immunogenicity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 of S-2P produced from different protein expression </w:t>
      </w:r>
      <w:r>
        <w:rPr>
          <w:rFonts w:ascii="Arial" w:eastAsia="等线" w:hAnsi="Arial" w:cs="Arial"/>
          <w:b/>
          <w:bCs/>
          <w:sz w:val="24"/>
          <w:szCs w:val="28"/>
        </w:rPr>
        <w:t>systems</w:t>
      </w:r>
      <w:r>
        <w:rPr>
          <w:rFonts w:ascii="Arial" w:hAnsi="Arial" w:cs="Arial" w:hint="eastAsia"/>
          <w:b/>
          <w:bCs/>
          <w:sz w:val="24"/>
          <w:szCs w:val="28"/>
        </w:rPr>
        <w:t>.</w:t>
      </w:r>
    </w:p>
    <w:p w14:paraId="2F26DB14" w14:textId="0D17C71A" w:rsidR="00F70404" w:rsidRDefault="00F70404" w:rsidP="00F70404">
      <w:pPr>
        <w:widowControl/>
        <w:jc w:val="left"/>
        <w:rPr>
          <w:rFonts w:ascii="Arial" w:hAnsi="Arial" w:cs="Arial" w:hint="eastAsia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14:paraId="28C9DF97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w:drawing>
          <wp:inline distT="0" distB="0" distL="0" distR="0" wp14:anchorId="5F3DAD5A" wp14:editId="5C303C92">
            <wp:extent cx="5267325" cy="7211167"/>
            <wp:effectExtent l="0" t="0" r="0" b="8890"/>
            <wp:docPr id="15397999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"/>
                    <a:stretch/>
                  </pic:blipFill>
                  <pic:spPr bwMode="auto">
                    <a:xfrm>
                      <a:off x="0" y="0"/>
                      <a:ext cx="5267325" cy="72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37E4B" w14:textId="043FB7AA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Fig. S</w:t>
      </w:r>
      <w:r>
        <w:rPr>
          <w:rFonts w:ascii="Arial" w:hAnsi="Arial" w:cs="Arial" w:hint="eastAsia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eastAsia="等线" w:hAnsi="Arial" w:cs="Arial"/>
          <w:b/>
          <w:bCs/>
          <w:sz w:val="24"/>
          <w:szCs w:val="28"/>
        </w:rPr>
        <w:t>Effectiveness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 and biocompatibility of </w:t>
      </w:r>
      <w:r>
        <w:rPr>
          <w:rFonts w:ascii="Arial" w:hAnsi="Arial" w:cs="Arial"/>
          <w:b/>
          <w:bCs/>
          <w:sz w:val="24"/>
          <w:szCs w:val="28"/>
        </w:rPr>
        <w:t xml:space="preserve">LNT </w:t>
      </w:r>
      <w:r>
        <w:rPr>
          <w:rFonts w:ascii="Arial" w:hAnsi="Arial" w:cs="Arial" w:hint="eastAsia"/>
          <w:b/>
          <w:bCs/>
          <w:sz w:val="24"/>
          <w:szCs w:val="28"/>
        </w:rPr>
        <w:t>as a respiratory mucosal adjuvant.</w:t>
      </w:r>
    </w:p>
    <w:p w14:paraId="379FB06B" w14:textId="0D00093F" w:rsidR="00F70404" w:rsidRPr="00F70404" w:rsidRDefault="00F70404" w:rsidP="00F70404">
      <w:pPr>
        <w:widowControl/>
        <w:jc w:val="left"/>
        <w:rPr>
          <w:rFonts w:ascii="Arial" w:hAnsi="Arial" w:cs="Arial" w:hint="eastAsia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14:paraId="2C60E64E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lastRenderedPageBreak/>
        <w:drawing>
          <wp:inline distT="0" distB="0" distL="0" distR="0" wp14:anchorId="419095F0" wp14:editId="62D4FD6A">
            <wp:extent cx="5270500" cy="1371600"/>
            <wp:effectExtent l="0" t="0" r="6350" b="0"/>
            <wp:docPr id="2327903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90387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0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F6C2" w14:textId="2AD1E654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Fig. S</w:t>
      </w:r>
      <w:bookmarkStart w:id="2" w:name="_Hlk185872372"/>
      <w:bookmarkStart w:id="3" w:name="_Hlk183182421"/>
      <w:r>
        <w:rPr>
          <w:rFonts w:ascii="Arial" w:hAnsi="Arial" w:cs="Arial" w:hint="eastAsia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8"/>
        </w:rPr>
        <w:t>S1</w:t>
      </w:r>
      <w:r>
        <w:rPr>
          <w:rFonts w:ascii="Arial" w:eastAsia="等线" w:hAnsi="Arial" w:cs="Arial"/>
          <w:b/>
          <w:bCs/>
          <w:sz w:val="24"/>
          <w:szCs w:val="28"/>
        </w:rPr>
        <w:t>-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 or S2</w:t>
      </w:r>
      <w:r>
        <w:rPr>
          <w:rFonts w:ascii="Arial" w:eastAsia="等线" w:hAnsi="Arial" w:cs="Arial"/>
          <w:b/>
          <w:bCs/>
          <w:sz w:val="24"/>
          <w:szCs w:val="28"/>
        </w:rPr>
        <w:t>-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specific </w:t>
      </w:r>
      <w:r>
        <w:rPr>
          <w:rFonts w:ascii="Arial" w:hAnsi="Arial" w:cs="Arial"/>
          <w:b/>
          <w:bCs/>
          <w:sz w:val="24"/>
          <w:szCs w:val="28"/>
        </w:rPr>
        <w:t>IFN-</w:t>
      </w:r>
      <w:r>
        <w:rPr>
          <w:rFonts w:ascii="Symbol" w:hAnsi="Symbol" w:cs="Arial"/>
          <w:b/>
          <w:bCs/>
          <w:sz w:val="24"/>
          <w:szCs w:val="28"/>
        </w:rPr>
        <w:sym w:font="Symbol" w:char="F067"/>
      </w:r>
      <w:r>
        <w:rPr>
          <w:rFonts w:ascii="Symbol" w:eastAsia="等线" w:hAnsi="Symbol" w:cs="Arial"/>
          <w:b/>
          <w:bCs/>
          <w:sz w:val="24"/>
          <w:szCs w:val="28"/>
        </w:rPr>
        <w:t>-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 and IL-17A</w:t>
      </w:r>
      <w:bookmarkEnd w:id="2"/>
      <w:r>
        <w:rPr>
          <w:rFonts w:ascii="Arial" w:hAnsi="Arial" w:cs="Arial"/>
          <w:b/>
          <w:bCs/>
          <w:sz w:val="24"/>
          <w:szCs w:val="28"/>
        </w:rPr>
        <w:t>-secreting T-cell responses of spleen cells</w:t>
      </w:r>
      <w:r>
        <w:rPr>
          <w:rFonts w:ascii="Arial" w:hAnsi="Arial" w:cs="Arial" w:hint="eastAsia"/>
          <w:b/>
          <w:bCs/>
          <w:sz w:val="24"/>
          <w:szCs w:val="28"/>
        </w:rPr>
        <w:t>.</w:t>
      </w:r>
      <w:bookmarkEnd w:id="3"/>
    </w:p>
    <w:p w14:paraId="517DF2D1" w14:textId="77777777" w:rsidR="00F70404" w:rsidRDefault="00F70404">
      <w:pPr>
        <w:widowControl/>
        <w:jc w:val="lef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14:paraId="05DA82A0" w14:textId="77777777" w:rsidR="00F70404" w:rsidRPr="00834E75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</w:p>
    <w:p w14:paraId="0E5A41B4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drawing>
          <wp:inline distT="0" distB="0" distL="0" distR="0" wp14:anchorId="200AB48F" wp14:editId="55BD9EC0">
            <wp:extent cx="5272405" cy="3435179"/>
            <wp:effectExtent l="0" t="0" r="4445" b="0"/>
            <wp:docPr id="14595125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12591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4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45F9" w14:textId="49730C27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Fig. S</w:t>
      </w:r>
      <w:bookmarkStart w:id="4" w:name="_Hlk185872399"/>
      <w:r>
        <w:rPr>
          <w:rFonts w:ascii="Arial" w:hAnsi="Arial" w:cs="Arial" w:hint="eastAsia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 xml:space="preserve"> Neutralizing antibody titers against </w:t>
      </w:r>
      <w:bookmarkEnd w:id="4"/>
      <w:r>
        <w:rPr>
          <w:rFonts w:ascii="Arial" w:hAnsi="Arial" w:cs="Arial"/>
          <w:b/>
          <w:bCs/>
          <w:sz w:val="24"/>
          <w:szCs w:val="28"/>
        </w:rPr>
        <w:t>authentic SARS-CoV-2 VOCs in mucosal samples.</w:t>
      </w:r>
    </w:p>
    <w:p w14:paraId="5DA6052A" w14:textId="77777777" w:rsidR="00F70404" w:rsidRDefault="00F70404">
      <w:pPr>
        <w:widowControl/>
        <w:jc w:val="lef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14:paraId="0D13BE2A" w14:textId="77777777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</w:p>
    <w:p w14:paraId="03A42FC2" w14:textId="77777777" w:rsidR="00F70404" w:rsidRDefault="00F70404" w:rsidP="00F70404">
      <w:pPr>
        <w:spacing w:line="360" w:lineRule="auto"/>
        <w:rPr>
          <w:rFonts w:ascii="Arial" w:hAnsi="Arial" w:cs="Arial" w:hint="eastAsia"/>
          <w:sz w:val="24"/>
          <w:szCs w:val="28"/>
        </w:rPr>
      </w:pPr>
    </w:p>
    <w:p w14:paraId="4CC8C865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6800C8E" wp14:editId="596E9780">
            <wp:extent cx="5272016" cy="1853513"/>
            <wp:effectExtent l="0" t="0" r="5080" b="0"/>
            <wp:docPr id="2593531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317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C96E5" w14:textId="03D619B7" w:rsidR="00F70404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Fig. S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5. </w:t>
      </w:r>
      <w:r>
        <w:rPr>
          <w:rFonts w:ascii="Arial" w:eastAsia="等线" w:hAnsi="Arial" w:cs="Arial"/>
          <w:b/>
          <w:bCs/>
          <w:sz w:val="24"/>
          <w:szCs w:val="28"/>
        </w:rPr>
        <w:t>Evaluation of the</w:t>
      </w:r>
      <w:bookmarkStart w:id="5" w:name="_Hlk185872475"/>
      <w:r>
        <w:rPr>
          <w:rFonts w:ascii="Arial" w:hAnsi="Arial" w:cs="Arial" w:hint="eastAsia"/>
          <w:b/>
          <w:bCs/>
          <w:sz w:val="24"/>
          <w:szCs w:val="28"/>
        </w:rPr>
        <w:t xml:space="preserve"> depletion efficiency of </w:t>
      </w:r>
      <w:r>
        <w:rPr>
          <w:rFonts w:ascii="Arial" w:eastAsia="等线" w:hAnsi="Arial" w:cs="Arial"/>
          <w:b/>
          <w:bCs/>
          <w:sz w:val="24"/>
          <w:szCs w:val="28"/>
        </w:rPr>
        <w:t>CD8+ T</w:t>
      </w:r>
      <w:r>
        <w:rPr>
          <w:rFonts w:ascii="Arial" w:hAnsi="Arial" w:cs="Arial" w:hint="eastAsia"/>
          <w:b/>
          <w:bCs/>
          <w:sz w:val="24"/>
          <w:szCs w:val="28"/>
        </w:rPr>
        <w:t xml:space="preserve"> cells.</w:t>
      </w:r>
      <w:bookmarkEnd w:id="5"/>
    </w:p>
    <w:p w14:paraId="47A546CA" w14:textId="77777777" w:rsidR="00F70404" w:rsidRDefault="00F70404">
      <w:pPr>
        <w:widowControl/>
        <w:jc w:val="lef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br w:type="page"/>
      </w:r>
    </w:p>
    <w:p w14:paraId="1E963759" w14:textId="77777777" w:rsidR="00F70404" w:rsidRPr="00834E75" w:rsidRDefault="00F70404" w:rsidP="00F70404">
      <w:pPr>
        <w:spacing w:line="360" w:lineRule="auto"/>
        <w:rPr>
          <w:rFonts w:ascii="Arial" w:hAnsi="Arial" w:cs="Arial"/>
          <w:b/>
          <w:bCs/>
          <w:sz w:val="24"/>
          <w:szCs w:val="28"/>
        </w:rPr>
      </w:pPr>
    </w:p>
    <w:p w14:paraId="56F59E9D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drawing>
          <wp:inline distT="0" distB="0" distL="0" distR="0" wp14:anchorId="02B6E345" wp14:editId="3D397268">
            <wp:extent cx="5272405" cy="5626443"/>
            <wp:effectExtent l="0" t="0" r="4445" b="0"/>
            <wp:docPr id="1231973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381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6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2DB8E" w14:textId="77777777" w:rsidR="00F70404" w:rsidRDefault="00F70404" w:rsidP="00F7040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Fig. S</w:t>
      </w:r>
      <w:r>
        <w:rPr>
          <w:rFonts w:ascii="Arial" w:hAnsi="Arial" w:cs="Arial" w:hint="eastAsia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 xml:space="preserve"> S-2P effectively activate</w:t>
      </w:r>
      <w:r>
        <w:rPr>
          <w:rFonts w:ascii="Arial" w:hAnsi="Arial" w:cs="Arial" w:hint="eastAsia"/>
          <w:b/>
          <w:bCs/>
          <w:sz w:val="24"/>
          <w:szCs w:val="28"/>
        </w:rPr>
        <w:t>d</w:t>
      </w:r>
      <w:r>
        <w:rPr>
          <w:rFonts w:ascii="Arial" w:hAnsi="Arial" w:cs="Arial"/>
          <w:b/>
          <w:bCs/>
          <w:sz w:val="24"/>
          <w:szCs w:val="28"/>
        </w:rPr>
        <w:t xml:space="preserve"> innate immun</w:t>
      </w:r>
      <w:r>
        <w:rPr>
          <w:rFonts w:ascii="Arial" w:hAnsi="Arial" w:cs="Arial" w:hint="eastAsia"/>
          <w:b/>
          <w:bCs/>
          <w:sz w:val="24"/>
          <w:szCs w:val="28"/>
        </w:rPr>
        <w:t>ity</w:t>
      </w:r>
      <w:r>
        <w:rPr>
          <w:rFonts w:ascii="Arial" w:hAnsi="Arial" w:cs="Arial"/>
          <w:b/>
          <w:bCs/>
          <w:sz w:val="24"/>
          <w:szCs w:val="28"/>
        </w:rPr>
        <w:t>.</w:t>
      </w:r>
    </w:p>
    <w:p w14:paraId="74BD7639" w14:textId="77777777" w:rsidR="00F70404" w:rsidRDefault="00F70404" w:rsidP="00F70404">
      <w:pPr>
        <w:spacing w:line="360" w:lineRule="auto"/>
        <w:rPr>
          <w:rFonts w:ascii="Arial" w:eastAsia="宋体" w:hAnsi="Arial" w:cs="Arial"/>
          <w:b/>
          <w:bCs/>
          <w:sz w:val="28"/>
          <w:szCs w:val="28"/>
        </w:rPr>
      </w:pPr>
    </w:p>
    <w:p w14:paraId="5FE57437" w14:textId="77777777" w:rsidR="00F70404" w:rsidRPr="00F70404" w:rsidRDefault="00F70404" w:rsidP="00F70404">
      <w:pPr>
        <w:spacing w:line="360" w:lineRule="auto"/>
        <w:rPr>
          <w:rFonts w:ascii="Arial" w:eastAsia="宋体" w:hAnsi="Arial" w:cs="Arial" w:hint="eastAsia"/>
          <w:b/>
          <w:bCs/>
          <w:sz w:val="28"/>
          <w:szCs w:val="28"/>
        </w:rPr>
      </w:pPr>
    </w:p>
    <w:sectPr w:rsidR="00F70404" w:rsidRPr="00F70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F1BB1" w14:textId="77777777" w:rsidR="00817154" w:rsidRDefault="00817154" w:rsidP="00F70404">
      <w:pPr>
        <w:rPr>
          <w:rFonts w:hint="eastAsia"/>
        </w:rPr>
      </w:pPr>
      <w:r>
        <w:separator/>
      </w:r>
    </w:p>
  </w:endnote>
  <w:endnote w:type="continuationSeparator" w:id="0">
    <w:p w14:paraId="7D90AC77" w14:textId="77777777" w:rsidR="00817154" w:rsidRDefault="00817154" w:rsidP="00F7040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BF057" w14:textId="77777777" w:rsidR="00817154" w:rsidRDefault="00817154" w:rsidP="00F70404">
      <w:pPr>
        <w:rPr>
          <w:rFonts w:hint="eastAsia"/>
        </w:rPr>
      </w:pPr>
      <w:r>
        <w:separator/>
      </w:r>
    </w:p>
  </w:footnote>
  <w:footnote w:type="continuationSeparator" w:id="0">
    <w:p w14:paraId="055E4DC3" w14:textId="77777777" w:rsidR="00817154" w:rsidRDefault="00817154" w:rsidP="00F7040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58"/>
    <w:rsid w:val="00701E58"/>
    <w:rsid w:val="00817154"/>
    <w:rsid w:val="00B920A0"/>
    <w:rsid w:val="00F7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26AA7C"/>
  <w15:chartTrackingRefBased/>
  <w15:docId w15:val="{D75FBA23-8A7E-4D50-BBF4-4C1BAEF0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4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04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0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04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振东 潘</dc:creator>
  <cp:keywords/>
  <dc:description/>
  <cp:lastModifiedBy>振东 潘</cp:lastModifiedBy>
  <cp:revision>2</cp:revision>
  <dcterms:created xsi:type="dcterms:W3CDTF">2024-12-27T09:26:00Z</dcterms:created>
  <dcterms:modified xsi:type="dcterms:W3CDTF">2024-12-27T09:36:00Z</dcterms:modified>
</cp:coreProperties>
</file>