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558" w:rsidRPr="004F4F50" w:rsidRDefault="008D7558" w:rsidP="008D7558">
      <w:pPr>
        <w:keepNext/>
        <w:spacing w:line="480" w:lineRule="auto"/>
        <w:outlineLvl w:val="0"/>
        <w:rPr>
          <w:rFonts w:ascii="Times New Roman" w:eastAsia="Times New Roman" w:hAnsi="Times New Roman" w:cs="Times New Roman"/>
          <w:b/>
          <w:bCs/>
          <w:kern w:val="28"/>
          <w:sz w:val="23"/>
          <w:szCs w:val="23"/>
          <w:lang w:val="en-US" w:bidi="ar-SA"/>
        </w:rPr>
      </w:pPr>
      <w:r w:rsidRPr="004F4F50">
        <w:rPr>
          <w:rFonts w:ascii="Times New Roman" w:eastAsia="Times New Roman" w:hAnsi="Times New Roman" w:cs="Times New Roman"/>
          <w:b/>
          <w:bCs/>
          <w:kern w:val="28"/>
          <w:sz w:val="23"/>
          <w:szCs w:val="23"/>
          <w:lang w:val="en-US" w:bidi="ar-SA"/>
        </w:rPr>
        <w:t xml:space="preserve">Supplementary </w:t>
      </w:r>
      <w:r w:rsidR="005160E4" w:rsidRPr="004F4F50">
        <w:rPr>
          <w:rFonts w:ascii="Times New Roman" w:eastAsia="Times New Roman" w:hAnsi="Times New Roman" w:cs="Times New Roman"/>
          <w:b/>
          <w:bCs/>
          <w:kern w:val="28"/>
          <w:sz w:val="23"/>
          <w:szCs w:val="23"/>
          <w:lang w:val="en-US" w:bidi="ar-SA"/>
        </w:rPr>
        <w:t>Information</w:t>
      </w:r>
    </w:p>
    <w:p w:rsidR="00BC7E84" w:rsidRPr="001F054F" w:rsidRDefault="001F054F" w:rsidP="001F054F">
      <w:pPr>
        <w:pStyle w:val="Ttulo3"/>
        <w:shd w:val="clear" w:color="auto" w:fill="FFFFFF"/>
        <w:spacing w:before="225" w:after="30" w:line="360" w:lineRule="auto"/>
        <w:textAlignment w:val="baseline"/>
        <w:rPr>
          <w:rFonts w:ascii="Times New Roman" w:eastAsia="Helvetica" w:hAnsi="Times New Roman" w:cs="Times New Roman"/>
          <w:iCs/>
          <w:sz w:val="24"/>
          <w:szCs w:val="24"/>
        </w:rPr>
      </w:pPr>
      <w:proofErr w:type="spellStart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>Platelets</w:t>
      </w:r>
      <w:proofErr w:type="spellEnd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 xml:space="preserve"> lead </w:t>
      </w:r>
      <w:proofErr w:type="spellStart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>morphological</w:t>
      </w:r>
      <w:proofErr w:type="spellEnd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 xml:space="preserve">, </w:t>
      </w:r>
      <w:proofErr w:type="spellStart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>phenotypic</w:t>
      </w:r>
      <w:proofErr w:type="spellEnd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 xml:space="preserve"> and </w:t>
      </w:r>
      <w:proofErr w:type="spellStart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>functional</w:t>
      </w:r>
      <w:proofErr w:type="spellEnd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 xml:space="preserve"> </w:t>
      </w:r>
      <w:proofErr w:type="spellStart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>changes</w:t>
      </w:r>
      <w:proofErr w:type="spellEnd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 xml:space="preserve"> in tumor </w:t>
      </w:r>
      <w:proofErr w:type="spellStart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>cells</w:t>
      </w:r>
      <w:proofErr w:type="spellEnd"/>
      <w:r w:rsidRPr="00CA7A29">
        <w:rPr>
          <w:rFonts w:ascii="Times New Roman" w:eastAsia="Helvetica" w:hAnsi="Times New Roman" w:cs="Times New Roman"/>
          <w:iCs/>
          <w:color w:val="auto"/>
          <w:sz w:val="24"/>
          <w:szCs w:val="24"/>
        </w:rPr>
        <w:t>.</w:t>
      </w:r>
    </w:p>
    <w:p w:rsidR="00203748" w:rsidRPr="004F4F50" w:rsidRDefault="00203748" w:rsidP="00203748">
      <w:pPr>
        <w:spacing w:line="36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:rsidR="003E63DE" w:rsidRPr="003E63DE" w:rsidRDefault="003E63DE" w:rsidP="003E63DE">
      <w:pPr>
        <w:spacing w:line="480" w:lineRule="auto"/>
        <w:rPr>
          <w:b/>
          <w:bCs/>
          <w:sz w:val="23"/>
          <w:szCs w:val="23"/>
        </w:rPr>
      </w:pPr>
      <w:r w:rsidRPr="0085327B">
        <w:rPr>
          <w:b/>
          <w:bCs/>
          <w:color w:val="000000"/>
          <w:sz w:val="23"/>
          <w:szCs w:val="23"/>
        </w:rPr>
        <w:t xml:space="preserve">Alba </w:t>
      </w:r>
      <w:r w:rsidRPr="0085327B">
        <w:rPr>
          <w:b/>
          <w:bCs/>
          <w:sz w:val="23"/>
          <w:szCs w:val="23"/>
        </w:rPr>
        <w:t>Rodriguez-Martinez</w:t>
      </w:r>
      <w:r w:rsidRPr="0085327B">
        <w:rPr>
          <w:b/>
          <w:bCs/>
          <w:sz w:val="23"/>
          <w:szCs w:val="23"/>
          <w:vertAlign w:val="superscript"/>
        </w:rPr>
        <w:t>1,2</w:t>
      </w:r>
      <w:r w:rsidRPr="0085327B">
        <w:rPr>
          <w:sz w:val="23"/>
          <w:szCs w:val="23"/>
        </w:rPr>
        <w:t>†</w:t>
      </w:r>
      <w:r w:rsidRPr="0085327B">
        <w:rPr>
          <w:b/>
          <w:bCs/>
          <w:sz w:val="23"/>
          <w:szCs w:val="23"/>
        </w:rPr>
        <w:t>, Iris Simon-Saez</w:t>
      </w:r>
      <w:r w:rsidRPr="0085327B">
        <w:rPr>
          <w:b/>
          <w:bCs/>
          <w:sz w:val="23"/>
          <w:szCs w:val="23"/>
          <w:vertAlign w:val="superscript"/>
        </w:rPr>
        <w:t>1,3</w:t>
      </w:r>
      <w:r w:rsidRPr="0085327B">
        <w:rPr>
          <w:sz w:val="23"/>
          <w:szCs w:val="23"/>
        </w:rPr>
        <w:t>†</w:t>
      </w:r>
      <w:r w:rsidRPr="0085327B">
        <w:rPr>
          <w:b/>
          <w:bCs/>
          <w:sz w:val="23"/>
          <w:szCs w:val="23"/>
        </w:rPr>
        <w:t>, Sonia Perales</w:t>
      </w:r>
      <w:r w:rsidRPr="0085327B">
        <w:rPr>
          <w:b/>
          <w:bCs/>
          <w:sz w:val="23"/>
          <w:szCs w:val="23"/>
          <w:vertAlign w:val="superscript"/>
        </w:rPr>
        <w:t>1,3</w:t>
      </w:r>
      <w:r w:rsidRPr="0085327B">
        <w:rPr>
          <w:b/>
          <w:bCs/>
          <w:sz w:val="23"/>
          <w:szCs w:val="23"/>
        </w:rPr>
        <w:t>, Carmen</w:t>
      </w:r>
      <w:r>
        <w:rPr>
          <w:b/>
          <w:bCs/>
          <w:sz w:val="23"/>
          <w:szCs w:val="23"/>
        </w:rPr>
        <w:t xml:space="preserve"> Garrido-</w:t>
      </w:r>
      <w:r w:rsidRPr="0085327B">
        <w:rPr>
          <w:b/>
          <w:bCs/>
          <w:sz w:val="23"/>
          <w:szCs w:val="23"/>
        </w:rPr>
        <w:t>Navas</w:t>
      </w:r>
      <w:r w:rsidRPr="0085327B">
        <w:rPr>
          <w:b/>
          <w:bCs/>
          <w:sz w:val="23"/>
          <w:szCs w:val="23"/>
          <w:vertAlign w:val="superscript"/>
        </w:rPr>
        <w:t>1</w:t>
      </w:r>
      <w:r w:rsidRPr="0085327B">
        <w:rPr>
          <w:b/>
          <w:bCs/>
          <w:sz w:val="23"/>
          <w:szCs w:val="23"/>
        </w:rPr>
        <w:t xml:space="preserve">, </w:t>
      </w:r>
      <w:proofErr w:type="spellStart"/>
      <w:r w:rsidRPr="0085327B">
        <w:rPr>
          <w:b/>
          <w:bCs/>
          <w:sz w:val="23"/>
          <w:szCs w:val="23"/>
        </w:rPr>
        <w:t>Alessandro</w:t>
      </w:r>
      <w:proofErr w:type="spellEnd"/>
      <w:r w:rsidRPr="0085327B">
        <w:rPr>
          <w:b/>
          <w:bCs/>
          <w:sz w:val="23"/>
          <w:szCs w:val="23"/>
        </w:rPr>
        <w:t xml:space="preserve"> Russo</w:t>
      </w:r>
      <w:r w:rsidRPr="0085327B">
        <w:rPr>
          <w:b/>
          <w:bCs/>
          <w:sz w:val="23"/>
          <w:szCs w:val="23"/>
          <w:vertAlign w:val="superscript"/>
        </w:rPr>
        <w:t>4</w:t>
      </w:r>
      <w:r w:rsidRPr="0085327B">
        <w:rPr>
          <w:b/>
          <w:bCs/>
          <w:sz w:val="23"/>
          <w:szCs w:val="23"/>
        </w:rPr>
        <w:t>, Diego de Miguel-Perez</w:t>
      </w:r>
      <w:r w:rsidRPr="0085327B">
        <w:rPr>
          <w:b/>
          <w:bCs/>
          <w:sz w:val="23"/>
          <w:szCs w:val="23"/>
          <w:vertAlign w:val="superscript"/>
        </w:rPr>
        <w:t>4</w:t>
      </w:r>
      <w:r w:rsidRPr="0085327B">
        <w:rPr>
          <w:b/>
          <w:bCs/>
          <w:sz w:val="23"/>
          <w:szCs w:val="23"/>
        </w:rPr>
        <w:t>, Ignacio Puche-Sanz</w:t>
      </w:r>
      <w:r w:rsidRPr="0085327B">
        <w:rPr>
          <w:b/>
          <w:bCs/>
          <w:sz w:val="23"/>
          <w:szCs w:val="23"/>
          <w:vertAlign w:val="superscript"/>
        </w:rPr>
        <w:t>1,5</w:t>
      </w:r>
      <w:r w:rsidRPr="0085327B">
        <w:rPr>
          <w:b/>
          <w:bCs/>
          <w:sz w:val="23"/>
          <w:szCs w:val="23"/>
        </w:rPr>
        <w:t>, Clara Alaminos</w:t>
      </w:r>
      <w:r w:rsidRPr="0085327B">
        <w:rPr>
          <w:b/>
          <w:bCs/>
          <w:sz w:val="23"/>
          <w:szCs w:val="23"/>
          <w:vertAlign w:val="superscript"/>
        </w:rPr>
        <w:t>6</w:t>
      </w:r>
      <w:r w:rsidRPr="0085327B">
        <w:rPr>
          <w:b/>
          <w:bCs/>
          <w:sz w:val="23"/>
          <w:szCs w:val="23"/>
        </w:rPr>
        <w:t>, Jorge Ceron</w:t>
      </w:r>
      <w:r w:rsidRPr="0085327B">
        <w:rPr>
          <w:b/>
          <w:bCs/>
          <w:sz w:val="23"/>
          <w:szCs w:val="23"/>
          <w:vertAlign w:val="superscript"/>
        </w:rPr>
        <w:t>1,3</w:t>
      </w:r>
      <w:r w:rsidRPr="0085327B">
        <w:rPr>
          <w:b/>
          <w:bCs/>
          <w:sz w:val="23"/>
          <w:szCs w:val="23"/>
        </w:rPr>
        <w:t xml:space="preserve">, </w:t>
      </w:r>
      <w:proofErr w:type="spellStart"/>
      <w:r w:rsidRPr="0085327B">
        <w:rPr>
          <w:b/>
          <w:bCs/>
          <w:sz w:val="23"/>
          <w:szCs w:val="23"/>
        </w:rPr>
        <w:t>Jose</w:t>
      </w:r>
      <w:proofErr w:type="spellEnd"/>
      <w:r w:rsidRPr="0085327B">
        <w:rPr>
          <w:b/>
          <w:bCs/>
          <w:sz w:val="23"/>
          <w:szCs w:val="23"/>
        </w:rPr>
        <w:t xml:space="preserve"> A. Lorente</w:t>
      </w:r>
      <w:r w:rsidRPr="0085327B">
        <w:rPr>
          <w:b/>
          <w:bCs/>
          <w:sz w:val="23"/>
          <w:szCs w:val="23"/>
          <w:vertAlign w:val="superscript"/>
        </w:rPr>
        <w:t>1,2</w:t>
      </w:r>
      <w:r w:rsidRPr="0085327B">
        <w:rPr>
          <w:b/>
          <w:bCs/>
          <w:sz w:val="23"/>
          <w:szCs w:val="23"/>
        </w:rPr>
        <w:t xml:space="preserve">, </w:t>
      </w:r>
      <w:proofErr w:type="spellStart"/>
      <w:r w:rsidRPr="0085327B">
        <w:rPr>
          <w:b/>
          <w:bCs/>
          <w:sz w:val="23"/>
          <w:szCs w:val="23"/>
        </w:rPr>
        <w:t>Massimo</w:t>
      </w:r>
      <w:proofErr w:type="spellEnd"/>
      <w:r w:rsidRPr="0085327B">
        <w:rPr>
          <w:b/>
          <w:bCs/>
          <w:sz w:val="23"/>
          <w:szCs w:val="23"/>
        </w:rPr>
        <w:t xml:space="preserve"> Cristofanilli</w:t>
      </w:r>
      <w:r w:rsidRPr="0085327B">
        <w:rPr>
          <w:b/>
          <w:bCs/>
          <w:sz w:val="23"/>
          <w:szCs w:val="23"/>
          <w:vertAlign w:val="superscript"/>
        </w:rPr>
        <w:t>7</w:t>
      </w:r>
      <w:r w:rsidRPr="0085327B">
        <w:rPr>
          <w:b/>
          <w:bCs/>
          <w:sz w:val="23"/>
          <w:szCs w:val="23"/>
        </w:rPr>
        <w:t>, Alba</w:t>
      </w:r>
      <w:r>
        <w:rPr>
          <w:b/>
          <w:bCs/>
          <w:sz w:val="23"/>
          <w:szCs w:val="23"/>
        </w:rPr>
        <w:t xml:space="preserve"> Ortigosa-</w:t>
      </w:r>
      <w:r w:rsidRPr="0085327B">
        <w:rPr>
          <w:b/>
          <w:bCs/>
          <w:sz w:val="23"/>
          <w:szCs w:val="23"/>
        </w:rPr>
        <w:t>Palomo</w:t>
      </w:r>
      <w:r w:rsidRPr="0085327B">
        <w:rPr>
          <w:b/>
          <w:bCs/>
          <w:sz w:val="23"/>
          <w:szCs w:val="23"/>
          <w:vertAlign w:val="superscript"/>
        </w:rPr>
        <w:t>1</w:t>
      </w:r>
      <w:r w:rsidRPr="0085327B">
        <w:rPr>
          <w:b/>
          <w:bCs/>
          <w:sz w:val="23"/>
          <w:szCs w:val="23"/>
        </w:rPr>
        <w:t>, Pedro J. Real</w:t>
      </w:r>
      <w:r w:rsidRPr="0085327B">
        <w:rPr>
          <w:b/>
          <w:bCs/>
          <w:sz w:val="23"/>
          <w:szCs w:val="23"/>
          <w:vertAlign w:val="superscript"/>
        </w:rPr>
        <w:t>1,3,8</w:t>
      </w:r>
      <w:r w:rsidRPr="0085327B">
        <w:rPr>
          <w:b/>
          <w:bCs/>
          <w:sz w:val="23"/>
          <w:szCs w:val="23"/>
        </w:rPr>
        <w:t xml:space="preserve">, Christian </w:t>
      </w:r>
      <w:proofErr w:type="spellStart"/>
      <w:r w:rsidRPr="0085327B">
        <w:rPr>
          <w:b/>
          <w:bCs/>
          <w:sz w:val="23"/>
          <w:szCs w:val="23"/>
        </w:rPr>
        <w:t>Rolfo</w:t>
      </w:r>
      <w:proofErr w:type="spellEnd"/>
      <w:r w:rsidR="00383999" w:rsidRPr="0085327B">
        <w:rPr>
          <w:b/>
          <w:bCs/>
          <w:sz w:val="23"/>
          <w:szCs w:val="23"/>
        </w:rPr>
        <w:t>*</w:t>
      </w:r>
      <w:r w:rsidRPr="0085327B">
        <w:rPr>
          <w:b/>
          <w:bCs/>
          <w:sz w:val="23"/>
          <w:szCs w:val="23"/>
          <w:vertAlign w:val="superscript"/>
        </w:rPr>
        <w:t>4</w:t>
      </w:r>
      <w:r w:rsidRPr="0085327B">
        <w:rPr>
          <w:b/>
          <w:bCs/>
          <w:sz w:val="23"/>
          <w:szCs w:val="23"/>
        </w:rPr>
        <w:t>, María J. Serrano*</w:t>
      </w:r>
      <w:r w:rsidRPr="0085327B">
        <w:rPr>
          <w:b/>
          <w:bCs/>
          <w:sz w:val="23"/>
          <w:szCs w:val="23"/>
          <w:vertAlign w:val="superscript"/>
        </w:rPr>
        <w:t>1,9,10</w:t>
      </w:r>
    </w:p>
    <w:p w:rsidR="00203748" w:rsidRPr="004F4F50" w:rsidRDefault="00203748" w:rsidP="00925294">
      <w:pPr>
        <w:spacing w:line="480" w:lineRule="auto"/>
        <w:rPr>
          <w:rFonts w:ascii="Times New Roman" w:eastAsia="Calibri" w:hAnsi="Times New Roman" w:cs="Times New Roman"/>
          <w:b/>
          <w:bCs/>
          <w:color w:val="000000"/>
          <w:sz w:val="23"/>
          <w:szCs w:val="23"/>
          <w:lang w:val="en-US" w:bidi="ar-SA"/>
        </w:rPr>
      </w:pPr>
    </w:p>
    <w:p w:rsidR="00513F1C" w:rsidRPr="004F4F50" w:rsidRDefault="00513F1C" w:rsidP="00925294">
      <w:pPr>
        <w:spacing w:line="480" w:lineRule="auto"/>
        <w:rPr>
          <w:rFonts w:ascii="Times New Roman" w:eastAsia="Calibri" w:hAnsi="Times New Roman" w:cs="Times New Roman"/>
          <w:b/>
          <w:bCs/>
          <w:color w:val="000000"/>
          <w:sz w:val="23"/>
          <w:szCs w:val="23"/>
          <w:lang w:val="en-US" w:bidi="ar-SA"/>
        </w:rPr>
      </w:pPr>
      <w:r w:rsidRPr="004F4F50">
        <w:rPr>
          <w:rFonts w:ascii="Times New Roman" w:eastAsia="Calibri" w:hAnsi="Times New Roman" w:cs="Times New Roman"/>
          <w:b/>
          <w:bCs/>
          <w:color w:val="000000"/>
          <w:sz w:val="23"/>
          <w:szCs w:val="23"/>
          <w:lang w:val="en-US" w:bidi="ar-SA"/>
        </w:rPr>
        <w:t>Tables</w:t>
      </w:r>
    </w:p>
    <w:p w:rsidR="003B4228" w:rsidRPr="004F4F50" w:rsidRDefault="003B4228" w:rsidP="003B4228">
      <w:pPr>
        <w:jc w:val="left"/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</w:pPr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Table S1. </w:t>
      </w:r>
      <w:proofErr w:type="gramStart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Primer sequences used for RT-</w:t>
      </w:r>
      <w:proofErr w:type="spellStart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qPCR</w:t>
      </w:r>
      <w:proofErr w:type="spellEnd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in this study.</w:t>
      </w:r>
      <w:proofErr w:type="gramEnd"/>
    </w:p>
    <w:p w:rsidR="003B4228" w:rsidRPr="00BC7E84" w:rsidRDefault="003B4228" w:rsidP="003B4228">
      <w:pPr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tbl>
      <w:tblPr>
        <w:tblStyle w:val="Sombreadomedio21"/>
        <w:tblW w:w="0" w:type="auto"/>
        <w:jc w:val="center"/>
        <w:tblLook w:val="04A0"/>
      </w:tblPr>
      <w:tblGrid>
        <w:gridCol w:w="1261"/>
        <w:gridCol w:w="3517"/>
        <w:gridCol w:w="3983"/>
      </w:tblGrid>
      <w:tr w:rsidR="003B4228" w:rsidRPr="00203748" w:rsidTr="00F620C8">
        <w:trPr>
          <w:cnfStyle w:val="100000000000"/>
          <w:trHeight w:val="231"/>
          <w:jc w:val="center"/>
        </w:trPr>
        <w:tc>
          <w:tcPr>
            <w:cnfStyle w:val="001000000100"/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</w:p>
        </w:tc>
        <w:tc>
          <w:tcPr>
            <w:tcW w:w="0" w:type="auto"/>
            <w:vAlign w:val="center"/>
          </w:tcPr>
          <w:p w:rsidR="003B4228" w:rsidRPr="00203748" w:rsidRDefault="003B4228" w:rsidP="00FA2B75">
            <w:pPr>
              <w:spacing w:line="360" w:lineRule="auto"/>
              <w:jc w:val="left"/>
              <w:cnfStyle w:val="1000000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Forward Sequence (5´-3´)</w:t>
            </w:r>
          </w:p>
        </w:tc>
        <w:tc>
          <w:tcPr>
            <w:tcW w:w="0" w:type="auto"/>
            <w:vAlign w:val="center"/>
          </w:tcPr>
          <w:p w:rsidR="003B4228" w:rsidRPr="00203748" w:rsidRDefault="003B4228" w:rsidP="00FA2B75">
            <w:pPr>
              <w:spacing w:line="360" w:lineRule="auto"/>
              <w:jc w:val="left"/>
              <w:cnfStyle w:val="1000000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Reverse Sequence (5´-3´)</w:t>
            </w:r>
          </w:p>
        </w:tc>
      </w:tr>
      <w:tr w:rsidR="003B4228" w:rsidRPr="00203748" w:rsidTr="00F620C8">
        <w:trPr>
          <w:cnfStyle w:val="000000100000"/>
          <w:jc w:val="center"/>
        </w:trPr>
        <w:tc>
          <w:tcPr>
            <w:cnfStyle w:val="001000000000"/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VIMENTIN</w:t>
            </w:r>
          </w:p>
        </w:tc>
        <w:tc>
          <w:tcPr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cnfStyle w:val="0000001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CCAGGCAAAGCAGGAGTC</w:t>
            </w:r>
          </w:p>
        </w:tc>
        <w:tc>
          <w:tcPr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cnfStyle w:val="0000001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CGAAGGTGACGAGCCATT</w:t>
            </w:r>
          </w:p>
        </w:tc>
      </w:tr>
      <w:tr w:rsidR="003B4228" w:rsidRPr="00203748" w:rsidTr="00F620C8">
        <w:trPr>
          <w:jc w:val="center"/>
        </w:trPr>
        <w:tc>
          <w:tcPr>
            <w:cnfStyle w:val="001000000000"/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SNAIL1</w:t>
            </w:r>
          </w:p>
        </w:tc>
        <w:tc>
          <w:tcPr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cnfStyle w:val="0000000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GCTGCAGGACTCTAATCCAGA</w:t>
            </w:r>
          </w:p>
        </w:tc>
        <w:tc>
          <w:tcPr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cnfStyle w:val="0000000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ATCTCCGGAGGTGGGATG</w:t>
            </w:r>
          </w:p>
        </w:tc>
      </w:tr>
      <w:tr w:rsidR="003B4228" w:rsidRPr="00203748" w:rsidTr="00F620C8">
        <w:trPr>
          <w:cnfStyle w:val="000000100000"/>
          <w:jc w:val="center"/>
        </w:trPr>
        <w:tc>
          <w:tcPr>
            <w:cnfStyle w:val="001000000000"/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SNAIL2</w:t>
            </w:r>
          </w:p>
        </w:tc>
        <w:tc>
          <w:tcPr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cnfStyle w:val="0000001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TGGTTGCTTCAAGGACACAT</w:t>
            </w:r>
          </w:p>
        </w:tc>
        <w:tc>
          <w:tcPr>
            <w:tcW w:w="0" w:type="auto"/>
          </w:tcPr>
          <w:p w:rsidR="003B4228" w:rsidRPr="00203748" w:rsidRDefault="003B4228" w:rsidP="00FA2B75">
            <w:pPr>
              <w:spacing w:line="360" w:lineRule="auto"/>
              <w:jc w:val="left"/>
              <w:cnfStyle w:val="0000001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GCAAATGCTCTGTTGCAGTG</w:t>
            </w:r>
          </w:p>
        </w:tc>
      </w:tr>
      <w:tr w:rsidR="00F620C8" w:rsidRPr="00203748" w:rsidTr="00F620C8">
        <w:trPr>
          <w:jc w:val="center"/>
        </w:trPr>
        <w:tc>
          <w:tcPr>
            <w:cnfStyle w:val="001000000000"/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REX1</w:t>
            </w:r>
          </w:p>
        </w:tc>
        <w:tc>
          <w:tcPr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cnfStyle w:val="0000000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Calibri" w:hAnsi="Times New Roman" w:cs="Times New Roman"/>
                <w:color w:val="000000"/>
                <w:sz w:val="20"/>
                <w:szCs w:val="24"/>
                <w:lang w:val="en-US" w:bidi="ar-SA"/>
              </w:rPr>
              <w:t>CAGATCCTAAACAGCTCGCAGAAT</w:t>
            </w:r>
          </w:p>
        </w:tc>
        <w:tc>
          <w:tcPr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ES" w:bidi="ar-SA"/>
              </w:rPr>
              <w:t>GCGTACGCAAATTAAAGTCCAGA</w:t>
            </w:r>
          </w:p>
        </w:tc>
      </w:tr>
      <w:tr w:rsidR="00F620C8" w:rsidRPr="00203748" w:rsidTr="00F620C8">
        <w:trPr>
          <w:cnfStyle w:val="000000100000"/>
          <w:jc w:val="center"/>
        </w:trPr>
        <w:tc>
          <w:tcPr>
            <w:cnfStyle w:val="001000000000"/>
            <w:tcW w:w="0" w:type="auto"/>
          </w:tcPr>
          <w:p w:rsidR="00F620C8" w:rsidRPr="00203748" w:rsidRDefault="00F620C8" w:rsidP="00116556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bidi="ar-SA"/>
              </w:rPr>
              <w:t>OCT4</w:t>
            </w:r>
          </w:p>
        </w:tc>
        <w:tc>
          <w:tcPr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cnfStyle w:val="0000001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Calibri" w:hAnsi="Times New Roman" w:cs="Times New Roman"/>
                <w:color w:val="000000"/>
                <w:sz w:val="20"/>
                <w:szCs w:val="24"/>
                <w:lang w:val="en-US" w:bidi="ar-SA"/>
              </w:rPr>
              <w:t>AGTGAGAGGCAACCTGGAGA</w:t>
            </w:r>
          </w:p>
        </w:tc>
        <w:tc>
          <w:tcPr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cnfStyle w:val="0000001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Calibri" w:hAnsi="Times New Roman" w:cs="Times New Roman"/>
                <w:color w:val="000000"/>
                <w:sz w:val="20"/>
                <w:szCs w:val="24"/>
                <w:lang w:val="en-US" w:bidi="ar-SA"/>
              </w:rPr>
              <w:t>ACACTCGGACCACATCCTTC</w:t>
            </w:r>
          </w:p>
        </w:tc>
      </w:tr>
      <w:tr w:rsidR="00F620C8" w:rsidRPr="00203748" w:rsidTr="00F620C8">
        <w:trPr>
          <w:jc w:val="center"/>
        </w:trPr>
        <w:tc>
          <w:tcPr>
            <w:cnfStyle w:val="001000000000"/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NANOG</w:t>
            </w:r>
          </w:p>
        </w:tc>
        <w:tc>
          <w:tcPr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cnfStyle w:val="0000000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Calibri" w:hAnsi="Times New Roman" w:cs="Times New Roman"/>
                <w:color w:val="000000"/>
                <w:sz w:val="20"/>
                <w:szCs w:val="24"/>
                <w:lang w:val="en-US" w:bidi="ar-SA"/>
              </w:rPr>
              <w:t>TGCAGTTCCAGCCAAATTCTC</w:t>
            </w:r>
          </w:p>
        </w:tc>
        <w:tc>
          <w:tcPr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cnfStyle w:val="0000000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Calibri" w:hAnsi="Times New Roman" w:cs="Times New Roman"/>
                <w:color w:val="000000"/>
                <w:sz w:val="20"/>
                <w:szCs w:val="24"/>
                <w:lang w:val="en-US" w:bidi="ar-SA"/>
              </w:rPr>
              <w:t>CCTAGTGGTCTGCTGTATTACATTAAGG</w:t>
            </w:r>
          </w:p>
        </w:tc>
      </w:tr>
      <w:tr w:rsidR="00F620C8" w:rsidRPr="00203748" w:rsidTr="00F620C8">
        <w:trPr>
          <w:cnfStyle w:val="000000100000"/>
          <w:jc w:val="center"/>
        </w:trPr>
        <w:tc>
          <w:tcPr>
            <w:cnfStyle w:val="001000000000"/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GAPDH</w:t>
            </w:r>
          </w:p>
        </w:tc>
        <w:tc>
          <w:tcPr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cnfStyle w:val="0000001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TGCACCACCAACTGCTTAGC</w:t>
            </w:r>
          </w:p>
        </w:tc>
        <w:tc>
          <w:tcPr>
            <w:tcW w:w="0" w:type="auto"/>
          </w:tcPr>
          <w:p w:rsidR="00F620C8" w:rsidRPr="00203748" w:rsidRDefault="00F620C8" w:rsidP="00116556">
            <w:pPr>
              <w:spacing w:line="360" w:lineRule="auto"/>
              <w:jc w:val="left"/>
              <w:cnfStyle w:val="000000100000"/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</w:pPr>
            <w:r w:rsidRPr="00203748">
              <w:rPr>
                <w:rFonts w:ascii="Times New Roman" w:eastAsia="Times New Roman" w:hAnsi="Times New Roman" w:cs="Times New Roman"/>
                <w:color w:val="1C1D1E"/>
                <w:sz w:val="20"/>
                <w:szCs w:val="24"/>
                <w:lang w:val="en-US" w:eastAsia="es-ES" w:bidi="ar-SA"/>
              </w:rPr>
              <w:t>GGCATGGACTGTGGTCATGAG</w:t>
            </w:r>
          </w:p>
        </w:tc>
      </w:tr>
    </w:tbl>
    <w:p w:rsidR="003B4228" w:rsidRPr="00BC7E84" w:rsidRDefault="003B4228" w:rsidP="003B4228">
      <w:pPr>
        <w:jc w:val="left"/>
        <w:rPr>
          <w:rFonts w:ascii="Times New Roman" w:eastAsia="Calibri" w:hAnsi="Times New Roman" w:cs="Times New Roman"/>
          <w:sz w:val="24"/>
          <w:szCs w:val="24"/>
          <w:lang w:val="en-US" w:bidi="ar-SA"/>
        </w:rPr>
      </w:pPr>
    </w:p>
    <w:p w:rsidR="00203748" w:rsidRDefault="00203748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513F1C" w:rsidRPr="004F4F50" w:rsidRDefault="00513F1C" w:rsidP="00F620C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</w:pPr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Figures</w:t>
      </w:r>
    </w:p>
    <w:p w:rsidR="00203748" w:rsidRPr="004F4F50" w:rsidRDefault="003B4228" w:rsidP="0020374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</w:pPr>
      <w:proofErr w:type="gramStart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Fig.</w:t>
      </w:r>
      <w:proofErr w:type="gramEnd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S1. </w:t>
      </w:r>
      <w:proofErr w:type="gramStart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Methods summary.</w:t>
      </w:r>
      <w:proofErr w:type="gramEnd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</w:t>
      </w:r>
    </w:p>
    <w:p w:rsidR="003B4228" w:rsidRPr="00BC7E84" w:rsidRDefault="003B4228" w:rsidP="0020374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  <w:r w:rsidRPr="00BC7E84">
        <w:rPr>
          <w:rFonts w:ascii="Times New Roman" w:eastAsia="Calibri" w:hAnsi="Times New Roman" w:cs="Times New Roman"/>
          <w:b/>
          <w:noProof/>
          <w:sz w:val="24"/>
          <w:szCs w:val="24"/>
          <w:lang w:eastAsia="es-ES" w:bidi="ar-SA"/>
        </w:rPr>
        <w:drawing>
          <wp:inline distT="0" distB="0" distL="0" distR="0">
            <wp:extent cx="4980567" cy="4176000"/>
            <wp:effectExtent l="19050" t="0" r="0" b="0"/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567" cy="41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0C8" w:rsidRPr="004F4F50" w:rsidRDefault="00F620C8" w:rsidP="00F620C8">
      <w:pPr>
        <w:rPr>
          <w:rFonts w:ascii="Times New Roman" w:eastAsia="Calibri" w:hAnsi="Times New Roman" w:cs="Times New Roman"/>
          <w:sz w:val="23"/>
          <w:szCs w:val="23"/>
          <w:lang w:val="en-US" w:bidi="ar-SA"/>
        </w:rPr>
      </w:pPr>
      <w:proofErr w:type="gramStart"/>
      <w:r w:rsidRPr="004F4F50">
        <w:rPr>
          <w:rFonts w:ascii="Times New Roman" w:eastAsia="Calibri" w:hAnsi="Times New Roman" w:cs="Times New Roman"/>
          <w:b/>
          <w:bCs/>
          <w:sz w:val="23"/>
          <w:szCs w:val="23"/>
          <w:lang w:val="en-US" w:bidi="ar-SA"/>
        </w:rPr>
        <w:t>Fig.</w:t>
      </w:r>
      <w:proofErr w:type="gramEnd"/>
      <w:r w:rsidRPr="004F4F50">
        <w:rPr>
          <w:rFonts w:ascii="Times New Roman" w:eastAsia="Calibri" w:hAnsi="Times New Roman" w:cs="Times New Roman"/>
          <w:b/>
          <w:bCs/>
          <w:sz w:val="23"/>
          <w:szCs w:val="23"/>
          <w:lang w:val="en-US" w:bidi="ar-SA"/>
        </w:rPr>
        <w:t xml:space="preserve"> S2. Platelets and </w:t>
      </w:r>
      <w:r w:rsidR="00203748" w:rsidRPr="004F4F50">
        <w:rPr>
          <w:rFonts w:ascii="Times New Roman" w:eastAsia="Calibri" w:hAnsi="Times New Roman" w:cs="Times New Roman"/>
          <w:b/>
          <w:bCs/>
          <w:sz w:val="23"/>
          <w:szCs w:val="23"/>
          <w:lang w:val="en-US" w:bidi="ar-SA"/>
        </w:rPr>
        <w:t>LNCAP</w:t>
      </w:r>
      <w:r w:rsidRPr="004F4F50">
        <w:rPr>
          <w:rFonts w:ascii="Times New Roman" w:eastAsia="Calibri" w:hAnsi="Times New Roman" w:cs="Times New Roman"/>
          <w:b/>
          <w:bCs/>
          <w:sz w:val="23"/>
          <w:szCs w:val="23"/>
          <w:lang w:val="en-US" w:bidi="ar-SA"/>
        </w:rPr>
        <w:t xml:space="preserve"> prostate cancer cell line co-culture analysis gates. </w:t>
      </w:r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>(</w:t>
      </w:r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A</w:t>
      </w:r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>) Gates used for analysis of the platelets activation or (</w:t>
      </w:r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B</w:t>
      </w:r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>) the transference of structural cell tracker from cells to platelets and (</w:t>
      </w:r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C</w:t>
      </w:r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>) platelets to cells. All the gates were taken from a negative control.</w:t>
      </w:r>
    </w:p>
    <w:p w:rsidR="00F620C8" w:rsidRPr="00BC7E84" w:rsidRDefault="00F620C8" w:rsidP="00F620C8">
      <w:pPr>
        <w:jc w:val="center"/>
        <w:rPr>
          <w:rFonts w:ascii="Times New Roman" w:eastAsia="Calibri" w:hAnsi="Times New Roman" w:cs="Times New Roman"/>
          <w:sz w:val="24"/>
          <w:szCs w:val="24"/>
          <w:lang w:val="en-US" w:bidi="ar-SA"/>
        </w:rPr>
      </w:pPr>
      <w:r w:rsidRPr="00BC7E84">
        <w:rPr>
          <w:rFonts w:ascii="Times New Roman" w:eastAsia="Calibri" w:hAnsi="Times New Roman" w:cs="Times New Roman"/>
          <w:noProof/>
          <w:sz w:val="24"/>
          <w:szCs w:val="24"/>
          <w:lang w:eastAsia="es-ES" w:bidi="ar-SA"/>
        </w:rPr>
        <w:lastRenderedPageBreak/>
        <w:drawing>
          <wp:inline distT="0" distB="0" distL="0" distR="0">
            <wp:extent cx="4941989" cy="6840000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l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1989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F1C" w:rsidRPr="00BC7E84" w:rsidRDefault="00513F1C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13F1C" w:rsidRPr="00BC7E84" w:rsidRDefault="00513F1C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13F1C" w:rsidRPr="00BC7E84" w:rsidRDefault="00513F1C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13F1C" w:rsidRPr="00BC7E84" w:rsidRDefault="00513F1C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13F1C" w:rsidRPr="00BC7E84" w:rsidRDefault="00513F1C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13F1C" w:rsidRPr="00BC7E84" w:rsidRDefault="00513F1C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13F1C" w:rsidRPr="00BC7E84" w:rsidRDefault="00513F1C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13F1C" w:rsidRPr="00BC7E84" w:rsidRDefault="00513F1C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4F4F50" w:rsidRDefault="004F4F50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4F4F50" w:rsidRDefault="004F4F50" w:rsidP="001B79E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F5D30" w:rsidRPr="004F4F50" w:rsidRDefault="00C43D26" w:rsidP="001B79ED">
      <w:pPr>
        <w:rPr>
          <w:rFonts w:ascii="Times New Roman" w:eastAsia="Times New Roman" w:hAnsi="Times New Roman" w:cs="Times New Roman"/>
          <w:b/>
          <w:bCs/>
          <w:kern w:val="28"/>
          <w:sz w:val="23"/>
          <w:szCs w:val="23"/>
          <w:lang w:val="en-US" w:bidi="ar-SA"/>
        </w:rPr>
      </w:pPr>
      <w:proofErr w:type="gramStart"/>
      <w:r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lastRenderedPageBreak/>
        <w:t>Fig.</w:t>
      </w:r>
      <w:proofErr w:type="gramEnd"/>
      <w:r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 S3</w:t>
      </w:r>
      <w:r w:rsidR="003B4228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. </w:t>
      </w:r>
      <w:proofErr w:type="gramStart"/>
      <w:r w:rsidR="003B4228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>Platelet activation in co-culture models.</w:t>
      </w:r>
      <w:proofErr w:type="gramEnd"/>
      <w:r w:rsidR="003B4228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 </w:t>
      </w:r>
      <w:r w:rsidR="00084E78" w:rsidRPr="004F4F50">
        <w:rPr>
          <w:rFonts w:ascii="Times New Roman" w:hAnsi="Times New Roman" w:cs="Times New Roman"/>
          <w:bCs/>
          <w:sz w:val="23"/>
          <w:szCs w:val="23"/>
          <w:lang w:val="en-US"/>
        </w:rPr>
        <w:t>(</w:t>
      </w:r>
      <w:r w:rsidR="00084E78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>A</w:t>
      </w:r>
      <w:r w:rsidR="00084E78" w:rsidRPr="004F4F50">
        <w:rPr>
          <w:rFonts w:ascii="Times New Roman" w:hAnsi="Times New Roman" w:cs="Times New Roman"/>
          <w:bCs/>
          <w:sz w:val="23"/>
          <w:szCs w:val="23"/>
          <w:lang w:val="en-US"/>
        </w:rPr>
        <w:t>)</w:t>
      </w:r>
      <w:r w:rsidR="00084E78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 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Platelet activation was presented as percentage (%) of PAC-1</w:t>
      </w:r>
      <w:r w:rsidR="003B4228" w:rsidRPr="004F4F50">
        <w:rPr>
          <w:rFonts w:ascii="Times New Roman" w:hAnsi="Times New Roman" w:cs="Times New Roman"/>
          <w:bCs/>
          <w:sz w:val="23"/>
          <w:szCs w:val="23"/>
          <w:vertAlign w:val="superscript"/>
          <w:lang w:val="en-US" w:eastAsia="en-GB"/>
        </w:rPr>
        <w:t>+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 platelets. White bars showed platelets cultured alone: (P</w:t>
      </w:r>
      <w:r w:rsidR="003B4228" w:rsidRPr="004F4F50">
        <w:rPr>
          <w:rFonts w:ascii="Times New Roman" w:hAnsi="Times New Roman" w:cs="Times New Roman"/>
          <w:bCs/>
          <w:sz w:val="23"/>
          <w:szCs w:val="23"/>
          <w:vertAlign w:val="subscript"/>
          <w:lang w:val="en-US" w:eastAsia="en-GB"/>
        </w:rPr>
        <w:t>0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) resting platelets after isolation; after 24h in culture (P) untreated platelets, (P</w:t>
      </w:r>
      <w:r w:rsidR="003B4228" w:rsidRPr="004F4F50">
        <w:rPr>
          <w:rFonts w:ascii="Times New Roman" w:hAnsi="Times New Roman" w:cs="Times New Roman"/>
          <w:bCs/>
          <w:sz w:val="23"/>
          <w:szCs w:val="23"/>
          <w:vertAlign w:val="subscript"/>
          <w:lang w:val="en-US" w:eastAsia="en-GB"/>
        </w:rPr>
        <w:t>CT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) cell tracker-labeled platelets, (P</w:t>
      </w:r>
      <w:r w:rsidR="003B4228" w:rsidRPr="004F4F50">
        <w:rPr>
          <w:rFonts w:ascii="Times New Roman" w:hAnsi="Times New Roman" w:cs="Times New Roman"/>
          <w:bCs/>
          <w:sz w:val="23"/>
          <w:szCs w:val="23"/>
          <w:vertAlign w:val="subscript"/>
          <w:lang w:val="en-US" w:eastAsia="en-GB"/>
        </w:rPr>
        <w:t>ADP+T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) </w:t>
      </w:r>
      <w:proofErr w:type="spellStart"/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ADP+Thrombin</w:t>
      </w:r>
      <w:proofErr w:type="spellEnd"/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-treated platelets. Black bars showed platelets after 24h co-culture with </w:t>
      </w:r>
      <w:r w:rsidR="0020374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LNCAP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 cells: (P + C) platelets with unlabeled cells, (P + C</w:t>
      </w:r>
      <w:r w:rsidR="003B4228" w:rsidRPr="004F4F50">
        <w:rPr>
          <w:rFonts w:ascii="Times New Roman" w:hAnsi="Times New Roman" w:cs="Times New Roman"/>
          <w:bCs/>
          <w:sz w:val="23"/>
          <w:szCs w:val="23"/>
          <w:vertAlign w:val="subscript"/>
          <w:lang w:val="en-US" w:eastAsia="en-GB"/>
        </w:rPr>
        <w:t>CT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) platelets with cell tracker-labeled cells, (P</w:t>
      </w:r>
      <w:r w:rsidR="003B4228" w:rsidRPr="004F4F50">
        <w:rPr>
          <w:rFonts w:ascii="Times New Roman" w:hAnsi="Times New Roman" w:cs="Times New Roman"/>
          <w:bCs/>
          <w:sz w:val="23"/>
          <w:szCs w:val="23"/>
          <w:vertAlign w:val="subscript"/>
          <w:lang w:val="en-US" w:eastAsia="en-GB"/>
        </w:rPr>
        <w:t>CT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 +C) cell tracker-labeled platelets with unlabeled cells, and (P</w:t>
      </w:r>
      <w:r w:rsidR="003B4228" w:rsidRPr="004F4F50">
        <w:rPr>
          <w:rFonts w:ascii="Times New Roman" w:hAnsi="Times New Roman" w:cs="Times New Roman"/>
          <w:bCs/>
          <w:sz w:val="23"/>
          <w:szCs w:val="23"/>
          <w:vertAlign w:val="subscript"/>
          <w:lang w:val="en-US" w:eastAsia="en-GB"/>
        </w:rPr>
        <w:t xml:space="preserve">ADP+T 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+ C) </w:t>
      </w:r>
      <w:proofErr w:type="spellStart"/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ADP+Thrombin</w:t>
      </w:r>
      <w:proofErr w:type="spellEnd"/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-treated platelets with unlabeled cells.</w:t>
      </w:r>
      <w:r w:rsidR="003B4228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 </w:t>
      </w:r>
      <w:r w:rsidR="003B4228" w:rsidRPr="004F4F50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en-US"/>
        </w:rPr>
        <w:t>Data is presented as means ± SD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. One-way ANOVA (</w:t>
      </w:r>
      <w:proofErr w:type="spellStart"/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>Dunnett’s</w:t>
      </w:r>
      <w:proofErr w:type="spellEnd"/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 multiple comparisons test) were performed for all conditions </w:t>
      </w:r>
      <w:proofErr w:type="spellStart"/>
      <w:r w:rsidR="003B4228" w:rsidRPr="004F4F50">
        <w:rPr>
          <w:rFonts w:ascii="Times New Roman" w:hAnsi="Times New Roman" w:cs="Times New Roman"/>
          <w:bCs/>
          <w:i/>
          <w:sz w:val="23"/>
          <w:szCs w:val="23"/>
          <w:lang w:val="en-US" w:eastAsia="en-GB"/>
        </w:rPr>
        <w:t>vs</w:t>
      </w:r>
      <w:proofErr w:type="spellEnd"/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 control (P</w:t>
      </w:r>
      <w:r w:rsidR="003B4228" w:rsidRPr="004F4F50">
        <w:rPr>
          <w:rFonts w:ascii="Times New Roman" w:hAnsi="Times New Roman" w:cs="Times New Roman"/>
          <w:bCs/>
          <w:sz w:val="23"/>
          <w:szCs w:val="23"/>
          <w:vertAlign w:val="subscript"/>
          <w:lang w:val="en-US" w:eastAsia="en-GB"/>
        </w:rPr>
        <w:t>0</w:t>
      </w:r>
      <w:r w:rsidR="003B4228" w:rsidRPr="004F4F50">
        <w:rPr>
          <w:rFonts w:ascii="Times New Roman" w:hAnsi="Times New Roman" w:cs="Times New Roman"/>
          <w:bCs/>
          <w:sz w:val="23"/>
          <w:szCs w:val="23"/>
          <w:lang w:val="en-US" w:eastAsia="en-GB"/>
        </w:rPr>
        <w:t xml:space="preserve">), 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(ns: no significant; * </w:t>
      </w:r>
      <w:r w:rsidR="003B4228" w:rsidRPr="004F4F50">
        <w:rPr>
          <w:rFonts w:ascii="Times New Roman" w:hAnsi="Times New Roman" w:cs="Times New Roman"/>
          <w:i/>
          <w:sz w:val="23"/>
          <w:szCs w:val="23"/>
          <w:lang w:val="en-US"/>
        </w:rPr>
        <w:t>p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>&lt;0.05; **</w:t>
      </w:r>
      <w:r w:rsidR="003B4228" w:rsidRPr="004F4F50">
        <w:rPr>
          <w:rFonts w:ascii="Times New Roman" w:hAnsi="Times New Roman" w:cs="Times New Roman"/>
          <w:i/>
          <w:sz w:val="23"/>
          <w:szCs w:val="23"/>
          <w:lang w:val="en-US"/>
        </w:rPr>
        <w:t>p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>&lt;0.01; ***</w:t>
      </w:r>
      <w:r w:rsidR="003B4228" w:rsidRPr="004F4F50">
        <w:rPr>
          <w:rFonts w:ascii="Times New Roman" w:hAnsi="Times New Roman" w:cs="Times New Roman"/>
          <w:i/>
          <w:sz w:val="23"/>
          <w:szCs w:val="23"/>
          <w:lang w:val="en-US"/>
        </w:rPr>
        <w:t>p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&lt;0.001). </w:t>
      </w:r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>(</w:t>
      </w:r>
      <w:r w:rsidR="00E80A00" w:rsidRPr="004F4F50">
        <w:rPr>
          <w:rFonts w:ascii="Times New Roman" w:hAnsi="Times New Roman" w:cs="Times New Roman"/>
          <w:b/>
          <w:sz w:val="23"/>
          <w:szCs w:val="23"/>
          <w:lang w:val="en-US"/>
        </w:rPr>
        <w:t>B</w:t>
      </w:r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) Transference of Lipids and RNA between resting or </w:t>
      </w:r>
      <w:proofErr w:type="spellStart"/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>ADP+Trombin</w:t>
      </w:r>
      <w:proofErr w:type="spellEnd"/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 (ADP+T) platelets and </w:t>
      </w:r>
      <w:r w:rsidR="00203748" w:rsidRPr="004F4F50">
        <w:rPr>
          <w:rFonts w:ascii="Times New Roman" w:hAnsi="Times New Roman" w:cs="Times New Roman"/>
          <w:sz w:val="23"/>
          <w:szCs w:val="23"/>
          <w:lang w:val="en-US"/>
        </w:rPr>
        <w:t>LNCAP</w:t>
      </w:r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 cells. </w:t>
      </w:r>
      <w:proofErr w:type="gramStart"/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>Two-way ANOVA (</w:t>
      </w:r>
      <w:proofErr w:type="spellStart"/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>Tukey’s</w:t>
      </w:r>
      <w:proofErr w:type="spellEnd"/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 multiple comparison test) A (*p&lt;0.05, **p&lt;0.01, ***p&lt;0.001).</w:t>
      </w:r>
      <w:proofErr w:type="gramEnd"/>
      <w:r w:rsidR="00E80A00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 TEPs: Tumor-educated platelets; PETs: Platelets-educated tumor cells.</w:t>
      </w:r>
    </w:p>
    <w:p w:rsidR="00084E78" w:rsidRPr="00BC7E84" w:rsidRDefault="00084E78" w:rsidP="008D7558">
      <w:pPr>
        <w:keepNext/>
        <w:spacing w:line="480" w:lineRule="auto"/>
        <w:outlineLvl w:val="0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val="en-US" w:bidi="ar-SA"/>
        </w:rPr>
      </w:pPr>
      <w:r w:rsidRPr="00BC7E84"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val="en-US" w:bidi="ar-SA"/>
        </w:rPr>
        <w:t>A                                                                                 B</w:t>
      </w:r>
    </w:p>
    <w:p w:rsidR="006F5D30" w:rsidRPr="00BC7E84" w:rsidRDefault="00B82109" w:rsidP="00084E78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  <w:r w:rsidRPr="00BC7E84">
        <w:rPr>
          <w:rFonts w:ascii="Times New Roman" w:hAnsi="Times New Roman" w:cs="Times New Roman"/>
          <w:b/>
          <w:bCs/>
          <w:noProof/>
          <w:color w:val="333333"/>
          <w:sz w:val="24"/>
          <w:szCs w:val="24"/>
          <w:shd w:val="clear" w:color="auto" w:fill="FFFFFF"/>
          <w:lang w:eastAsia="es-ES" w:bidi="ar-SA"/>
        </w:rPr>
        <w:drawing>
          <wp:inline distT="0" distB="0" distL="0" distR="0">
            <wp:extent cx="3070850" cy="2228850"/>
            <wp:effectExtent l="19050" t="0" r="0" b="0"/>
            <wp:docPr id="2" name="Imagen 4" descr="F:\1. Thesis\Projects\Prostate Cancer\4. Cocultivos Plaquetas\ARTÍCULO\ANNALS OF ONCOLOGY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1. Thesis\Projects\Prostate Cancer\4. Cocultivos Plaquetas\ARTÍCULO\ANNALS OF ONCOLOGY\Figure S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394" cy="2231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4E78" w:rsidRPr="00BC7E84">
        <w:rPr>
          <w:rFonts w:ascii="Times New Roman" w:hAnsi="Times New Roman" w:cs="Times New Roman"/>
          <w:b/>
          <w:bCs/>
          <w:noProof/>
          <w:color w:val="333333"/>
          <w:sz w:val="24"/>
          <w:szCs w:val="24"/>
          <w:shd w:val="clear" w:color="auto" w:fill="FFFFFF"/>
          <w:lang w:eastAsia="es-ES" w:bidi="ar-SA"/>
        </w:rPr>
        <w:drawing>
          <wp:inline distT="0" distB="0" distL="0" distR="0">
            <wp:extent cx="1589855" cy="2308348"/>
            <wp:effectExtent l="19050" t="0" r="0" b="0"/>
            <wp:docPr id="3" name="Imagen 1" descr="F:\1. Thesis\Projects\Prostate Cancer\4. Cocultivos Plaquetas\ARTÍCULO\ANNALS OF ONCOLOGY\AD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. Thesis\Projects\Prostate Cancer\4. Cocultivos Plaquetas\ARTÍCULO\ANNALS OF ONCOLOGY\ADP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32" cy="2314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D26" w:rsidRPr="004F4F50" w:rsidRDefault="00C43D26" w:rsidP="00C43D26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sz w:val="23"/>
          <w:szCs w:val="23"/>
          <w:lang w:val="en-US" w:bidi="ar-SA"/>
        </w:rPr>
      </w:pPr>
      <w:proofErr w:type="gramStart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Fig.</w:t>
      </w:r>
      <w:proofErr w:type="gramEnd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S4. </w:t>
      </w:r>
      <w:proofErr w:type="spellStart"/>
      <w:proofErr w:type="gramStart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Confocal</w:t>
      </w:r>
      <w:proofErr w:type="spellEnd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Time Lapse of platelet and </w:t>
      </w:r>
      <w:r w:rsidR="00203748"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LNCAP</w:t>
      </w:r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co-culture.</w:t>
      </w:r>
      <w:proofErr w:type="gramEnd"/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 xml:space="preserve"> Platelets were labelled with </w:t>
      </w:r>
      <w:proofErr w:type="spellStart"/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>DiO</w:t>
      </w:r>
      <w:proofErr w:type="spellEnd"/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 xml:space="preserve">-cell tracker (green), cells with </w:t>
      </w:r>
      <w:proofErr w:type="spellStart"/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>DiD</w:t>
      </w:r>
      <w:proofErr w:type="spellEnd"/>
      <w:r w:rsidRPr="004F4F50">
        <w:rPr>
          <w:rFonts w:ascii="Times New Roman" w:eastAsia="Calibri" w:hAnsi="Times New Roman" w:cs="Times New Roman"/>
          <w:sz w:val="23"/>
          <w:szCs w:val="23"/>
          <w:lang w:val="en-US" w:bidi="ar-SA"/>
        </w:rPr>
        <w:t xml:space="preserve">-cell tracker (red) and DNA was stained with Hoechst (blue). </w:t>
      </w:r>
    </w:p>
    <w:p w:rsidR="00513F1C" w:rsidRPr="00BC7E84" w:rsidRDefault="00513F1C" w:rsidP="00C43D26">
      <w:pPr>
        <w:widowControl w:val="0"/>
        <w:autoSpaceDE w:val="0"/>
        <w:autoSpaceDN w:val="0"/>
        <w:adjustRightInd w:val="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8D7558" w:rsidRPr="004F4F50" w:rsidRDefault="008D7558" w:rsidP="00C43D26">
      <w:pPr>
        <w:widowControl w:val="0"/>
        <w:autoSpaceDE w:val="0"/>
        <w:autoSpaceDN w:val="0"/>
        <w:adjustRightInd w:val="0"/>
        <w:jc w:val="left"/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</w:pPr>
      <w:proofErr w:type="gramStart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Fig.</w:t>
      </w:r>
      <w:proofErr w:type="gramEnd"/>
      <w:r w:rsidR="00C43D26"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S5.</w:t>
      </w:r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</w:t>
      </w:r>
      <w:proofErr w:type="spellStart"/>
      <w:proofErr w:type="gramStart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>ImageStream</w:t>
      </w:r>
      <w:proofErr w:type="spellEnd"/>
      <w:r w:rsidRPr="004F4F50"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  <w:t xml:space="preserve"> gallery of TEPS (A) and PETs (B).</w:t>
      </w:r>
      <w:proofErr w:type="gramEnd"/>
    </w:p>
    <w:p w:rsidR="008D7558" w:rsidRPr="00BC7E84" w:rsidRDefault="008D7558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4F4F50" w:rsidRDefault="004F4F50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8D7558" w:rsidRPr="00BC7E84" w:rsidRDefault="008D7558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  <w:r w:rsidRPr="00BC7E84"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  <w:lastRenderedPageBreak/>
        <w:t>A</w:t>
      </w:r>
    </w:p>
    <w:p w:rsidR="008D7558" w:rsidRPr="00BC7E84" w:rsidRDefault="008D7558" w:rsidP="008D7558">
      <w:pPr>
        <w:widowControl w:val="0"/>
        <w:autoSpaceDE w:val="0"/>
        <w:autoSpaceDN w:val="0"/>
        <w:adjustRightInd w:val="0"/>
        <w:ind w:left="640" w:hanging="640"/>
        <w:jc w:val="center"/>
        <w:rPr>
          <w:rFonts w:ascii="Times New Roman" w:eastAsia="Calibri" w:hAnsi="Times New Roman" w:cs="Times New Roman"/>
          <w:sz w:val="24"/>
          <w:szCs w:val="24"/>
          <w:highlight w:val="yellow"/>
          <w:lang w:val="en-US" w:bidi="ar-SA"/>
        </w:rPr>
      </w:pPr>
      <w:r w:rsidRPr="00BC7E84">
        <w:rPr>
          <w:rFonts w:ascii="Times New Roman" w:eastAsia="Calibri" w:hAnsi="Times New Roman" w:cs="Times New Roman"/>
          <w:noProof/>
          <w:sz w:val="24"/>
          <w:szCs w:val="24"/>
          <w:lang w:eastAsia="es-ES" w:bidi="ar-SA"/>
        </w:rPr>
        <w:drawing>
          <wp:inline distT="0" distB="0" distL="0" distR="0">
            <wp:extent cx="4530655" cy="3960000"/>
            <wp:effectExtent l="19050" t="0" r="3245" b="0"/>
            <wp:docPr id="2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1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655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558" w:rsidRPr="00BC7E84" w:rsidRDefault="008D7558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  <w:r w:rsidRPr="00BC7E84"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  <w:t>B</w:t>
      </w:r>
    </w:p>
    <w:p w:rsidR="008D7558" w:rsidRPr="00BC7E84" w:rsidRDefault="008D7558" w:rsidP="008D7558">
      <w:pPr>
        <w:widowControl w:val="0"/>
        <w:autoSpaceDE w:val="0"/>
        <w:autoSpaceDN w:val="0"/>
        <w:adjustRightInd w:val="0"/>
        <w:ind w:left="640" w:hanging="640"/>
        <w:jc w:val="center"/>
        <w:rPr>
          <w:rFonts w:ascii="Times New Roman" w:eastAsia="Calibri" w:hAnsi="Times New Roman" w:cs="Times New Roman"/>
          <w:sz w:val="24"/>
          <w:szCs w:val="24"/>
          <w:highlight w:val="yellow"/>
          <w:lang w:val="en-US" w:bidi="ar-SA"/>
        </w:rPr>
      </w:pPr>
      <w:r w:rsidRPr="00BC7E84">
        <w:rPr>
          <w:rFonts w:ascii="Times New Roman" w:eastAsia="Calibri" w:hAnsi="Times New Roman" w:cs="Times New Roman"/>
          <w:noProof/>
          <w:sz w:val="24"/>
          <w:szCs w:val="24"/>
          <w:lang w:eastAsia="es-ES" w:bidi="ar-SA"/>
        </w:rPr>
        <w:drawing>
          <wp:inline distT="0" distB="0" distL="0" distR="0">
            <wp:extent cx="4532400" cy="3155541"/>
            <wp:effectExtent l="19050" t="0" r="1500" b="0"/>
            <wp:docPr id="25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400" cy="3155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558" w:rsidRPr="00BC7E84" w:rsidRDefault="008D7558" w:rsidP="008D7558">
      <w:pPr>
        <w:widowControl w:val="0"/>
        <w:autoSpaceDE w:val="0"/>
        <w:autoSpaceDN w:val="0"/>
        <w:adjustRightInd w:val="0"/>
        <w:ind w:left="640" w:hanging="640"/>
        <w:jc w:val="left"/>
        <w:rPr>
          <w:rFonts w:ascii="Times New Roman" w:eastAsia="Calibri" w:hAnsi="Times New Roman" w:cs="Times New Roman"/>
          <w:sz w:val="24"/>
          <w:szCs w:val="24"/>
          <w:highlight w:val="yellow"/>
          <w:lang w:val="en-US" w:bidi="ar-SA"/>
        </w:rPr>
      </w:pPr>
    </w:p>
    <w:p w:rsidR="00513F1C" w:rsidRPr="00BC7E84" w:rsidRDefault="00513F1C" w:rsidP="00C43D2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13F1C" w:rsidRPr="00BC7E84" w:rsidRDefault="00513F1C" w:rsidP="00C43D2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13F1C" w:rsidRPr="00BC7E84" w:rsidRDefault="00513F1C" w:rsidP="00C43D2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13F1C" w:rsidRPr="00BC7E84" w:rsidRDefault="00513F1C" w:rsidP="00C43D2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F4F50" w:rsidRDefault="004F4F50" w:rsidP="00C43D2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F4F50" w:rsidRDefault="004F4F50" w:rsidP="00C43D2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F4F50" w:rsidRDefault="004F4F50" w:rsidP="00C43D2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3"/>
          <w:szCs w:val="23"/>
          <w:lang w:val="en-US"/>
        </w:rPr>
      </w:pPr>
    </w:p>
    <w:p w:rsidR="000B5714" w:rsidRPr="004F4F50" w:rsidRDefault="00C43D26" w:rsidP="00C43D26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b/>
          <w:sz w:val="23"/>
          <w:szCs w:val="23"/>
          <w:lang w:val="en-US" w:bidi="ar-SA"/>
        </w:rPr>
      </w:pPr>
      <w:proofErr w:type="gramStart"/>
      <w:r w:rsidRPr="004F4F50">
        <w:rPr>
          <w:rFonts w:ascii="Times New Roman" w:hAnsi="Times New Roman" w:cs="Times New Roman"/>
          <w:b/>
          <w:sz w:val="23"/>
          <w:szCs w:val="23"/>
          <w:lang w:val="en-US"/>
        </w:rPr>
        <w:lastRenderedPageBreak/>
        <w:t>Fig.</w:t>
      </w:r>
      <w:proofErr w:type="gramEnd"/>
      <w:r w:rsidRPr="004F4F50">
        <w:rPr>
          <w:rFonts w:ascii="Times New Roman" w:hAnsi="Times New Roman" w:cs="Times New Roman"/>
          <w:b/>
          <w:sz w:val="23"/>
          <w:szCs w:val="23"/>
          <w:lang w:val="en-US"/>
        </w:rPr>
        <w:t xml:space="preserve"> S6</w:t>
      </w:r>
      <w:r w:rsidR="003B4228" w:rsidRPr="004F4F50">
        <w:rPr>
          <w:rFonts w:ascii="Times New Roman" w:hAnsi="Times New Roman" w:cs="Times New Roman"/>
          <w:b/>
          <w:sz w:val="23"/>
          <w:szCs w:val="23"/>
          <w:lang w:val="en-US"/>
        </w:rPr>
        <w:t>.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gramStart"/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>Cell growth of cancer cell lines alone (black line) or in co-culture with platelets (grey line).</w:t>
      </w:r>
      <w:proofErr w:type="gramEnd"/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 Cell growth was measured during 72h, platelet addition is considered time 0. Impedance of cell cultured alone (C) at endpoint was considered 100% for normalization. Two-way (</w:t>
      </w:r>
      <w:proofErr w:type="spellStart"/>
      <w:r w:rsidR="003B4228" w:rsidRPr="004F4F50">
        <w:rPr>
          <w:rFonts w:ascii="Times New Roman" w:eastAsia="Times New Roman" w:hAnsi="Times New Roman" w:cs="Times New Roman"/>
          <w:sz w:val="23"/>
          <w:szCs w:val="23"/>
          <w:lang w:val="en-US" w:eastAsia="es-ES"/>
        </w:rPr>
        <w:t>Sidak's</w:t>
      </w:r>
      <w:proofErr w:type="spellEnd"/>
      <w:r w:rsidR="003B4228" w:rsidRPr="004F4F50">
        <w:rPr>
          <w:rFonts w:ascii="Times New Roman" w:eastAsia="Times New Roman" w:hAnsi="Times New Roman" w:cs="Times New Roman"/>
          <w:sz w:val="23"/>
          <w:szCs w:val="23"/>
          <w:lang w:val="en-US" w:eastAsia="es-ES"/>
        </w:rPr>
        <w:t xml:space="preserve"> multiple comparisons test)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 xml:space="preserve"> ANOVA for 24h and 48h of co-culture is shown (ns: no significant; *</w:t>
      </w:r>
      <w:r w:rsidR="003B4228" w:rsidRPr="004F4F50">
        <w:rPr>
          <w:rFonts w:ascii="Times New Roman" w:hAnsi="Times New Roman" w:cs="Times New Roman"/>
          <w:i/>
          <w:sz w:val="23"/>
          <w:szCs w:val="23"/>
          <w:lang w:val="en-US"/>
        </w:rPr>
        <w:t>p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>&lt;0.05; **</w:t>
      </w:r>
      <w:r w:rsidR="003B4228" w:rsidRPr="004F4F50">
        <w:rPr>
          <w:rFonts w:ascii="Times New Roman" w:hAnsi="Times New Roman" w:cs="Times New Roman"/>
          <w:i/>
          <w:sz w:val="23"/>
          <w:szCs w:val="23"/>
          <w:lang w:val="en-US"/>
        </w:rPr>
        <w:t>p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>&lt;0.01; ***</w:t>
      </w:r>
      <w:r w:rsidR="003B4228" w:rsidRPr="004F4F50">
        <w:rPr>
          <w:rFonts w:ascii="Times New Roman" w:hAnsi="Times New Roman" w:cs="Times New Roman"/>
          <w:i/>
          <w:sz w:val="23"/>
          <w:szCs w:val="23"/>
          <w:lang w:val="en-US"/>
        </w:rPr>
        <w:t>p</w:t>
      </w:r>
      <w:r w:rsidR="003B4228" w:rsidRPr="004F4F50">
        <w:rPr>
          <w:rFonts w:ascii="Times New Roman" w:hAnsi="Times New Roman" w:cs="Times New Roman"/>
          <w:sz w:val="23"/>
          <w:szCs w:val="23"/>
          <w:lang w:val="en-US"/>
        </w:rPr>
        <w:t>&lt;0.001).</w:t>
      </w:r>
    </w:p>
    <w:p w:rsidR="000B5714" w:rsidRPr="00BC7E84" w:rsidRDefault="00B82109" w:rsidP="008D7558">
      <w:pPr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  <w:r w:rsidRPr="00BC7E84">
        <w:rPr>
          <w:rFonts w:ascii="Times New Roman" w:eastAsia="Calibri" w:hAnsi="Times New Roman" w:cs="Times New Roman"/>
          <w:b/>
          <w:noProof/>
          <w:sz w:val="24"/>
          <w:szCs w:val="24"/>
          <w:lang w:eastAsia="es-ES" w:bidi="ar-SA"/>
        </w:rPr>
        <w:drawing>
          <wp:inline distT="0" distB="0" distL="0" distR="0">
            <wp:extent cx="5490845" cy="2291065"/>
            <wp:effectExtent l="19050" t="0" r="0" b="0"/>
            <wp:docPr id="4" name="Imagen 3" descr="F:\1. Thesis\Projects\Prostate Cancer\4. Cocultivos Plaquetas\ARTÍCULO\ANNALS OF ONCOLOGY\Figure 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. Thesis\Projects\Prostate Cancer\4. Cocultivos Plaquetas\ARTÍCULO\ANNALS OF ONCOLOGY\Figure S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845" cy="2291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5294" w:rsidRPr="00BC7E84" w:rsidRDefault="00925294" w:rsidP="00C43D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43D26" w:rsidRPr="004F4F50" w:rsidRDefault="00925294" w:rsidP="00C43D26">
      <w:pPr>
        <w:rPr>
          <w:rFonts w:ascii="Times New Roman" w:hAnsi="Times New Roman" w:cs="Times New Roman"/>
          <w:bCs/>
          <w:color w:val="333333"/>
          <w:sz w:val="23"/>
          <w:szCs w:val="23"/>
          <w:shd w:val="clear" w:color="auto" w:fill="FFFFFF"/>
          <w:lang w:val="en-US"/>
        </w:rPr>
      </w:pPr>
      <w:proofErr w:type="gramStart"/>
      <w:r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>Fig.</w:t>
      </w:r>
      <w:proofErr w:type="gramEnd"/>
      <w:r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 </w:t>
      </w:r>
      <w:r w:rsidR="00C43D26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S7. </w:t>
      </w:r>
      <w:proofErr w:type="gramStart"/>
      <w:r w:rsidR="00C43D26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>Schematic overview of platelet</w:t>
      </w:r>
      <w:r w:rsidR="00D04C3D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>s</w:t>
      </w:r>
      <w:r w:rsidR="00C43D26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 and tumor cell interactions.</w:t>
      </w:r>
      <w:proofErr w:type="gramEnd"/>
      <w:r w:rsidR="00C43D26" w:rsidRPr="004F4F50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 </w:t>
      </w:r>
      <w:r w:rsidR="00C43D26" w:rsidRPr="004F4F50">
        <w:rPr>
          <w:rFonts w:ascii="Times New Roman" w:hAnsi="Times New Roman" w:cs="Times New Roman"/>
          <w:bCs/>
          <w:sz w:val="23"/>
          <w:szCs w:val="23"/>
          <w:lang w:val="en-US"/>
        </w:rPr>
        <w:t xml:space="preserve">Tight communication between platelets and tumor cells includes </w:t>
      </w:r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 xml:space="preserve">transference of </w:t>
      </w:r>
      <w:proofErr w:type="spellStart"/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>biomolecules</w:t>
      </w:r>
      <w:proofErr w:type="spellEnd"/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 xml:space="preserve"> (lipids, </w:t>
      </w:r>
      <w:proofErr w:type="spellStart"/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>nucleid</w:t>
      </w:r>
      <w:proofErr w:type="spellEnd"/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 xml:space="preserve"> acids and proteins), regulation of gene expression and increase of cell proliferation.  After platelet interplay tumor cells show CD61, CD42 and platelet lipids in their membranes, moreover reduced </w:t>
      </w:r>
      <w:proofErr w:type="spellStart"/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>EpCAM</w:t>
      </w:r>
      <w:proofErr w:type="spellEnd"/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 xml:space="preserve"> levels their surface and increase gene expression of </w:t>
      </w:r>
      <w:proofErr w:type="spellStart"/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>stemness</w:t>
      </w:r>
      <w:proofErr w:type="spellEnd"/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 xml:space="preserve"> and EMT genes (</w:t>
      </w:r>
      <w:r w:rsidR="00C43D26" w:rsidRPr="004F4F50">
        <w:rPr>
          <w:rFonts w:ascii="Times New Roman" w:hAnsi="Times New Roman" w:cs="Times New Roman"/>
          <w:bCs/>
          <w:i/>
          <w:color w:val="000000"/>
          <w:sz w:val="23"/>
          <w:szCs w:val="23"/>
          <w:lang w:val="en-US"/>
        </w:rPr>
        <w:t>OCT4, NANOG, VIMENTIN, SNAIL</w:t>
      </w:r>
      <w:r w:rsidR="00C43D26" w:rsidRPr="004F4F50">
        <w:rPr>
          <w:rFonts w:ascii="Times New Roman" w:hAnsi="Times New Roman" w:cs="Times New Roman"/>
          <w:bCs/>
          <w:color w:val="000000"/>
          <w:sz w:val="23"/>
          <w:szCs w:val="23"/>
          <w:lang w:val="en-US"/>
        </w:rPr>
        <w:t>).</w:t>
      </w:r>
    </w:p>
    <w:p w:rsidR="000B5714" w:rsidRPr="00BC7E84" w:rsidRDefault="000B5714" w:rsidP="008D7558">
      <w:pPr>
        <w:jc w:val="left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167260" w:rsidRPr="00BC7E84" w:rsidRDefault="00167260" w:rsidP="0016726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C7E84">
        <w:rPr>
          <w:rFonts w:ascii="Times New Roman" w:hAnsi="Times New Roman" w:cs="Times New Roman"/>
          <w:noProof/>
          <w:sz w:val="24"/>
          <w:szCs w:val="24"/>
          <w:lang w:eastAsia="es-ES" w:bidi="ar-SA"/>
        </w:rPr>
        <w:drawing>
          <wp:inline distT="0" distB="0" distL="0" distR="0">
            <wp:extent cx="4514850" cy="3477870"/>
            <wp:effectExtent l="19050" t="0" r="0" b="0"/>
            <wp:docPr id="1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098" cy="348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7260" w:rsidRPr="00BC7E84" w:rsidSect="00B66222">
      <w:footerReference w:type="default" r:id="rId15"/>
      <w:pgSz w:w="11906" w:h="16838"/>
      <w:pgMar w:top="1440" w:right="1080" w:bottom="1440" w:left="108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A08" w:rsidRDefault="00C54A08" w:rsidP="00B66222">
      <w:r>
        <w:separator/>
      </w:r>
    </w:p>
  </w:endnote>
  <w:endnote w:type="continuationSeparator" w:id="0">
    <w:p w:rsidR="00C54A08" w:rsidRDefault="00C54A08" w:rsidP="00B66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862877"/>
      <w:docPartObj>
        <w:docPartGallery w:val="Page Numbers (Bottom of Page)"/>
        <w:docPartUnique/>
      </w:docPartObj>
    </w:sdtPr>
    <w:sdtContent>
      <w:p w:rsidR="00B66222" w:rsidRDefault="001C0810">
        <w:pPr>
          <w:pStyle w:val="Piedepgina"/>
          <w:jc w:val="right"/>
        </w:pPr>
        <w:fldSimple w:instr=" PAGE   \* MERGEFORMAT ">
          <w:r w:rsidR="00383999">
            <w:rPr>
              <w:noProof/>
            </w:rPr>
            <w:t>1</w:t>
          </w:r>
        </w:fldSimple>
      </w:p>
    </w:sdtContent>
  </w:sdt>
  <w:p w:rsidR="00B66222" w:rsidRDefault="00B6622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A08" w:rsidRDefault="00C54A08" w:rsidP="00B66222">
      <w:r>
        <w:separator/>
      </w:r>
    </w:p>
  </w:footnote>
  <w:footnote w:type="continuationSeparator" w:id="0">
    <w:p w:rsidR="00C54A08" w:rsidRDefault="00C54A08" w:rsidP="00B6622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ª José Serrano">
    <w15:presenceInfo w15:providerId="Windows Live" w15:userId="1a29699a388d333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7558"/>
    <w:rsid w:val="00084E78"/>
    <w:rsid w:val="000871F9"/>
    <w:rsid w:val="0009473F"/>
    <w:rsid w:val="000964CC"/>
    <w:rsid w:val="000B5714"/>
    <w:rsid w:val="00167260"/>
    <w:rsid w:val="001B79ED"/>
    <w:rsid w:val="001C0810"/>
    <w:rsid w:val="001F054F"/>
    <w:rsid w:val="00203748"/>
    <w:rsid w:val="0021692F"/>
    <w:rsid w:val="00383999"/>
    <w:rsid w:val="003A1972"/>
    <w:rsid w:val="003B4228"/>
    <w:rsid w:val="003E63DE"/>
    <w:rsid w:val="004F4F50"/>
    <w:rsid w:val="0050421D"/>
    <w:rsid w:val="00513F1C"/>
    <w:rsid w:val="005160E4"/>
    <w:rsid w:val="005C62CD"/>
    <w:rsid w:val="00652FCE"/>
    <w:rsid w:val="006F34F1"/>
    <w:rsid w:val="006F5D30"/>
    <w:rsid w:val="007922F6"/>
    <w:rsid w:val="007D68AD"/>
    <w:rsid w:val="007F0933"/>
    <w:rsid w:val="00803D71"/>
    <w:rsid w:val="008B47F1"/>
    <w:rsid w:val="008D7558"/>
    <w:rsid w:val="008F1816"/>
    <w:rsid w:val="00925294"/>
    <w:rsid w:val="0095400B"/>
    <w:rsid w:val="009E38C4"/>
    <w:rsid w:val="00A12323"/>
    <w:rsid w:val="00A13B97"/>
    <w:rsid w:val="00A30441"/>
    <w:rsid w:val="00A92125"/>
    <w:rsid w:val="00AF7094"/>
    <w:rsid w:val="00B438E3"/>
    <w:rsid w:val="00B66222"/>
    <w:rsid w:val="00B70EF8"/>
    <w:rsid w:val="00B70FB1"/>
    <w:rsid w:val="00B82109"/>
    <w:rsid w:val="00BC2275"/>
    <w:rsid w:val="00BC7E84"/>
    <w:rsid w:val="00C07F9B"/>
    <w:rsid w:val="00C2335C"/>
    <w:rsid w:val="00C43D26"/>
    <w:rsid w:val="00C54A08"/>
    <w:rsid w:val="00CB2C8E"/>
    <w:rsid w:val="00D04C3D"/>
    <w:rsid w:val="00D71A0A"/>
    <w:rsid w:val="00D80508"/>
    <w:rsid w:val="00DB65FC"/>
    <w:rsid w:val="00E160AD"/>
    <w:rsid w:val="00E3069C"/>
    <w:rsid w:val="00E80A00"/>
    <w:rsid w:val="00EA65E7"/>
    <w:rsid w:val="00EA675A"/>
    <w:rsid w:val="00ED1A2F"/>
    <w:rsid w:val="00EF55EF"/>
    <w:rsid w:val="00F527AB"/>
    <w:rsid w:val="00F620C8"/>
    <w:rsid w:val="00F64580"/>
    <w:rsid w:val="00F755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4F1"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F34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5281B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F34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87362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F34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87362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F34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873624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F34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31A1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F34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31A1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F34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FFFFFF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F34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873624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F34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FFFFFF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F34F1"/>
    <w:rPr>
      <w:rFonts w:asciiTheme="majorHAnsi" w:eastAsiaTheme="majorEastAsia" w:hAnsiTheme="majorHAnsi" w:cstheme="majorBidi"/>
      <w:b/>
      <w:bCs/>
      <w:color w:val="65281B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6F34F1"/>
    <w:rPr>
      <w:rFonts w:asciiTheme="majorHAnsi" w:eastAsiaTheme="majorEastAsia" w:hAnsiTheme="majorHAnsi" w:cstheme="majorBidi"/>
      <w:b/>
      <w:bCs/>
      <w:color w:val="873624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6F34F1"/>
    <w:rPr>
      <w:rFonts w:asciiTheme="majorHAnsi" w:eastAsiaTheme="majorEastAsia" w:hAnsiTheme="majorHAnsi" w:cstheme="majorBidi"/>
      <w:b/>
      <w:bCs/>
      <w:color w:val="873624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6F34F1"/>
    <w:rPr>
      <w:rFonts w:asciiTheme="majorHAnsi" w:eastAsiaTheme="majorEastAsia" w:hAnsiTheme="majorHAnsi" w:cstheme="majorBidi"/>
      <w:b/>
      <w:bCs/>
      <w:i/>
      <w:iCs/>
      <w:color w:val="873624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6F34F1"/>
    <w:rPr>
      <w:rFonts w:asciiTheme="majorHAnsi" w:eastAsiaTheme="majorEastAsia" w:hAnsiTheme="majorHAnsi" w:cstheme="majorBidi"/>
      <w:color w:val="431A12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6F34F1"/>
    <w:rPr>
      <w:rFonts w:asciiTheme="majorHAnsi" w:eastAsiaTheme="majorEastAsia" w:hAnsiTheme="majorHAnsi" w:cstheme="majorBidi"/>
      <w:i/>
      <w:iCs/>
      <w:color w:val="431A12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6F34F1"/>
    <w:rPr>
      <w:rFonts w:asciiTheme="majorHAnsi" w:eastAsiaTheme="majorEastAsia" w:hAnsiTheme="majorHAnsi" w:cstheme="majorBidi"/>
      <w:i/>
      <w:iCs/>
      <w:color w:val="FFFFFF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6F34F1"/>
    <w:rPr>
      <w:rFonts w:asciiTheme="majorHAnsi" w:eastAsiaTheme="majorEastAsia" w:hAnsiTheme="majorHAnsi" w:cstheme="majorBidi"/>
      <w:color w:val="873624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6F34F1"/>
    <w:rPr>
      <w:rFonts w:asciiTheme="majorHAnsi" w:eastAsiaTheme="majorEastAsia" w:hAnsiTheme="majorHAnsi" w:cstheme="majorBidi"/>
      <w:i/>
      <w:iCs/>
      <w:color w:val="FFFFFF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6F34F1"/>
    <w:rPr>
      <w:b/>
      <w:bCs/>
      <w:color w:val="873624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6F34F1"/>
    <w:pPr>
      <w:pBdr>
        <w:bottom w:val="single" w:sz="8" w:space="4" w:color="873624" w:themeColor="accent1"/>
      </w:pBdr>
      <w:spacing w:after="300"/>
      <w:contextualSpacing/>
    </w:pPr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6F34F1"/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6F34F1"/>
    <w:pPr>
      <w:numPr>
        <w:ilvl w:val="1"/>
      </w:numPr>
    </w:pPr>
    <w:rPr>
      <w:rFonts w:asciiTheme="majorHAnsi" w:eastAsiaTheme="majorEastAsia" w:hAnsiTheme="majorHAnsi" w:cstheme="majorBidi"/>
      <w:i/>
      <w:iCs/>
      <w:color w:val="873624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6F34F1"/>
    <w:rPr>
      <w:rFonts w:asciiTheme="majorHAnsi" w:eastAsiaTheme="majorEastAsia" w:hAnsiTheme="majorHAnsi" w:cstheme="majorBidi"/>
      <w:i/>
      <w:iCs/>
      <w:color w:val="873624" w:themeColor="accent1"/>
      <w:spacing w:val="15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6F34F1"/>
    <w:rPr>
      <w:b/>
      <w:bCs/>
    </w:rPr>
  </w:style>
  <w:style w:type="character" w:styleId="nfasis">
    <w:name w:val="Emphasis"/>
    <w:basedOn w:val="Fuentedeprrafopredeter"/>
    <w:uiPriority w:val="20"/>
    <w:qFormat/>
    <w:rsid w:val="006F34F1"/>
    <w:rPr>
      <w:i/>
      <w:iCs/>
    </w:rPr>
  </w:style>
  <w:style w:type="paragraph" w:styleId="Sinespaciado">
    <w:name w:val="No Spacing"/>
    <w:link w:val="SinespaciadoCar"/>
    <w:uiPriority w:val="1"/>
    <w:qFormat/>
    <w:rsid w:val="006F34F1"/>
  </w:style>
  <w:style w:type="character" w:customStyle="1" w:styleId="SinespaciadoCar">
    <w:name w:val="Sin espaciado Car"/>
    <w:basedOn w:val="Fuentedeprrafopredeter"/>
    <w:link w:val="Sinespaciado"/>
    <w:uiPriority w:val="1"/>
    <w:rsid w:val="006F34F1"/>
  </w:style>
  <w:style w:type="paragraph" w:styleId="Prrafodelista">
    <w:name w:val="List Paragraph"/>
    <w:basedOn w:val="Normal"/>
    <w:uiPriority w:val="34"/>
    <w:qFormat/>
    <w:rsid w:val="006F34F1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6F34F1"/>
    <w:rPr>
      <w:i/>
      <w:iCs/>
      <w:color w:val="FFFFFF" w:themeColor="text1"/>
    </w:rPr>
  </w:style>
  <w:style w:type="character" w:customStyle="1" w:styleId="CitaCar">
    <w:name w:val="Cita Car"/>
    <w:basedOn w:val="Fuentedeprrafopredeter"/>
    <w:link w:val="Cita"/>
    <w:uiPriority w:val="29"/>
    <w:rsid w:val="006F34F1"/>
    <w:rPr>
      <w:i/>
      <w:iCs/>
      <w:color w:val="FFFFFF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F34F1"/>
    <w:pPr>
      <w:pBdr>
        <w:bottom w:val="single" w:sz="4" w:space="4" w:color="873624" w:themeColor="accent1"/>
      </w:pBdr>
      <w:spacing w:before="200" w:after="280"/>
      <w:ind w:left="936" w:right="936"/>
    </w:pPr>
    <w:rPr>
      <w:b/>
      <w:bCs/>
      <w:i/>
      <w:iCs/>
      <w:color w:val="87362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F34F1"/>
    <w:rPr>
      <w:b/>
      <w:bCs/>
      <w:i/>
      <w:iCs/>
      <w:color w:val="873624" w:themeColor="accent1"/>
    </w:rPr>
  </w:style>
  <w:style w:type="character" w:styleId="nfasissutil">
    <w:name w:val="Subtle Emphasis"/>
    <w:basedOn w:val="Fuentedeprrafopredeter"/>
    <w:uiPriority w:val="19"/>
    <w:qFormat/>
    <w:rsid w:val="006F34F1"/>
    <w:rPr>
      <w:i/>
      <w:iCs/>
      <w:color w:val="FFFFFF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6F34F1"/>
    <w:rPr>
      <w:b/>
      <w:bCs/>
      <w:i/>
      <w:iCs/>
      <w:color w:val="873624" w:themeColor="accent1"/>
    </w:rPr>
  </w:style>
  <w:style w:type="character" w:styleId="Referenciasutil">
    <w:name w:val="Subtle Reference"/>
    <w:basedOn w:val="Fuentedeprrafopredeter"/>
    <w:uiPriority w:val="31"/>
    <w:qFormat/>
    <w:rsid w:val="006F34F1"/>
    <w:rPr>
      <w:smallCaps/>
      <w:color w:val="D6862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6F34F1"/>
    <w:rPr>
      <w:b/>
      <w:bCs/>
      <w:smallCaps/>
      <w:color w:val="D6862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6F34F1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6F34F1"/>
    <w:pPr>
      <w:outlineLvl w:val="9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D755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7558"/>
    <w:rPr>
      <w:rFonts w:ascii="Tahoma" w:hAnsi="Tahoma" w:cs="Tahoma"/>
      <w:sz w:val="16"/>
      <w:szCs w:val="16"/>
      <w:lang w:val="es-ES"/>
    </w:rPr>
  </w:style>
  <w:style w:type="table" w:styleId="Sombreadoclaro-nfasis4">
    <w:name w:val="Light Shading Accent 4"/>
    <w:basedOn w:val="Tablanormal"/>
    <w:uiPriority w:val="60"/>
    <w:rsid w:val="000B5714"/>
    <w:rPr>
      <w:color w:val="655F51" w:themeColor="accent4" w:themeShade="BF"/>
    </w:rPr>
    <w:tblPr>
      <w:tblStyleRowBandSize w:val="1"/>
      <w:tblStyleColBandSize w:val="1"/>
      <w:tblInd w:w="0" w:type="dxa"/>
      <w:tblBorders>
        <w:top w:val="single" w:sz="8" w:space="0" w:color="877F6C" w:themeColor="accent4"/>
        <w:bottom w:val="single" w:sz="8" w:space="0" w:color="877F6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7F6C" w:themeColor="accent4"/>
          <w:left w:val="nil"/>
          <w:bottom w:val="single" w:sz="8" w:space="0" w:color="877F6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7F6C" w:themeColor="accent4"/>
          <w:left w:val="nil"/>
          <w:bottom w:val="single" w:sz="8" w:space="0" w:color="877F6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FD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FDA" w:themeFill="accent4" w:themeFillTint="3F"/>
      </w:tcPr>
    </w:tblStylePr>
  </w:style>
  <w:style w:type="table" w:customStyle="1" w:styleId="Sombreadomedio21">
    <w:name w:val="Sombreado medio 21"/>
    <w:basedOn w:val="Tablanormal"/>
    <w:uiPriority w:val="64"/>
    <w:rsid w:val="00BC227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extocomentario">
    <w:name w:val="annotation text"/>
    <w:basedOn w:val="Normal"/>
    <w:link w:val="TextocomentarioCar"/>
    <w:uiPriority w:val="99"/>
    <w:rsid w:val="006F5D30"/>
    <w:pPr>
      <w:jc w:val="left"/>
    </w:pPr>
    <w:rPr>
      <w:rFonts w:ascii="Times New Roman" w:eastAsia="Times New Roman" w:hAnsi="Times New Roman" w:cs="Times New Roman"/>
      <w:sz w:val="20"/>
      <w:szCs w:val="20"/>
      <w:lang w:val="en-US" w:bidi="ar-SA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F5D30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Nmerodelnea">
    <w:name w:val="line number"/>
    <w:basedOn w:val="Fuentedeprrafopredeter"/>
    <w:uiPriority w:val="99"/>
    <w:semiHidden/>
    <w:unhideWhenUsed/>
    <w:rsid w:val="00B66222"/>
  </w:style>
  <w:style w:type="paragraph" w:styleId="Encabezado">
    <w:name w:val="header"/>
    <w:basedOn w:val="Normal"/>
    <w:link w:val="EncabezadoCar"/>
    <w:uiPriority w:val="99"/>
    <w:semiHidden/>
    <w:unhideWhenUsed/>
    <w:rsid w:val="00B6622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6622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6622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66222"/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Personalizado 1">
      <a:dk1>
        <a:srgbClr val="FFFFFF"/>
      </a:dk1>
      <a:lt1>
        <a:sysClr val="window" lastClr="FFFFFF"/>
      </a:lt1>
      <a:dk2>
        <a:srgbClr val="FFFFFF"/>
      </a:dk2>
      <a:lt2>
        <a:srgbClr val="ECE9C6"/>
      </a:lt2>
      <a:accent1>
        <a:srgbClr val="873624"/>
      </a:accent1>
      <a:accent2>
        <a:srgbClr val="D6862D"/>
      </a:accent2>
      <a:accent3>
        <a:srgbClr val="D0BE40"/>
      </a:accent3>
      <a:accent4>
        <a:srgbClr val="877F6C"/>
      </a:accent4>
      <a:accent5>
        <a:srgbClr val="972109"/>
      </a:accent5>
      <a:accent6>
        <a:srgbClr val="AEB795"/>
      </a:accent6>
      <a:hlink>
        <a:srgbClr val="CC9900"/>
      </a:hlink>
      <a:folHlink>
        <a:srgbClr val="B2B2B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54B48A-3973-4744-8FF5-A0DC89B9C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555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Rodríguez</dc:creator>
  <cp:keywords/>
  <dc:description/>
  <cp:lastModifiedBy>Alba Rodríguez</cp:lastModifiedBy>
  <cp:revision>10</cp:revision>
  <dcterms:created xsi:type="dcterms:W3CDTF">2021-05-18T18:01:00Z</dcterms:created>
  <dcterms:modified xsi:type="dcterms:W3CDTF">2021-05-31T06:57:00Z</dcterms:modified>
</cp:coreProperties>
</file>