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B579F5" w14:textId="77777777" w:rsidR="00817E33" w:rsidRDefault="00000000">
      <w:pPr>
        <w:spacing w:after="303" w:line="259" w:lineRule="auto"/>
        <w:jc w:val="center"/>
      </w:pPr>
      <w:r>
        <w:rPr>
          <w:sz w:val="41"/>
        </w:rPr>
        <w:t>Supplementary Information</w:t>
      </w:r>
    </w:p>
    <w:p w14:paraId="367C0E5D" w14:textId="77777777" w:rsidR="00C900FD" w:rsidRDefault="00C900FD" w:rsidP="00C900FD">
      <w:pPr>
        <w:spacing w:after="285" w:line="408" w:lineRule="auto"/>
        <w:ind w:left="216" w:firstLine="0"/>
        <w:jc w:val="center"/>
        <w:rPr>
          <w:sz w:val="41"/>
        </w:rPr>
      </w:pPr>
      <w:r w:rsidRPr="00C900FD">
        <w:rPr>
          <w:sz w:val="41"/>
        </w:rPr>
        <w:t>Nanoscale size effects in α-FAPbI3 evinced by large-scale ab initio simulations</w:t>
      </w:r>
    </w:p>
    <w:p w14:paraId="19E08474" w14:textId="6CD15A24" w:rsidR="00817E33" w:rsidRDefault="00000000">
      <w:pPr>
        <w:spacing w:after="285" w:line="259" w:lineRule="auto"/>
        <w:ind w:left="218" w:firstLine="0"/>
        <w:jc w:val="left"/>
      </w:pPr>
      <w:r>
        <w:rPr>
          <w:sz w:val="29"/>
        </w:rPr>
        <w:t xml:space="preserve">Virginia </w:t>
      </w:r>
      <w:proofErr w:type="gramStart"/>
      <w:r>
        <w:rPr>
          <w:sz w:val="29"/>
        </w:rPr>
        <w:t>Carnevali,</w:t>
      </w:r>
      <w:r>
        <w:rPr>
          <w:rFonts w:ascii="Cambria" w:eastAsia="Cambria" w:hAnsi="Cambria" w:cs="Cambria"/>
          <w:sz w:val="29"/>
          <w:vertAlign w:val="superscript"/>
        </w:rPr>
        <w:t>†</w:t>
      </w:r>
      <w:proofErr w:type="gramEnd"/>
      <w:r>
        <w:rPr>
          <w:sz w:val="29"/>
          <w:vertAlign w:val="superscript"/>
        </w:rPr>
        <w:t>,</w:t>
      </w:r>
      <w:r>
        <w:rPr>
          <w:rFonts w:ascii="Cambria" w:eastAsia="Cambria" w:hAnsi="Cambria" w:cs="Cambria"/>
          <w:sz w:val="29"/>
          <w:vertAlign w:val="superscript"/>
        </w:rPr>
        <w:t xml:space="preserve">‡ </w:t>
      </w:r>
      <w:r>
        <w:rPr>
          <w:sz w:val="29"/>
        </w:rPr>
        <w:t>Lorenzo Agosta,</w:t>
      </w:r>
      <w:r>
        <w:rPr>
          <w:rFonts w:ascii="Cambria" w:eastAsia="Cambria" w:hAnsi="Cambria" w:cs="Cambria"/>
          <w:sz w:val="29"/>
          <w:vertAlign w:val="superscript"/>
        </w:rPr>
        <w:t>†</w:t>
      </w:r>
      <w:r>
        <w:rPr>
          <w:sz w:val="29"/>
          <w:vertAlign w:val="superscript"/>
        </w:rPr>
        <w:t>,</w:t>
      </w:r>
      <w:r>
        <w:rPr>
          <w:rFonts w:ascii="Cambria" w:eastAsia="Cambria" w:hAnsi="Cambria" w:cs="Cambria"/>
          <w:sz w:val="29"/>
          <w:vertAlign w:val="superscript"/>
        </w:rPr>
        <w:t xml:space="preserve">‡ </w:t>
      </w:r>
      <w:r>
        <w:rPr>
          <w:sz w:val="29"/>
        </w:rPr>
        <w:t>Vladislav Slama,</w:t>
      </w:r>
      <w:r>
        <w:rPr>
          <w:rFonts w:ascii="Cambria" w:eastAsia="Cambria" w:hAnsi="Cambria" w:cs="Cambria"/>
          <w:sz w:val="29"/>
          <w:vertAlign w:val="superscript"/>
        </w:rPr>
        <w:t xml:space="preserve">† </w:t>
      </w:r>
      <w:r>
        <w:rPr>
          <w:sz w:val="29"/>
        </w:rPr>
        <w:t xml:space="preserve">Nikolaos </w:t>
      </w:r>
      <w:proofErr w:type="spellStart"/>
      <w:r>
        <w:rPr>
          <w:sz w:val="29"/>
        </w:rPr>
        <w:t>Lempesis</w:t>
      </w:r>
      <w:proofErr w:type="spellEnd"/>
      <w:r>
        <w:rPr>
          <w:sz w:val="29"/>
        </w:rPr>
        <w:t>,</w:t>
      </w:r>
      <w:r>
        <w:rPr>
          <w:rFonts w:ascii="Cambria" w:eastAsia="Cambria" w:hAnsi="Cambria" w:cs="Cambria"/>
          <w:sz w:val="29"/>
          <w:vertAlign w:val="superscript"/>
        </w:rPr>
        <w:t>†</w:t>
      </w:r>
    </w:p>
    <w:p w14:paraId="554618E7" w14:textId="77777777" w:rsidR="00817E33" w:rsidRDefault="00000000">
      <w:pPr>
        <w:spacing w:after="431" w:line="259" w:lineRule="auto"/>
        <w:ind w:left="0" w:right="10" w:firstLine="0"/>
        <w:jc w:val="center"/>
      </w:pPr>
      <w:r>
        <w:rPr>
          <w:sz w:val="29"/>
        </w:rPr>
        <w:t xml:space="preserve">Andrea </w:t>
      </w:r>
      <w:proofErr w:type="spellStart"/>
      <w:proofErr w:type="gramStart"/>
      <w:r>
        <w:rPr>
          <w:sz w:val="29"/>
        </w:rPr>
        <w:t>Vezzosi</w:t>
      </w:r>
      <w:proofErr w:type="spellEnd"/>
      <w:r>
        <w:rPr>
          <w:sz w:val="29"/>
        </w:rPr>
        <w:t>,</w:t>
      </w:r>
      <w:r>
        <w:rPr>
          <w:rFonts w:ascii="Cambria" w:eastAsia="Cambria" w:hAnsi="Cambria" w:cs="Cambria"/>
          <w:sz w:val="29"/>
          <w:vertAlign w:val="superscript"/>
        </w:rPr>
        <w:t>†</w:t>
      </w:r>
      <w:proofErr w:type="gramEnd"/>
      <w:r>
        <w:rPr>
          <w:rFonts w:ascii="Cambria" w:eastAsia="Cambria" w:hAnsi="Cambria" w:cs="Cambria"/>
          <w:sz w:val="29"/>
          <w:vertAlign w:val="superscript"/>
        </w:rPr>
        <w:t xml:space="preserve"> </w:t>
      </w:r>
      <w:r>
        <w:rPr>
          <w:sz w:val="29"/>
        </w:rPr>
        <w:t xml:space="preserve">and Ursula </w:t>
      </w:r>
      <w:proofErr w:type="spellStart"/>
      <w:r>
        <w:rPr>
          <w:sz w:val="29"/>
        </w:rPr>
        <w:t>Rothlisberger</w:t>
      </w:r>
      <w:proofErr w:type="spellEnd"/>
      <w:r>
        <w:rPr>
          <w:rFonts w:ascii="Cambria" w:eastAsia="Cambria" w:hAnsi="Cambria" w:cs="Cambria"/>
          <w:sz w:val="29"/>
          <w:vertAlign w:val="superscript"/>
        </w:rPr>
        <w:t>∗</w:t>
      </w:r>
      <w:r>
        <w:rPr>
          <w:sz w:val="29"/>
          <w:vertAlign w:val="superscript"/>
        </w:rPr>
        <w:t>,</w:t>
      </w:r>
      <w:r>
        <w:rPr>
          <w:rFonts w:ascii="Cambria" w:eastAsia="Cambria" w:hAnsi="Cambria" w:cs="Cambria"/>
          <w:sz w:val="29"/>
          <w:vertAlign w:val="superscript"/>
        </w:rPr>
        <w:t>†</w:t>
      </w:r>
    </w:p>
    <w:p w14:paraId="7D3629AF" w14:textId="77777777" w:rsidR="00817E33" w:rsidRDefault="00000000">
      <w:pPr>
        <w:spacing w:after="14" w:line="393" w:lineRule="auto"/>
        <w:jc w:val="center"/>
      </w:pPr>
      <w:r>
        <w:rPr>
          <w:rFonts w:ascii="Cambria" w:eastAsia="Cambria" w:hAnsi="Cambria" w:cs="Cambria"/>
        </w:rPr>
        <w:t>†</w:t>
      </w:r>
      <w:r>
        <w:rPr>
          <w:i/>
        </w:rPr>
        <w:t xml:space="preserve">Laboratory of Computational Chemistry and </w:t>
      </w:r>
      <w:proofErr w:type="spellStart"/>
      <w:proofErr w:type="gramStart"/>
      <w:r>
        <w:rPr>
          <w:i/>
        </w:rPr>
        <w:t>Biochemistry,Institute</w:t>
      </w:r>
      <w:proofErr w:type="spellEnd"/>
      <w:proofErr w:type="gramEnd"/>
      <w:r>
        <w:rPr>
          <w:i/>
        </w:rPr>
        <w:t xml:space="preserve"> of Chemical Sciences and Engineering, Swiss Federal Institute of Technology (EPFL), Lausanne, Switzerland</w:t>
      </w:r>
    </w:p>
    <w:p w14:paraId="21EA21A0" w14:textId="77777777" w:rsidR="00817E33" w:rsidRDefault="00000000">
      <w:pPr>
        <w:spacing w:after="368" w:line="288" w:lineRule="auto"/>
        <w:jc w:val="center"/>
      </w:pPr>
      <w:r>
        <w:rPr>
          <w:rFonts w:ascii="Cambria" w:eastAsia="Cambria" w:hAnsi="Cambria" w:cs="Cambria"/>
        </w:rPr>
        <w:t>‡</w:t>
      </w:r>
      <w:proofErr w:type="gramStart"/>
      <w:r>
        <w:rPr>
          <w:i/>
        </w:rPr>
        <w:t>these</w:t>
      </w:r>
      <w:proofErr w:type="gramEnd"/>
      <w:r>
        <w:rPr>
          <w:i/>
        </w:rPr>
        <w:t xml:space="preserve"> authors contributed equally to this work</w:t>
      </w:r>
    </w:p>
    <w:p w14:paraId="2E18C520" w14:textId="5E2D6288" w:rsidR="00817E33" w:rsidRDefault="00000000">
      <w:pPr>
        <w:spacing w:after="0" w:line="259" w:lineRule="auto"/>
        <w:ind w:left="0" w:firstLine="0"/>
        <w:jc w:val="center"/>
      </w:pPr>
      <w:r>
        <w:t xml:space="preserve">E-mail: </w:t>
      </w:r>
      <w:hyperlink r:id="rId6" w:history="1">
        <w:r w:rsidR="00951813" w:rsidRPr="00C83592">
          <w:rPr>
            <w:rStyle w:val="Hyperlink"/>
          </w:rPr>
          <w:t>ursula.roethlisberger@epfl.ch</w:t>
        </w:r>
      </w:hyperlink>
    </w:p>
    <w:p w14:paraId="40793484" w14:textId="77777777" w:rsidR="00951813" w:rsidRDefault="00951813">
      <w:pPr>
        <w:spacing w:after="0" w:line="259" w:lineRule="auto"/>
        <w:ind w:left="0" w:firstLine="0"/>
        <w:jc w:val="center"/>
      </w:pPr>
    </w:p>
    <w:p w14:paraId="56FDF758" w14:textId="77777777" w:rsidR="00951813" w:rsidRDefault="00951813">
      <w:pPr>
        <w:pStyle w:val="Heading2"/>
        <w:ind w:left="-5"/>
        <w:rPr>
          <w:b/>
          <w:bCs/>
        </w:rPr>
      </w:pPr>
    </w:p>
    <w:p w14:paraId="69FAA55D" w14:textId="77777777" w:rsidR="00951813" w:rsidRDefault="00951813">
      <w:pPr>
        <w:pStyle w:val="Heading2"/>
        <w:ind w:left="-5"/>
        <w:rPr>
          <w:b/>
          <w:bCs/>
        </w:rPr>
      </w:pPr>
    </w:p>
    <w:p w14:paraId="4F20A672" w14:textId="77777777" w:rsidR="00951813" w:rsidRDefault="00951813">
      <w:pPr>
        <w:pStyle w:val="Heading2"/>
        <w:ind w:left="-5"/>
        <w:rPr>
          <w:b/>
          <w:bCs/>
        </w:rPr>
      </w:pPr>
    </w:p>
    <w:p w14:paraId="7BB1F781" w14:textId="77777777" w:rsidR="00951813" w:rsidRDefault="00951813">
      <w:pPr>
        <w:pStyle w:val="Heading2"/>
        <w:ind w:left="-5"/>
        <w:rPr>
          <w:b/>
          <w:bCs/>
        </w:rPr>
      </w:pPr>
    </w:p>
    <w:p w14:paraId="0F7C172A" w14:textId="77777777" w:rsidR="00951813" w:rsidRDefault="00951813">
      <w:pPr>
        <w:pStyle w:val="Heading2"/>
        <w:ind w:left="-5"/>
        <w:rPr>
          <w:b/>
          <w:bCs/>
        </w:rPr>
      </w:pPr>
    </w:p>
    <w:p w14:paraId="32B34162" w14:textId="77777777" w:rsidR="00951813" w:rsidRDefault="00951813">
      <w:pPr>
        <w:pStyle w:val="Heading2"/>
        <w:ind w:left="-5"/>
        <w:rPr>
          <w:b/>
          <w:bCs/>
        </w:rPr>
      </w:pPr>
    </w:p>
    <w:p w14:paraId="2B9D77DA" w14:textId="77777777" w:rsidR="00951813" w:rsidRDefault="00951813">
      <w:pPr>
        <w:pStyle w:val="Heading2"/>
        <w:ind w:left="-5"/>
        <w:rPr>
          <w:b/>
          <w:bCs/>
        </w:rPr>
      </w:pPr>
    </w:p>
    <w:p w14:paraId="4F7DD005" w14:textId="77777777" w:rsidR="00951813" w:rsidRDefault="00951813">
      <w:pPr>
        <w:pStyle w:val="Heading2"/>
        <w:ind w:left="-5"/>
        <w:rPr>
          <w:b/>
          <w:bCs/>
        </w:rPr>
      </w:pPr>
    </w:p>
    <w:p w14:paraId="074F39D7" w14:textId="3AE3C809" w:rsidR="00817E33" w:rsidRDefault="00000000">
      <w:pPr>
        <w:pStyle w:val="Heading2"/>
        <w:ind w:left="-5"/>
        <w:rPr>
          <w:b/>
          <w:bCs/>
        </w:rPr>
      </w:pPr>
      <w:r w:rsidRPr="00951813">
        <w:rPr>
          <w:b/>
          <w:bCs/>
        </w:rPr>
        <w:t>FA 3-fold symmetry</w:t>
      </w:r>
    </w:p>
    <w:p w14:paraId="69517A21" w14:textId="77777777" w:rsidR="00951813" w:rsidRPr="00951813" w:rsidRDefault="00951813" w:rsidP="00951813"/>
    <w:p w14:paraId="056A9F16" w14:textId="77777777" w:rsidR="00817E33" w:rsidRDefault="00000000">
      <w:pPr>
        <w:spacing w:after="238" w:line="259" w:lineRule="auto"/>
        <w:ind w:left="0" w:right="-1" w:firstLine="0"/>
        <w:jc w:val="left"/>
      </w:pPr>
      <w:r>
        <w:rPr>
          <w:noProof/>
        </w:rPr>
        <w:drawing>
          <wp:inline distT="0" distB="0" distL="0" distR="0" wp14:anchorId="5136C27F" wp14:editId="3CD0632B">
            <wp:extent cx="5944044" cy="176587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7"/>
                    <a:stretch>
                      <a:fillRect/>
                    </a:stretch>
                  </pic:blipFill>
                  <pic:spPr>
                    <a:xfrm>
                      <a:off x="0" y="0"/>
                      <a:ext cx="5944044" cy="1765870"/>
                    </a:xfrm>
                    <a:prstGeom prst="rect">
                      <a:avLst/>
                    </a:prstGeom>
                  </pic:spPr>
                </pic:pic>
              </a:graphicData>
            </a:graphic>
          </wp:inline>
        </w:drawing>
      </w:r>
    </w:p>
    <w:p w14:paraId="6665C863" w14:textId="77777777" w:rsidR="00817E33" w:rsidRDefault="00000000" w:rsidP="00951813">
      <w:pPr>
        <w:ind w:right="-15"/>
      </w:pPr>
      <w:r>
        <w:t>Figure 1: Orientations of the FA molecule satisfy the 3-fold symmetry within the PbI</w:t>
      </w:r>
      <w:r>
        <w:rPr>
          <w:rFonts w:ascii="Cambria" w:eastAsia="Cambria" w:hAnsi="Cambria" w:cs="Cambria"/>
          <w:vertAlign w:val="subscript"/>
        </w:rPr>
        <w:t xml:space="preserve">6 </w:t>
      </w:r>
      <w:r>
        <w:t xml:space="preserve">cage. I, Pb, C, N, and H are shown in violet, white octahedra, brown, </w:t>
      </w:r>
      <w:proofErr w:type="spellStart"/>
      <w:r>
        <w:t>lightblue</w:t>
      </w:r>
      <w:proofErr w:type="spellEnd"/>
      <w:r>
        <w:t>, and pink, respectively.</w:t>
      </w:r>
      <w:r>
        <w:br w:type="page"/>
      </w:r>
    </w:p>
    <w:p w14:paraId="69C55D0C" w14:textId="77777777" w:rsidR="00817E33" w:rsidRPr="00951813" w:rsidRDefault="00000000">
      <w:pPr>
        <w:pStyle w:val="Heading2"/>
        <w:ind w:left="-5"/>
        <w:rPr>
          <w:b/>
          <w:bCs/>
        </w:rPr>
      </w:pPr>
      <w:r w:rsidRPr="00951813">
        <w:rPr>
          <w:b/>
          <w:bCs/>
        </w:rPr>
        <w:lastRenderedPageBreak/>
        <w:t>Octahedra tilting</w:t>
      </w:r>
    </w:p>
    <w:p w14:paraId="538F8274" w14:textId="77777777" w:rsidR="00817E33" w:rsidRDefault="00000000">
      <w:pPr>
        <w:spacing w:after="237" w:line="259" w:lineRule="auto"/>
        <w:ind w:left="1360" w:firstLine="0"/>
        <w:jc w:val="left"/>
      </w:pPr>
      <w:r>
        <w:rPr>
          <w:noProof/>
        </w:rPr>
        <w:drawing>
          <wp:inline distT="0" distB="0" distL="0" distR="0" wp14:anchorId="21794B14" wp14:editId="45420BAB">
            <wp:extent cx="4215994" cy="2809342"/>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8"/>
                    <a:stretch>
                      <a:fillRect/>
                    </a:stretch>
                  </pic:blipFill>
                  <pic:spPr>
                    <a:xfrm>
                      <a:off x="0" y="0"/>
                      <a:ext cx="4215994" cy="2809342"/>
                    </a:xfrm>
                    <a:prstGeom prst="rect">
                      <a:avLst/>
                    </a:prstGeom>
                  </pic:spPr>
                </pic:pic>
              </a:graphicData>
            </a:graphic>
          </wp:inline>
        </w:drawing>
      </w:r>
    </w:p>
    <w:p w14:paraId="438C87F6" w14:textId="77777777" w:rsidR="00817E33" w:rsidRDefault="00000000">
      <w:pPr>
        <w:ind w:left="-5" w:right="-15"/>
      </w:pPr>
      <w:r>
        <w:t>Figure 2: Distributions of the octahedra tilting angles for the different supercells optimized from a pseudo-random FA configuration.</w:t>
      </w:r>
      <w:r>
        <w:br w:type="page"/>
      </w:r>
    </w:p>
    <w:p w14:paraId="0148D0D2" w14:textId="77777777" w:rsidR="00817E33" w:rsidRDefault="00000000">
      <w:pPr>
        <w:spacing w:after="238" w:line="259" w:lineRule="auto"/>
        <w:ind w:left="281" w:firstLine="0"/>
        <w:jc w:val="left"/>
      </w:pPr>
      <w:r>
        <w:rPr>
          <w:noProof/>
        </w:rPr>
        <w:lastRenderedPageBreak/>
        <w:drawing>
          <wp:inline distT="0" distB="0" distL="0" distR="0" wp14:anchorId="11C66AF4" wp14:editId="0401BF3A">
            <wp:extent cx="5587076" cy="2307397"/>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9"/>
                    <a:stretch>
                      <a:fillRect/>
                    </a:stretch>
                  </pic:blipFill>
                  <pic:spPr>
                    <a:xfrm>
                      <a:off x="0" y="0"/>
                      <a:ext cx="5587076" cy="2307397"/>
                    </a:xfrm>
                    <a:prstGeom prst="rect">
                      <a:avLst/>
                    </a:prstGeom>
                  </pic:spPr>
                </pic:pic>
              </a:graphicData>
            </a:graphic>
          </wp:inline>
        </w:drawing>
      </w:r>
    </w:p>
    <w:p w14:paraId="617FC3B5" w14:textId="77777777" w:rsidR="00817E33" w:rsidRDefault="00000000">
      <w:pPr>
        <w:ind w:left="-5" w:right="-15"/>
      </w:pPr>
      <w:r>
        <w:t>Figure 3: Zoom of the final FAPbI</w:t>
      </w:r>
      <w:r>
        <w:rPr>
          <w:rFonts w:ascii="Cambria" w:eastAsia="Cambria" w:hAnsi="Cambria" w:cs="Cambria"/>
          <w:vertAlign w:val="subscript"/>
        </w:rPr>
        <w:t xml:space="preserve">3 </w:t>
      </w:r>
      <w:r>
        <w:t xml:space="preserve">structures starting from all-aligned (a) and pseudorandom (b) FA configurations after </w:t>
      </w:r>
      <w:proofErr w:type="spellStart"/>
      <w:r>
        <w:t>vc</w:t>
      </w:r>
      <w:proofErr w:type="spellEnd"/>
      <w:r>
        <w:t xml:space="preserve">-relax. The Pb-I distances for two adjacent octahedra are highlighted. The typical tilting pattern of the octahedra can be </w:t>
      </w:r>
      <w:proofErr w:type="spellStart"/>
      <w:r>
        <w:t>recognised</w:t>
      </w:r>
      <w:proofErr w:type="spellEnd"/>
      <w:r>
        <w:t xml:space="preserve"> in the pseudorandom case, while the fully aligned case shows a non-physical collective I-shift. The </w:t>
      </w:r>
      <w:proofErr w:type="spellStart"/>
      <w:r>
        <w:t>colour</w:t>
      </w:r>
      <w:proofErr w:type="spellEnd"/>
      <w:r>
        <w:t xml:space="preserve"> code is the same as in Fig.1.</w:t>
      </w:r>
    </w:p>
    <w:p w14:paraId="6F980A0A" w14:textId="77777777" w:rsidR="00951813" w:rsidRDefault="00951813">
      <w:pPr>
        <w:ind w:left="-5" w:right="-15"/>
      </w:pPr>
    </w:p>
    <w:p w14:paraId="65BFF1F2" w14:textId="77777777" w:rsidR="00951813" w:rsidRDefault="00951813">
      <w:pPr>
        <w:ind w:left="-5" w:right="-15"/>
      </w:pPr>
    </w:p>
    <w:p w14:paraId="7D83D22A" w14:textId="77777777" w:rsidR="00817E33" w:rsidRPr="00951813" w:rsidRDefault="00000000">
      <w:pPr>
        <w:pStyle w:val="Heading2"/>
        <w:ind w:left="-5"/>
        <w:rPr>
          <w:b/>
          <w:bCs/>
        </w:rPr>
      </w:pPr>
      <w:r w:rsidRPr="00951813">
        <w:rPr>
          <w:b/>
          <w:bCs/>
        </w:rPr>
        <w:lastRenderedPageBreak/>
        <w:t>Band gap</w:t>
      </w:r>
    </w:p>
    <w:p w14:paraId="452291A4" w14:textId="77777777" w:rsidR="00817E33" w:rsidRDefault="00000000">
      <w:pPr>
        <w:spacing w:after="237" w:line="259" w:lineRule="auto"/>
        <w:ind w:left="823" w:firstLine="0"/>
        <w:jc w:val="left"/>
      </w:pPr>
      <w:r>
        <w:rPr>
          <w:noProof/>
        </w:rPr>
        <w:drawing>
          <wp:inline distT="0" distB="0" distL="0" distR="0" wp14:anchorId="5211CA78" wp14:editId="0F91327E">
            <wp:extent cx="4898136" cy="2478024"/>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0"/>
                    <a:stretch>
                      <a:fillRect/>
                    </a:stretch>
                  </pic:blipFill>
                  <pic:spPr>
                    <a:xfrm>
                      <a:off x="0" y="0"/>
                      <a:ext cx="4898136" cy="2478024"/>
                    </a:xfrm>
                    <a:prstGeom prst="rect">
                      <a:avLst/>
                    </a:prstGeom>
                  </pic:spPr>
                </pic:pic>
              </a:graphicData>
            </a:graphic>
          </wp:inline>
        </w:drawing>
      </w:r>
    </w:p>
    <w:p w14:paraId="5A3A0822" w14:textId="77777777" w:rsidR="00817E33" w:rsidRDefault="00000000">
      <w:pPr>
        <w:ind w:left="-5" w:right="-15"/>
      </w:pPr>
      <w:r>
        <w:t xml:space="preserve">Figure 4: Band gap mapping of the 6144-cell from 3D to 2D. 64 96-cells were identified in the 6144-cell, as shown by the blue grid superimposed on the 3D model in the left </w:t>
      </w:r>
      <w:proofErr w:type="gramStart"/>
      <w:r>
        <w:t>panel, and</w:t>
      </w:r>
      <w:proofErr w:type="gramEnd"/>
      <w:r>
        <w:t xml:space="preserve"> rearranged into a 2D map as shown in the right panel. The area shaded in blue highlights a single 96-cell. The </w:t>
      </w:r>
      <w:proofErr w:type="spellStart"/>
      <w:r>
        <w:t>colour</w:t>
      </w:r>
      <w:proofErr w:type="spellEnd"/>
      <w:r>
        <w:t xml:space="preserve"> code is the same as in Fig.1.</w:t>
      </w:r>
      <w:r>
        <w:br w:type="page"/>
      </w:r>
    </w:p>
    <w:p w14:paraId="7F56EC18" w14:textId="77777777" w:rsidR="00817E33" w:rsidRDefault="00000000">
      <w:pPr>
        <w:spacing w:after="237" w:line="259" w:lineRule="auto"/>
        <w:ind w:left="697" w:firstLine="0"/>
        <w:jc w:val="left"/>
      </w:pPr>
      <w:r>
        <w:rPr>
          <w:noProof/>
        </w:rPr>
        <w:lastRenderedPageBreak/>
        <w:drawing>
          <wp:inline distT="0" distB="0" distL="0" distR="0" wp14:anchorId="504AB788" wp14:editId="5D6FB93E">
            <wp:extent cx="5058462" cy="2977287"/>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1"/>
                    <a:stretch>
                      <a:fillRect/>
                    </a:stretch>
                  </pic:blipFill>
                  <pic:spPr>
                    <a:xfrm>
                      <a:off x="0" y="0"/>
                      <a:ext cx="5058462" cy="2977287"/>
                    </a:xfrm>
                    <a:prstGeom prst="rect">
                      <a:avLst/>
                    </a:prstGeom>
                  </pic:spPr>
                </pic:pic>
              </a:graphicData>
            </a:graphic>
          </wp:inline>
        </w:drawing>
      </w:r>
    </w:p>
    <w:p w14:paraId="44AC5C90" w14:textId="77777777" w:rsidR="00817E33" w:rsidRDefault="00000000">
      <w:pPr>
        <w:ind w:left="-5" w:right="-15"/>
      </w:pPr>
      <w:r>
        <w:t>Figure 5: Time correlation function characterizing the band gap oscillations (blue curve), the bottom of the conduction band eigenvalue (orange curve), and the top of the valence band eigenvalue (green curve). The analysis was done on the 2592-atom one.</w:t>
      </w:r>
    </w:p>
    <w:p w14:paraId="2367E64B" w14:textId="77777777" w:rsidR="00817E33" w:rsidRPr="00951813" w:rsidRDefault="00000000">
      <w:pPr>
        <w:pStyle w:val="Heading2"/>
        <w:ind w:left="-5"/>
        <w:rPr>
          <w:b/>
          <w:bCs/>
        </w:rPr>
      </w:pPr>
      <w:r w:rsidRPr="00951813">
        <w:rPr>
          <w:b/>
          <w:bCs/>
        </w:rPr>
        <w:lastRenderedPageBreak/>
        <w:t>Dipole moment</w:t>
      </w:r>
    </w:p>
    <w:p w14:paraId="63FA86E3" w14:textId="77777777" w:rsidR="00817E33" w:rsidRDefault="00000000">
      <w:pPr>
        <w:spacing w:after="237" w:line="259" w:lineRule="auto"/>
        <w:ind w:left="814" w:firstLine="0"/>
        <w:jc w:val="left"/>
      </w:pPr>
      <w:r>
        <w:rPr>
          <w:noProof/>
        </w:rPr>
        <w:drawing>
          <wp:inline distT="0" distB="0" distL="0" distR="0" wp14:anchorId="22225B63" wp14:editId="1B18B2F8">
            <wp:extent cx="4910176" cy="2899258"/>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2"/>
                    <a:stretch>
                      <a:fillRect/>
                    </a:stretch>
                  </pic:blipFill>
                  <pic:spPr>
                    <a:xfrm>
                      <a:off x="0" y="0"/>
                      <a:ext cx="4910176" cy="2899258"/>
                    </a:xfrm>
                    <a:prstGeom prst="rect">
                      <a:avLst/>
                    </a:prstGeom>
                  </pic:spPr>
                </pic:pic>
              </a:graphicData>
            </a:graphic>
          </wp:inline>
        </w:drawing>
      </w:r>
    </w:p>
    <w:p w14:paraId="1D15A2C9" w14:textId="77777777" w:rsidR="00817E33" w:rsidRDefault="00000000">
      <w:pPr>
        <w:spacing w:after="494"/>
        <w:ind w:left="-5" w:right="-15"/>
      </w:pPr>
      <w:r>
        <w:t>Figure 6: Time correlation function characterizing the dipole moment oscillations of the PbI</w:t>
      </w:r>
      <w:r>
        <w:rPr>
          <w:rFonts w:ascii="Cambria" w:eastAsia="Cambria" w:hAnsi="Cambria" w:cs="Cambria"/>
          <w:vertAlign w:val="subscript"/>
        </w:rPr>
        <w:t xml:space="preserve">6 </w:t>
      </w:r>
      <w:r>
        <w:t>(blue curve), the FAs (orange curve), and the total one (green curve) for the 768-atom cell. Two NPT-F simulations were performed with FA or PbI</w:t>
      </w:r>
      <w:r>
        <w:rPr>
          <w:rFonts w:ascii="Cambria" w:eastAsia="Cambria" w:hAnsi="Cambria" w:cs="Cambria"/>
          <w:vertAlign w:val="subscript"/>
        </w:rPr>
        <w:t xml:space="preserve">6 </w:t>
      </w:r>
      <w:r>
        <w:t>frozen to get the two separate contributions - PbI</w:t>
      </w:r>
      <w:r>
        <w:rPr>
          <w:rFonts w:ascii="Cambria" w:eastAsia="Cambria" w:hAnsi="Cambria" w:cs="Cambria"/>
          <w:vertAlign w:val="subscript"/>
        </w:rPr>
        <w:t xml:space="preserve">6 </w:t>
      </w:r>
      <w:r>
        <w:t>and FA - to the dipole moment. FA alone cannot compensate the dipole moment of the lattice, but the PbI</w:t>
      </w:r>
      <w:r>
        <w:rPr>
          <w:rFonts w:ascii="Cambria" w:eastAsia="Cambria" w:hAnsi="Cambria" w:cs="Cambria"/>
          <w:vertAlign w:val="subscript"/>
        </w:rPr>
        <w:t xml:space="preserve">6 </w:t>
      </w:r>
      <w:r>
        <w:t>fluctuations can (correlation goes to 0).</w:t>
      </w:r>
    </w:p>
    <w:p w14:paraId="6212B735" w14:textId="77777777" w:rsidR="00817E33" w:rsidRDefault="00000000">
      <w:pPr>
        <w:spacing w:line="393" w:lineRule="auto"/>
        <w:ind w:left="-15" w:right="-15" w:firstLine="351"/>
      </w:pPr>
      <w:r>
        <w:t>Fig.7 shows the different starting configurations of FAs for the 768-atom cell. In the "aligned" configuration all the FAs are aligned in the same direction, in the "random" configuration they are oriented randomly, in the "</w:t>
      </w:r>
      <w:proofErr w:type="spellStart"/>
      <w:r>
        <w:t>random_best</w:t>
      </w:r>
      <w:proofErr w:type="spellEnd"/>
      <w:r>
        <w:t>" configuration they are oriented randomly so as to minimize the dipole moment, in the "smart_100" configuration they are oriented along the 100, 010, 001 directions minimizing the dipole moment, in the "</w:t>
      </w:r>
      <w:proofErr w:type="spellStart"/>
      <w:r>
        <w:t>smart_quasi</w:t>
      </w:r>
      <w:proofErr w:type="spellEnd"/>
      <w:r>
        <w:t>" configuration they are pseudo-randomly oriented preserving the 3-fold symmetry (Supplementary Fig.1) and minimizing the dipole moment.</w:t>
      </w:r>
    </w:p>
    <w:p w14:paraId="030B6352" w14:textId="77777777" w:rsidR="00817E33" w:rsidRDefault="00000000">
      <w:pPr>
        <w:spacing w:after="237" w:line="259" w:lineRule="auto"/>
        <w:ind w:left="290" w:firstLine="0"/>
        <w:jc w:val="left"/>
      </w:pPr>
      <w:r>
        <w:rPr>
          <w:noProof/>
        </w:rPr>
        <w:lastRenderedPageBreak/>
        <w:drawing>
          <wp:inline distT="0" distB="0" distL="0" distR="0" wp14:anchorId="1D968AF2" wp14:editId="335D17E4">
            <wp:extent cx="5575707" cy="4097122"/>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3"/>
                    <a:stretch>
                      <a:fillRect/>
                    </a:stretch>
                  </pic:blipFill>
                  <pic:spPr>
                    <a:xfrm>
                      <a:off x="0" y="0"/>
                      <a:ext cx="5575707" cy="4097122"/>
                    </a:xfrm>
                    <a:prstGeom prst="rect">
                      <a:avLst/>
                    </a:prstGeom>
                  </pic:spPr>
                </pic:pic>
              </a:graphicData>
            </a:graphic>
          </wp:inline>
        </w:drawing>
      </w:r>
    </w:p>
    <w:p w14:paraId="66EDE5F4" w14:textId="77777777" w:rsidR="00817E33" w:rsidRDefault="00000000">
      <w:pPr>
        <w:ind w:left="-5" w:right="-15"/>
      </w:pPr>
      <w:r>
        <w:t>Figure 7: Initial configurations of the 768-atom cell with different FA orientations. FA molecules are shown in dark grey to facilitate the visualization. I and Pb are shown in violet and white octahedra, respectively.</w:t>
      </w:r>
    </w:p>
    <w:p w14:paraId="4F9B9F14" w14:textId="77777777" w:rsidR="00817E33" w:rsidRDefault="00000000">
      <w:pPr>
        <w:spacing w:after="237" w:line="259" w:lineRule="auto"/>
        <w:ind w:left="697" w:firstLine="0"/>
        <w:jc w:val="left"/>
      </w:pPr>
      <w:r>
        <w:rPr>
          <w:noProof/>
        </w:rPr>
        <w:lastRenderedPageBreak/>
        <w:drawing>
          <wp:inline distT="0" distB="0" distL="0" distR="0" wp14:anchorId="156A6597" wp14:editId="2DC80A94">
            <wp:extent cx="5058462" cy="2980944"/>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4"/>
                    <a:stretch>
                      <a:fillRect/>
                    </a:stretch>
                  </pic:blipFill>
                  <pic:spPr>
                    <a:xfrm>
                      <a:off x="0" y="0"/>
                      <a:ext cx="5058462" cy="2980944"/>
                    </a:xfrm>
                    <a:prstGeom prst="rect">
                      <a:avLst/>
                    </a:prstGeom>
                  </pic:spPr>
                </pic:pic>
              </a:graphicData>
            </a:graphic>
          </wp:inline>
        </w:drawing>
      </w:r>
    </w:p>
    <w:p w14:paraId="2032A027" w14:textId="77777777" w:rsidR="00817E33" w:rsidRDefault="00000000">
      <w:pPr>
        <w:ind w:left="-5" w:right="-15"/>
      </w:pPr>
      <w:r>
        <w:t>Figure 8: Time correlation function characterizing the dipole moment oscillations for different supercell size. The 6144-atom cell results are reported with both PBE and PBE0 level of theory.</w:t>
      </w:r>
    </w:p>
    <w:sectPr w:rsidR="00817E33">
      <w:footerReference w:type="even" r:id="rId15"/>
      <w:footerReference w:type="default" r:id="rId16"/>
      <w:footerReference w:type="first" r:id="rId17"/>
      <w:pgSz w:w="12240" w:h="15840"/>
      <w:pgMar w:top="1481" w:right="1440" w:bottom="3846" w:left="1440" w:header="720" w:footer="7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4F8358" w14:textId="77777777" w:rsidR="00704031" w:rsidRDefault="00704031">
      <w:pPr>
        <w:spacing w:after="0" w:line="240" w:lineRule="auto"/>
      </w:pPr>
      <w:r>
        <w:separator/>
      </w:r>
    </w:p>
  </w:endnote>
  <w:endnote w:type="continuationSeparator" w:id="0">
    <w:p w14:paraId="1DE2A4F8" w14:textId="77777777" w:rsidR="00704031" w:rsidRDefault="00704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F2D0D" w14:textId="77777777" w:rsidR="00817E33" w:rsidRDefault="00000000">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03467" w14:textId="77777777" w:rsidR="00817E33" w:rsidRDefault="00000000">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0D7A6" w14:textId="77777777" w:rsidR="00817E33" w:rsidRDefault="00000000">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D2C6A2" w14:textId="77777777" w:rsidR="00704031" w:rsidRDefault="00704031">
      <w:pPr>
        <w:spacing w:after="0" w:line="240" w:lineRule="auto"/>
      </w:pPr>
      <w:r>
        <w:separator/>
      </w:r>
    </w:p>
  </w:footnote>
  <w:footnote w:type="continuationSeparator" w:id="0">
    <w:p w14:paraId="106889F7" w14:textId="77777777" w:rsidR="00704031" w:rsidRDefault="007040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E33"/>
    <w:rsid w:val="00682AC5"/>
    <w:rsid w:val="00704031"/>
    <w:rsid w:val="00817E33"/>
    <w:rsid w:val="008D5E69"/>
    <w:rsid w:val="00951813"/>
    <w:rsid w:val="00C90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8879EA"/>
  <w15:docId w15:val="{55699667-57DC-4A46-B948-2A8937E35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8" w:line="248" w:lineRule="auto"/>
      <w:ind w:left="10"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72" w:line="259" w:lineRule="auto"/>
      <w:ind w:left="10" w:hanging="10"/>
      <w:jc w:val="center"/>
      <w:outlineLvl w:val="0"/>
    </w:pPr>
    <w:rPr>
      <w:rFonts w:ascii="Calibri" w:eastAsia="Calibri" w:hAnsi="Calibri" w:cs="Calibri"/>
      <w:color w:val="000000"/>
      <w:sz w:val="41"/>
    </w:rPr>
  </w:style>
  <w:style w:type="paragraph" w:styleId="Heading2">
    <w:name w:val="heading 2"/>
    <w:next w:val="Normal"/>
    <w:link w:val="Heading2Char"/>
    <w:uiPriority w:val="9"/>
    <w:unhideWhenUsed/>
    <w:qFormat/>
    <w:pPr>
      <w:keepNext/>
      <w:keepLines/>
      <w:spacing w:after="55" w:line="259" w:lineRule="auto"/>
      <w:ind w:left="10" w:hanging="10"/>
      <w:outlineLvl w:val="1"/>
    </w:pPr>
    <w:rPr>
      <w:rFonts w:ascii="Calibri" w:eastAsia="Calibri" w:hAnsi="Calibri" w:cs="Calibri"/>
      <w:color w:val="000000"/>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9"/>
    </w:rPr>
  </w:style>
  <w:style w:type="character" w:customStyle="1" w:styleId="Heading1Char">
    <w:name w:val="Heading 1 Char"/>
    <w:link w:val="Heading1"/>
    <w:rPr>
      <w:rFonts w:ascii="Calibri" w:eastAsia="Calibri" w:hAnsi="Calibri" w:cs="Calibri"/>
      <w:color w:val="000000"/>
      <w:sz w:val="41"/>
    </w:rPr>
  </w:style>
  <w:style w:type="character" w:styleId="Hyperlink">
    <w:name w:val="Hyperlink"/>
    <w:basedOn w:val="DefaultParagraphFont"/>
    <w:uiPriority w:val="99"/>
    <w:unhideWhenUsed/>
    <w:rsid w:val="00951813"/>
    <w:rPr>
      <w:color w:val="467886" w:themeColor="hyperlink"/>
      <w:u w:val="single"/>
    </w:rPr>
  </w:style>
  <w:style w:type="character" w:styleId="UnresolvedMention">
    <w:name w:val="Unresolved Mention"/>
    <w:basedOn w:val="DefaultParagraphFont"/>
    <w:uiPriority w:val="99"/>
    <w:semiHidden/>
    <w:unhideWhenUsed/>
    <w:rsid w:val="009518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mailto:ursula.roethlisberger@epfl.ch" TargetMode="External"/><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503</Words>
  <Characters>2869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Carnevali</dc:creator>
  <cp:keywords/>
  <cp:lastModifiedBy>Virginia Carnevali</cp:lastModifiedBy>
  <cp:revision>3</cp:revision>
  <dcterms:created xsi:type="dcterms:W3CDTF">2024-12-29T11:53:00Z</dcterms:created>
  <dcterms:modified xsi:type="dcterms:W3CDTF">2024-12-29T11:54:00Z</dcterms:modified>
</cp:coreProperties>
</file>