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206" w:tblpY="2162"/>
        <w:tblOverlap w:val="never"/>
        <w:tblW w:w="103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2025"/>
        <w:gridCol w:w="1140"/>
        <w:gridCol w:w="1403"/>
        <w:gridCol w:w="1365"/>
        <w:gridCol w:w="1065"/>
      </w:tblGrid>
      <w:tr w14:paraId="3EED4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1B2BC5">
            <w:pP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</w:pPr>
            <w:bookmarkStart w:id="0" w:name="OLE_LINK100"/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Demographic and clinical variables</w:t>
            </w:r>
          </w:p>
        </w:tc>
        <w:tc>
          <w:tcPr>
            <w:tcW w:w="20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36AF629">
            <w:pPr>
              <w:jc w:val="center"/>
              <w:rPr>
                <w:rFonts w:ascii="Calibri" w:hAnsi="Calibri" w:eastAsia="宋体" w:cs="Calibri"/>
                <w:b/>
                <w:bCs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ALS</w:t>
            </w:r>
            <w:r>
              <w:rPr>
                <w:rFonts w:ascii="Calibri" w:hAnsi="Calibri" w:eastAsia="宋体" w:cs="Calibri"/>
                <w:b/>
                <w:bCs/>
                <w:sz w:val="21"/>
                <w:szCs w:val="21"/>
              </w:rPr>
              <w:t xml:space="preserve"> (</w:t>
            </w: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N = 53</w:t>
            </w:r>
            <w:r>
              <w:rPr>
                <w:rFonts w:ascii="Calibri" w:hAnsi="Calibri" w:eastAsia="宋体" w:cs="Calibri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5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727BAE">
            <w:pPr>
              <w:jc w:val="center"/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ALS mimics (N = 12)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FF948E">
            <w:pPr>
              <w:jc w:val="center"/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HCs</w:t>
            </w:r>
            <w:r>
              <w:rPr>
                <w:rFonts w:hint="eastAsia" w:ascii="Calibri" w:hAnsi="Calibri" w:eastAsia="宋体" w:cs="Calibri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(N = 50)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2F2FD55">
            <w:pPr>
              <w:ind w:firstLine="210" w:firstLineChars="100"/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i/>
                <w:iCs/>
                <w:sz w:val="21"/>
                <w:szCs w:val="21"/>
                <w:lang w:val="en-GB" w:eastAsia="en-US"/>
              </w:rPr>
              <w:t>p</w:t>
            </w: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 xml:space="preserve"> value</w:t>
            </w:r>
          </w:p>
        </w:tc>
      </w:tr>
      <w:tr w14:paraId="21DAC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1B95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Age, </w:t>
            </w:r>
            <w:bookmarkStart w:id="1" w:name="OLE_LINK79"/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mean (SD)</w:t>
            </w:r>
            <w:bookmarkEnd w:id="1"/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, y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7E669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54.87 (12.41)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F4EB2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47.17 (12.61)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C295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52.12 (6.78)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77F48">
            <w:pPr>
              <w:jc w:val="center"/>
              <w:rPr>
                <w:rFonts w:ascii="Calibri" w:hAnsi="Calibri" w:eastAsia="宋体" w:cs="Calibri"/>
                <w:sz w:val="21"/>
                <w:szCs w:val="21"/>
                <w:lang w:val="en-GB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0.13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1</w:t>
            </w:r>
            <w:r>
              <w:rPr>
                <w:rFonts w:hint="eastAsia" w:ascii="Calibri" w:hAnsi="Calibri" w:eastAsia="宋体" w:cs="Calibri"/>
                <w:sz w:val="21"/>
                <w:szCs w:val="21"/>
                <w:vertAlign w:val="superscript"/>
              </w:rPr>
              <w:t>a</w:t>
            </w:r>
          </w:p>
        </w:tc>
      </w:tr>
      <w:tr w14:paraId="58C72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3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EBF6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Sex, no. (%)</w:t>
            </w:r>
          </w:p>
        </w:tc>
      </w:tr>
      <w:tr w14:paraId="0089F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066CD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Male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4AB67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28 (52.83)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5BA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7 (58.33)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99360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22 (44.00)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F7A536">
            <w:pPr>
              <w:jc w:val="center"/>
              <w:rPr>
                <w:rFonts w:ascii="Calibri" w:hAnsi="Calibri" w:eastAsia="宋体" w:cs="Calibri"/>
                <w:sz w:val="21"/>
                <w:szCs w:val="21"/>
                <w:lang w:val="en-GB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0.5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4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5</w:t>
            </w:r>
            <w:r>
              <w:rPr>
                <w:rFonts w:hint="eastAsia" w:ascii="Calibri" w:hAnsi="Calibri" w:eastAsia="宋体" w:cs="Calibri"/>
                <w:sz w:val="21"/>
                <w:szCs w:val="21"/>
                <w:vertAlign w:val="superscript"/>
              </w:rPr>
              <w:t>b</w:t>
            </w:r>
          </w:p>
        </w:tc>
      </w:tr>
      <w:tr w14:paraId="7B1E6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B785F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Female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AA3B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25 (47.17)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76F1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5 (41.67)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FEFC4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28 (56.00)</w:t>
            </w:r>
          </w:p>
        </w:tc>
        <w:tc>
          <w:tcPr>
            <w:tcW w:w="106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E018D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</w:tr>
      <w:tr w14:paraId="3FF6F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3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37F7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Diagnosis by Revised EEC, no. (%)</w:t>
            </w:r>
          </w:p>
        </w:tc>
      </w:tr>
      <w:tr w14:paraId="02E65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7CAB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d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efinite ALS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1A296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20 (37.74)</w:t>
            </w:r>
          </w:p>
        </w:tc>
        <w:tc>
          <w:tcPr>
            <w:tcW w:w="2543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A70EB6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EC3B20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A520C1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</w:tr>
      <w:tr w14:paraId="1835B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52F3F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cs="Calibri" w:eastAsiaTheme="minorHAnsi"/>
                <w:sz w:val="21"/>
                <w:szCs w:val="21"/>
                <w:lang w:val="en-GB" w:eastAsia="en-US"/>
              </w:rPr>
              <w:t>p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robable ALS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26511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15 (28.30)</w:t>
            </w:r>
          </w:p>
        </w:tc>
        <w:tc>
          <w:tcPr>
            <w:tcW w:w="2543" w:type="dxa"/>
            <w:gridSpan w:val="2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0C4493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365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F7792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8AF069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</w:tr>
      <w:tr w14:paraId="64F55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18584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bookmarkStart w:id="2" w:name="OLE_LINK5"/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cs="Calibri" w:eastAsiaTheme="minorHAnsi"/>
                <w:sz w:val="21"/>
                <w:szCs w:val="21"/>
                <w:lang w:val="en-GB" w:eastAsia="en-US"/>
              </w:rPr>
              <w:t>p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robable</w:t>
            </w:r>
            <w:r>
              <w:rPr>
                <w:rFonts w:hint="eastAsia" w:ascii="Calibri" w:hAnsi="Calibri" w:cs="Calibri" w:eastAsiaTheme="minorHAnsi"/>
                <w:sz w:val="21"/>
                <w:szCs w:val="21"/>
                <w:lang w:val="en-GB" w:eastAsia="en-US"/>
              </w:rPr>
              <w:t xml:space="preserve"> 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–</w:t>
            </w:r>
            <w:r>
              <w:rPr>
                <w:rFonts w:hint="eastAsia" w:ascii="Calibri" w:hAnsi="Calibri" w:cs="Calibri" w:eastAsiaTheme="minorHAnsi"/>
                <w:sz w:val="21"/>
                <w:szCs w:val="21"/>
                <w:lang w:val="en-GB" w:eastAsia="en-US"/>
              </w:rPr>
              <w:t xml:space="preserve"> LS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ALS </w:t>
            </w:r>
          </w:p>
          <w:bookmarkEnd w:id="2"/>
          <w:p w14:paraId="6FABF231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cs="Calibri" w:eastAsiaTheme="minorHAnsi"/>
                <w:sz w:val="21"/>
                <w:szCs w:val="21"/>
                <w:lang w:val="en-GB" w:eastAsia="en-US"/>
              </w:rPr>
              <w:t>p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ossible ALS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72874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11 (20.75)</w:t>
            </w:r>
          </w:p>
          <w:p w14:paraId="2057BE4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7 (13.21)</w:t>
            </w:r>
          </w:p>
        </w:tc>
        <w:tc>
          <w:tcPr>
            <w:tcW w:w="2543" w:type="dxa"/>
            <w:gridSpan w:val="2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BCFAF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36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B4C41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95817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</w:tr>
      <w:tr w14:paraId="567B5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C6DB7D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MGH UMNSs, mean (SD)</w:t>
            </w:r>
          </w:p>
        </w:tc>
        <w:tc>
          <w:tcPr>
            <w:tcW w:w="202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DF1004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27.04 (8.37)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E765FD6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HSP</w:t>
            </w:r>
          </w:p>
        </w:tc>
        <w:tc>
          <w:tcPr>
            <w:tcW w:w="140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E4794A6">
            <w:pPr>
              <w:jc w:val="center"/>
              <w:rPr>
                <w:rFonts w:ascii="Calibri" w:hAnsi="Calibri" w:eastAsia="宋体" w:cs="Calibri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LMN Syndrome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*</w:t>
            </w:r>
          </w:p>
        </w:tc>
        <w:tc>
          <w:tcPr>
            <w:tcW w:w="136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E5A2E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766131">
            <w:pPr>
              <w:jc w:val="center"/>
              <w:rPr>
                <w:rFonts w:ascii="Calibri" w:hAnsi="Calibri" w:eastAsia="宋体" w:cs="Calibri"/>
                <w:sz w:val="21"/>
                <w:szCs w:val="21"/>
                <w:lang w:val="en-GB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0.003</w:t>
            </w:r>
            <w:r>
              <w:rPr>
                <w:rFonts w:hint="eastAsia" w:ascii="Calibri" w:hAnsi="Calibri" w:eastAsia="宋体" w:cs="Calibri"/>
                <w:sz w:val="21"/>
                <w:szCs w:val="21"/>
                <w:vertAlign w:val="superscript"/>
              </w:rPr>
              <w:t>a</w:t>
            </w:r>
          </w:p>
        </w:tc>
      </w:tr>
      <w:tr w14:paraId="2F1F8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38FE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202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5CC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2762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30.50 (2.81)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C1FB7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15.17 (3.37)</w:t>
            </w:r>
          </w:p>
        </w:tc>
        <w:tc>
          <w:tcPr>
            <w:tcW w:w="136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9B65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572BC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</w:p>
        </w:tc>
      </w:tr>
      <w:tr w14:paraId="52BD5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4436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Disease duration, median (IQR), mo.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C527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13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.00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(7.00-20.00)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43479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24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.00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(17.25-81.00)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DCE7D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764A8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0.001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c</w:t>
            </w:r>
          </w:p>
        </w:tc>
      </w:tr>
      <w:tr w14:paraId="74D70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9BBF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commentRangeStart w:id="0"/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Interval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between baseline and follow-up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**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, median (IQR), mo.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C202">
            <w:pPr>
              <w:jc w:val="center"/>
              <w:rPr>
                <w:rFonts w:ascii="Calibri" w:hAnsi="Calibri" w:eastAsia="宋体" w:cs="Calibr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6.00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5.5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8.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00)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F9579">
            <w:pPr>
              <w:jc w:val="center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6.00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6.0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7.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00)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63F7C">
            <w:pPr>
              <w:jc w:val="center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740D">
            <w:pPr>
              <w:jc w:val="center"/>
              <w:rPr>
                <w:rFonts w:ascii="Calibri" w:hAnsi="Calibri" w:cs="Calibri" w:eastAsiaTheme="minorHAnsi"/>
                <w:b/>
                <w:bCs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393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vertAlign w:val="superscript"/>
                <w:lang w:val="en-GB" w:eastAsia="en-US"/>
              </w:rPr>
              <w:t>c</w:t>
            </w:r>
            <w:commentRangeEnd w:id="0"/>
            <w:r>
              <w:rPr>
                <w:color w:val="FF0000"/>
              </w:rPr>
              <w:commentReference w:id="0"/>
            </w:r>
          </w:p>
        </w:tc>
      </w:tr>
      <w:tr w14:paraId="7140B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33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3ED1D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1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8C738A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42.0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(39.00-44.00)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392E4E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43.0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(42.00-44.00)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B23083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FC0B0C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0.17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4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c</w:t>
            </w:r>
          </w:p>
        </w:tc>
      </w:tr>
      <w:tr w14:paraId="6CB95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952A19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2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d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7CFA65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37.0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(31.00-40.00)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9EAB18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42.0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0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 xml:space="preserve"> (39.25-43.00)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16663F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5D7760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0.003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c</w:t>
            </w:r>
          </w:p>
        </w:tc>
      </w:tr>
      <w:tr w14:paraId="290FA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31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9D8269">
            <w:pP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ΔFS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d</w:t>
            </w: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2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A0B383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0.67 (0.50-1.16)</w:t>
            </w:r>
          </w:p>
        </w:tc>
        <w:tc>
          <w:tcPr>
            <w:tcW w:w="2543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13795C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0.08 (0.00-0.45)</w:t>
            </w:r>
          </w:p>
        </w:tc>
        <w:tc>
          <w:tcPr>
            <w:tcW w:w="136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23B748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  <w:t>NA</w:t>
            </w:r>
          </w:p>
        </w:tc>
        <w:tc>
          <w:tcPr>
            <w:tcW w:w="106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3B1E8B">
            <w:pPr>
              <w:jc w:val="center"/>
              <w:rPr>
                <w:rFonts w:ascii="Calibri" w:hAnsi="Calibri" w:cs="Calibri" w:eastAsiaTheme="minorHAnsi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b/>
                <w:bCs/>
                <w:sz w:val="21"/>
                <w:szCs w:val="21"/>
                <w:lang w:val="en-GB" w:eastAsia="en-US"/>
              </w:rPr>
              <w:t>&lt; 0.0001</w:t>
            </w:r>
            <w:r>
              <w:rPr>
                <w:rFonts w:ascii="Calibri" w:hAnsi="Calibri" w:cs="Calibri" w:eastAsiaTheme="minorHAnsi"/>
                <w:sz w:val="21"/>
                <w:szCs w:val="21"/>
                <w:vertAlign w:val="superscript"/>
                <w:lang w:val="en-GB" w:eastAsia="en-US"/>
              </w:rPr>
              <w:t>c</w:t>
            </w:r>
          </w:p>
        </w:tc>
      </w:tr>
      <w:bookmarkEnd w:id="0"/>
    </w:tbl>
    <w:p w14:paraId="2EAD4F99">
      <w:pPr>
        <w:spacing w:line="480" w:lineRule="auto"/>
        <w:rPr>
          <w:rStyle w:val="11"/>
          <w:rFonts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 w:eastAsiaTheme="minorHAnsi"/>
          <w:b/>
          <w:bCs/>
          <w:sz w:val="21"/>
          <w:szCs w:val="21"/>
          <w:lang w:val="en-GB" w:eastAsia="en-US"/>
        </w:rPr>
        <w:t xml:space="preserve">Table 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>S</w:t>
      </w:r>
      <w:r>
        <w:rPr>
          <w:rFonts w:ascii="Calibri" w:hAnsi="Calibri" w:cs="Calibri" w:eastAsiaTheme="minorHAnsi"/>
          <w:b/>
          <w:bCs/>
          <w:sz w:val="21"/>
          <w:szCs w:val="21"/>
          <w:lang w:val="en-GB" w:eastAsia="en-US"/>
        </w:rPr>
        <w:t>1 Demographic data and clinical data of ALS, ALS mimics and HCs</w:t>
      </w:r>
    </w:p>
    <w:p w14:paraId="5B17C867">
      <w:pPr>
        <w:suppressLineNumbers/>
        <w:contextualSpacing/>
        <w:rPr>
          <w:rFonts w:ascii="Calibri" w:hAnsi="Calibri" w:cs="Calibri"/>
          <w:sz w:val="21"/>
          <w:szCs w:val="21"/>
        </w:rPr>
      </w:pPr>
      <w:bookmarkStart w:id="3" w:name="_Hlk146487232"/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Statistical significance was defined as </w:t>
      </w:r>
      <w:r>
        <w:rPr>
          <w:rFonts w:ascii="Calibri" w:hAnsi="Calibri" w:cs="Calibri" w:eastAsiaTheme="minorHAnsi"/>
          <w:i/>
          <w:iCs/>
          <w:sz w:val="21"/>
          <w:szCs w:val="21"/>
          <w:lang w:val="en-GB" w:eastAsia="en-US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&lt; 0.05.</w:t>
      </w:r>
      <w:bookmarkEnd w:id="3"/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Abbreviations: ALS, amyotrophic lateral sclerosis; HCs, healthy controls; </w:t>
      </w:r>
      <w:bookmarkStart w:id="4" w:name="_Hlk148284311"/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Clinically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robable</w:t>
      </w:r>
      <w:r>
        <w:rPr>
          <w:rFonts w:hint="eastAsia" w:ascii="Calibri" w:hAnsi="Calibri" w:cs="Calibri" w:eastAsiaTheme="minorHAnsi"/>
          <w:sz w:val="21"/>
          <w:szCs w:val="21"/>
          <w:lang w:val="en-GB" w:eastAsia="en-US"/>
        </w:rPr>
        <w:t xml:space="preserve"> 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– </w:t>
      </w:r>
      <w:r>
        <w:rPr>
          <w:rFonts w:hint="eastAsia" w:ascii="Calibri" w:hAnsi="Calibri" w:cs="Calibri" w:eastAsiaTheme="minorHAnsi"/>
          <w:sz w:val="21"/>
          <w:szCs w:val="21"/>
          <w:lang w:val="en-GB" w:eastAsia="en-US"/>
        </w:rPr>
        <w:t>LS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ALS, </w:t>
      </w:r>
      <w:r>
        <w:rPr>
          <w:rFonts w:hint="eastAsia" w:ascii="Calibri" w:hAnsi="Calibri" w:eastAsia="宋体" w:cs="Calibri"/>
          <w:sz w:val="21"/>
          <w:szCs w:val="21"/>
        </w:rPr>
        <w:t>c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robable </w:t>
      </w:r>
      <w:r>
        <w:rPr>
          <w:rFonts w:hint="eastAsia" w:ascii="Calibri" w:hAnsi="Calibri" w:eastAsia="宋体" w:cs="Calibri"/>
          <w:sz w:val="21"/>
          <w:szCs w:val="21"/>
        </w:rPr>
        <w:t>l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aboratory–supported ALS; Revised EEC, </w:t>
      </w:r>
      <w:r>
        <w:rPr>
          <w:rFonts w:hint="eastAsia" w:ascii="Calibri" w:hAnsi="Calibri" w:eastAsia="宋体" w:cs="Calibri"/>
          <w:sz w:val="21"/>
          <w:szCs w:val="21"/>
        </w:rPr>
        <w:t>r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evised E</w:t>
      </w:r>
      <w:r>
        <w:rPr>
          <w:rFonts w:hint="eastAsia" w:ascii="Calibri" w:hAnsi="Calibri" w:eastAsia="宋体" w:cs="Calibri"/>
          <w:sz w:val="21"/>
          <w:szCs w:val="21"/>
        </w:rPr>
        <w:t>l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</w:t>
      </w:r>
      <w:r>
        <w:rPr>
          <w:rFonts w:hint="eastAsia" w:ascii="Calibri" w:hAnsi="Calibri" w:eastAsia="宋体" w:cs="Calibri"/>
          <w:sz w:val="21"/>
          <w:szCs w:val="21"/>
        </w:rPr>
        <w:t>E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scorial criteria; MGH UMNSs</w:t>
      </w:r>
      <w:r>
        <w:rPr>
          <w:rFonts w:ascii="Calibri" w:hAnsi="Calibri" w:cs="Calibri"/>
          <w:sz w:val="21"/>
          <w:szCs w:val="21"/>
          <w:lang w:val="en-GB" w:eastAsia="en-US"/>
        </w:rPr>
        <w:t xml:space="preserve">, </w:t>
      </w:r>
      <w:r>
        <w:rPr>
          <w:rFonts w:hint="eastAsia" w:ascii="Calibri" w:hAnsi="Calibri" w:cs="Calibri" w:eastAsiaTheme="minorHAnsi"/>
          <w:sz w:val="21"/>
          <w:szCs w:val="21"/>
          <w:lang w:val="en-GB" w:eastAsia="en-US"/>
        </w:rPr>
        <w:t>MGH</w:t>
      </w:r>
      <w:r>
        <w:rPr>
          <w:rFonts w:hint="eastAsia" w:ascii="Calibri" w:hAnsi="Calibri" w:eastAsia="宋体" w:cs="Calibri"/>
          <w:sz w:val="21"/>
          <w:szCs w:val="21"/>
        </w:rPr>
        <w:t xml:space="preserve"> u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sz w:val="21"/>
          <w:szCs w:val="21"/>
        </w:rPr>
        <w:t>m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sz w:val="21"/>
          <w:szCs w:val="21"/>
        </w:rPr>
        <w:t>n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eur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on</w:t>
      </w:r>
      <w:r>
        <w:rPr>
          <w:rFonts w:hint="eastAsia" w:ascii="Calibri" w:hAnsi="Calibri" w:eastAsia="宋体" w:cs="Calibri"/>
          <w:color w:val="auto"/>
          <w:sz w:val="21"/>
          <w:szCs w:val="21"/>
        </w:rPr>
        <w:t xml:space="preserve"> s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cales; H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SP, </w:t>
      </w:r>
      <w:r>
        <w:rPr>
          <w:rFonts w:hint="eastAsia" w:ascii="Calibri" w:hAnsi="Calibri" w:eastAsia="宋体" w:cs="Calibri"/>
          <w:sz w:val="21"/>
          <w:szCs w:val="21"/>
        </w:rPr>
        <w:t>h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ereditary </w:t>
      </w:r>
      <w:r>
        <w:rPr>
          <w:rFonts w:hint="eastAsia" w:ascii="Calibri" w:hAnsi="Calibri" w:eastAsia="宋体" w:cs="Calibri"/>
          <w:sz w:val="21"/>
          <w:szCs w:val="21"/>
        </w:rPr>
        <w:t>s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pastic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araplegia; LMN Syndrome, </w:t>
      </w:r>
      <w:r>
        <w:rPr>
          <w:rFonts w:hint="eastAsia" w:ascii="Calibri" w:hAnsi="Calibri" w:eastAsia="宋体" w:cs="Calibri"/>
          <w:sz w:val="21"/>
          <w:szCs w:val="21"/>
        </w:rPr>
        <w:t>l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ower</w:t>
      </w:r>
      <w:r>
        <w:rPr>
          <w:rFonts w:hint="eastAsia" w:ascii="Calibri" w:hAnsi="Calibri" w:eastAsia="宋体" w:cs="Calibri"/>
          <w:sz w:val="21"/>
          <w:szCs w:val="21"/>
        </w:rPr>
        <w:t xml:space="preserve"> m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sz w:val="21"/>
          <w:szCs w:val="21"/>
        </w:rPr>
        <w:t>n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euron </w:t>
      </w:r>
      <w:r>
        <w:rPr>
          <w:rFonts w:hint="eastAsia" w:ascii="Calibri" w:hAnsi="Calibri" w:eastAsia="宋体" w:cs="Calibri"/>
          <w:sz w:val="21"/>
          <w:szCs w:val="21"/>
        </w:rPr>
        <w:t>s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yndrome; ALSFRS-R</w:t>
      </w:r>
      <w:r>
        <w:rPr>
          <w:rFonts w:hint="eastAsia" w:ascii="Calibri" w:hAnsi="Calibri" w:eastAsia="宋体" w:cs="Calibri"/>
          <w:sz w:val="21"/>
          <w:szCs w:val="21"/>
        </w:rPr>
        <w:t>1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at baseline; ALSFRS-R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2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at follow-up;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ΔFS, disease progression rate, SD, standard deviation; IQR, interquartile range; NA, not available. </w:t>
      </w:r>
    </w:p>
    <w:bookmarkEnd w:id="4"/>
    <w:p w14:paraId="6A6E768E">
      <w:pPr>
        <w:suppressLineNumbers/>
        <w:ind w:firstLine="320"/>
        <w:rPr>
          <w:rFonts w:ascii="Calibri" w:hAnsi="Calibri" w:cs="Calibri" w:eastAsiaTheme="minorHAnsi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sz w:val="21"/>
          <w:szCs w:val="21"/>
          <w:vertAlign w:val="superscript"/>
          <w:lang w:val="en-GB" w:eastAsia="en-US"/>
        </w:rPr>
        <w:t>a</w:t>
      </w: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Kruskal-Wallis H test</w:t>
      </w:r>
    </w:p>
    <w:p w14:paraId="781DB155">
      <w:pPr>
        <w:suppressLineNumbers/>
        <w:ind w:firstLine="320"/>
        <w:rPr>
          <w:rFonts w:ascii="Calibri" w:hAnsi="Calibri" w:cs="Calibri" w:eastAsiaTheme="minorHAnsi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sz w:val="21"/>
          <w:szCs w:val="21"/>
          <w:vertAlign w:val="superscript"/>
          <w:lang w:val="en-GB" w:eastAsia="en-US"/>
        </w:rPr>
        <w:t>b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Chi-square test</w:t>
      </w:r>
    </w:p>
    <w:p w14:paraId="3FF85A04">
      <w:pPr>
        <w:suppressLineNumbers/>
        <w:ind w:firstLine="320"/>
        <w:rPr>
          <w:rFonts w:ascii="Calibri" w:hAnsi="Calibri" w:cs="Calibri" w:eastAsiaTheme="minorHAnsi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sz w:val="21"/>
          <w:szCs w:val="21"/>
          <w:vertAlign w:val="superscript"/>
          <w:lang w:val="en-GB" w:eastAsia="en-US"/>
        </w:rPr>
        <w:t>c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Mann-Whitney U test</w:t>
      </w:r>
    </w:p>
    <w:p w14:paraId="439A3A0D">
      <w:pPr>
        <w:suppressLineNumbers/>
        <w:ind w:firstLine="320"/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cs="Calibri" w:eastAsiaTheme="minorHAnsi"/>
          <w:sz w:val="21"/>
          <w:szCs w:val="21"/>
          <w:vertAlign w:val="superscript"/>
          <w:lang w:val="en-GB" w:eastAsia="en-US"/>
        </w:rPr>
        <w:t>d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 Fo</w:t>
      </w:r>
      <w:r>
        <w:rPr>
          <w:rFonts w:ascii="Calibri" w:hAnsi="Calibri" w:cs="Calibri" w:eastAsiaTheme="minorHAnsi"/>
          <w:sz w:val="21"/>
          <w:szCs w:val="21"/>
        </w:rPr>
        <w:t>r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ty-one ALS patients and twelve ALS mimics were followed up</w:t>
      </w:r>
      <w:r>
        <w:rPr>
          <w:rFonts w:hint="eastAsia" w:ascii="Calibri" w:hAnsi="Calibri" w:eastAsia="宋体" w:cs="Calibri"/>
          <w:sz w:val="21"/>
          <w:szCs w:val="21"/>
        </w:rPr>
        <w:t>.</w:t>
      </w:r>
    </w:p>
    <w:p w14:paraId="48B66C58">
      <w:pPr>
        <w:suppressLineNumbers/>
        <w:ind w:firstLine="320"/>
        <w:rPr>
          <w:rFonts w:ascii="Calibri" w:hAnsi="Calibri" w:cs="Calibri" w:eastAsiaTheme="minorHAnsi"/>
          <w:sz w:val="21"/>
          <w:szCs w:val="21"/>
        </w:rPr>
      </w:pPr>
      <w:r>
        <w:rPr>
          <w:rFonts w:hint="eastAsia" w:ascii="Calibri" w:hAnsi="Calibri" w:cs="Calibri" w:eastAsiaTheme="minorHAnsi"/>
          <w:sz w:val="21"/>
          <w:szCs w:val="21"/>
        </w:rPr>
        <w:t xml:space="preserve">* </w:t>
      </w:r>
      <w:r>
        <w:rPr>
          <w:rFonts w:hint="eastAsia" w:ascii="Calibri" w:hAnsi="Calibri" w:cs="Calibri" w:eastAsiaTheme="minorEastAsia"/>
          <w:sz w:val="21"/>
          <w:szCs w:val="21"/>
        </w:rPr>
        <w:t>I</w:t>
      </w:r>
      <w:r>
        <w:rPr>
          <w:rFonts w:hint="eastAsia" w:ascii="Calibri" w:hAnsi="Calibri" w:cs="Calibri" w:eastAsiaTheme="minorHAnsi"/>
          <w:sz w:val="21"/>
          <w:szCs w:val="21"/>
        </w:rPr>
        <w:t>nc</w:t>
      </w:r>
      <w:r>
        <w:rPr>
          <w:rFonts w:hint="eastAsia" w:ascii="Calibri" w:hAnsi="Calibri" w:cs="Calibri" w:eastAsiaTheme="minorHAnsi"/>
          <w:sz w:val="21"/>
          <w:szCs w:val="21"/>
          <w:lang w:val="en-GB" w:eastAsia="en-US"/>
        </w:rPr>
        <w:t>lud</w:t>
      </w:r>
      <w:r>
        <w:rPr>
          <w:rFonts w:hint="eastAsia" w:ascii="Calibri" w:hAnsi="Calibri" w:cs="Calibri" w:eastAsiaTheme="minorEastAsia"/>
          <w:sz w:val="21"/>
          <w:szCs w:val="21"/>
          <w:lang w:val="en-GB"/>
        </w:rPr>
        <w:t>e</w:t>
      </w:r>
      <w:r>
        <w:rPr>
          <w:rFonts w:hint="eastAsia" w:ascii="Calibri" w:hAnsi="Calibri" w:cs="Calibri" w:eastAsiaTheme="minorHAnsi"/>
          <w:sz w:val="21"/>
          <w:szCs w:val="21"/>
          <w:lang w:val="en-GB" w:eastAsia="en-US"/>
        </w:rPr>
        <w:t xml:space="preserve"> 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4 chronic inflammatory demyelinating polyradiculoneuropathy </w:t>
      </w:r>
      <w:r>
        <w:rPr>
          <w:rFonts w:hint="eastAsia" w:ascii="Calibri" w:hAnsi="Calibri" w:eastAsia="宋体" w:cs="Calibri"/>
          <w:sz w:val="21"/>
          <w:szCs w:val="21"/>
        </w:rPr>
        <w:t>(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CIDP</w:t>
      </w:r>
      <w:r>
        <w:rPr>
          <w:rFonts w:hint="eastAsia" w:ascii="Calibri" w:hAnsi="Calibri" w:eastAsia="宋体" w:cs="Calibri"/>
          <w:sz w:val="21"/>
          <w:szCs w:val="21"/>
        </w:rPr>
        <w:t>)</w:t>
      </w:r>
      <w:r>
        <w:rPr>
          <w:rFonts w:hint="eastAsia" w:ascii="Calibri" w:hAnsi="Calibri" w:cs="Calibri" w:eastAsiaTheme="minorHAnsi"/>
          <w:sz w:val="21"/>
          <w:szCs w:val="21"/>
        </w:rPr>
        <w:t xml:space="preserve"> patients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, 2 multifocal motor neuropathy </w:t>
      </w:r>
      <w:r>
        <w:rPr>
          <w:rFonts w:hint="eastAsia" w:ascii="Calibri" w:hAnsi="Calibri" w:eastAsia="宋体" w:cs="Calibri"/>
          <w:sz w:val="21"/>
          <w:szCs w:val="21"/>
        </w:rPr>
        <w:t>(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MMN</w:t>
      </w:r>
      <w:r>
        <w:rPr>
          <w:rFonts w:hint="eastAsia" w:ascii="Calibri" w:hAnsi="Calibri" w:eastAsia="宋体" w:cs="Calibri"/>
          <w:sz w:val="21"/>
          <w:szCs w:val="21"/>
        </w:rPr>
        <w:t xml:space="preserve">) </w:t>
      </w:r>
      <w:r>
        <w:rPr>
          <w:rFonts w:hint="eastAsia" w:ascii="Calibri" w:hAnsi="Calibri" w:cs="Calibri" w:eastAsiaTheme="minorHAnsi"/>
          <w:sz w:val="21"/>
          <w:szCs w:val="21"/>
        </w:rPr>
        <w:t>patients.</w:t>
      </w:r>
    </w:p>
    <w:p w14:paraId="2716E00E">
      <w:pPr>
        <w:suppressLineNumbers/>
        <w:ind w:firstLine="320"/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</w:pPr>
      <w:commentRangeStart w:id="1"/>
      <w:r>
        <w:rPr>
          <w:rFonts w:hint="eastAsia" w:ascii="Calibri" w:hAnsi="Calibri" w:cs="Calibri" w:eastAsiaTheme="minorHAnsi"/>
          <w:color w:val="FF0000"/>
          <w:sz w:val="21"/>
          <w:szCs w:val="21"/>
        </w:rPr>
        <w:t>**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 The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</w:t>
      </w:r>
      <w:r>
        <w:rPr>
          <w:rFonts w:hint="eastAsia" w:ascii="Calibri" w:hAnsi="Calibri" w:cs="Calibri" w:eastAsiaTheme="minorHAnsi"/>
          <w:color w:val="FF0000"/>
          <w:sz w:val="21"/>
          <w:szCs w:val="21"/>
          <w:lang w:val="en-GB" w:eastAsia="en-US"/>
        </w:rPr>
        <w:t>ean follow-up interval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was 6.61 months for ALS patients and 7.17 months for ALS mimics.</w:t>
      </w:r>
      <w:commentRangeEnd w:id="1"/>
      <w:r>
        <w:rPr>
          <w:color w:val="FF0000"/>
        </w:rPr>
        <w:commentReference w:id="1"/>
      </w:r>
    </w:p>
    <w:p w14:paraId="4C5BF465">
      <w:pPr>
        <w:rPr>
          <w:rFonts w:ascii="Calibri" w:hAnsi="Calibri" w:eastAsia="宋体" w:cs="Calibri"/>
          <w:sz w:val="21"/>
          <w:szCs w:val="21"/>
        </w:rPr>
      </w:pPr>
    </w:p>
    <w:p w14:paraId="6529A8A2">
      <w:pPr>
        <w:rPr>
          <w:rFonts w:ascii="Calibri" w:hAnsi="Calibri" w:cs="Calibri" w:eastAsiaTheme="minorHAnsi"/>
          <w:sz w:val="21"/>
          <w:szCs w:val="21"/>
          <w:lang w:val="en-GB" w:eastAsia="en-US"/>
        </w:rPr>
      </w:pPr>
    </w:p>
    <w:p w14:paraId="2E91846B">
      <w:pPr>
        <w:rPr>
          <w:rFonts w:ascii="Calibri" w:hAnsi="Calibri" w:eastAsia="宋体" w:cs="Calibri"/>
          <w:sz w:val="21"/>
          <w:szCs w:val="21"/>
        </w:rPr>
      </w:pPr>
    </w:p>
    <w:p w14:paraId="011F3498">
      <w:pPr>
        <w:rPr>
          <w:rFonts w:ascii="Calibri" w:hAnsi="Calibri" w:eastAsia="宋体" w:cs="Calibri"/>
          <w:sz w:val="21"/>
          <w:szCs w:val="21"/>
        </w:rPr>
      </w:pPr>
    </w:p>
    <w:p w14:paraId="25C027E6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00768A45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2E46ED6E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53FE175D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28FB7FFA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7C2E0085">
      <w:pPr>
        <w:suppressLineNumbers/>
        <w:jc w:val="left"/>
        <w:rPr>
          <w:rFonts w:ascii="Calibri" w:hAnsi="Calibri" w:eastAsia="Calibri" w:cs="Calibri"/>
          <w:b/>
          <w:bCs/>
          <w:snapToGrid w:val="0"/>
          <w:spacing w:val="-2"/>
          <w:sz w:val="21"/>
          <w:szCs w:val="21"/>
          <w:lang w:val="en-GB" w:eastAsia="en-US"/>
        </w:rPr>
      </w:pPr>
    </w:p>
    <w:p w14:paraId="6FA10424">
      <w:pPr>
        <w:suppressLineNumbers/>
        <w:jc w:val="left"/>
        <w:rPr>
          <w:rFonts w:ascii="Calibri" w:hAnsi="Calibri" w:eastAsia="Calibri" w:cs="Calibri"/>
          <w:snapToGrid w:val="0"/>
          <w:spacing w:val="-2"/>
          <w:sz w:val="21"/>
          <w:szCs w:val="21"/>
          <w:lang w:val="en-GB" w:eastAsia="en-US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DE60728">
      <w:pPr>
        <w:suppressLineNumbers/>
        <w:jc w:val="left"/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</w:pPr>
      <w:commentRangeStart w:id="2"/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Table 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eastAsia="en-US"/>
        </w:rPr>
        <w:t>S</w:t>
      </w:r>
      <w:r>
        <w:rPr>
          <w:rFonts w:hint="eastAsia" w:ascii="Calibri" w:hAnsi="Calibri" w:eastAsia="宋体" w:cs="Calibri"/>
          <w:b/>
          <w:bCs/>
          <w:snapToGrid w:val="0"/>
          <w:color w:val="FF0000"/>
          <w:spacing w:val="-2"/>
          <w:sz w:val="21"/>
          <w:szCs w:val="21"/>
        </w:rPr>
        <w:t>2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 </w:t>
      </w:r>
      <w:r>
        <w:rPr>
          <w:rFonts w:hint="eastAsia" w:ascii="Calibri" w:hAnsi="Calibri" w:eastAsia="宋体" w:cs="Calibri"/>
          <w:b/>
          <w:bCs/>
          <w:snapToGrid w:val="0"/>
          <w:color w:val="FF0000"/>
          <w:spacing w:val="-2"/>
          <w:sz w:val="21"/>
          <w:szCs w:val="21"/>
        </w:rPr>
        <w:t>D</w:t>
      </w:r>
      <w:r>
        <w:rPr>
          <w:rFonts w:ascii="Calibri" w:hAnsi="Calibri" w:cs="Calibri" w:eastAsiaTheme="minorHAnsi"/>
          <w:b/>
          <w:bCs/>
          <w:color w:val="FF0000"/>
          <w:sz w:val="21"/>
          <w:szCs w:val="21"/>
          <w:lang w:val="en-GB" w:eastAsia="en-US"/>
        </w:rPr>
        <w:t>emographic and clinical data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 xml:space="preserve"> 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>between ALS subgroups whose MBHR ≤ 54.6%</w:t>
      </w:r>
      <w:commentRangeEnd w:id="2"/>
      <w:r>
        <w:rPr>
          <w:color w:val="FF0000"/>
        </w:rPr>
        <w:commentReference w:id="2"/>
      </w:r>
    </w:p>
    <w:tbl>
      <w:tblPr>
        <w:tblStyle w:val="6"/>
        <w:tblpPr w:leftFromText="180" w:rightFromText="180" w:vertAnchor="page" w:horzAnchor="page" w:tblpX="1019" w:tblpY="1981"/>
        <w:tblOverlap w:val="never"/>
        <w:tblW w:w="105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2017"/>
        <w:gridCol w:w="2070"/>
        <w:gridCol w:w="1913"/>
        <w:gridCol w:w="1987"/>
      </w:tblGrid>
      <w:tr w14:paraId="75285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9FC2738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Clinical variables</w:t>
            </w: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97974E0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d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efinite ALS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(N =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18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3856D92">
            <w:pP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robable ALS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(N =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11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C95CB9">
            <w:pP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Clinically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/>
              </w:rPr>
              <w:t xml:space="preserve">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robable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–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/>
              </w:rPr>
              <w:t xml:space="preserve"> 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L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S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ALS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(N =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6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7F6E127">
            <w:pP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ossible ALS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(N =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3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</w:tr>
      <w:tr w14:paraId="0BBAF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7439EEC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Age, mean (SD), y</w:t>
            </w:r>
          </w:p>
        </w:tc>
        <w:tc>
          <w:tcPr>
            <w:tcW w:w="20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349614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51.78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14.72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6E6F02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55.36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13.08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A56F39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50.33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7.92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A8D331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65.67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9.50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</w:tr>
      <w:tr w14:paraId="2869F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1A787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Sex, no. (%)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4AC08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550C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3724A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8549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</w:tr>
      <w:tr w14:paraId="44AB7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F2EE6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Male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6F1C6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33.33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634AD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63.64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6F96C1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16.67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F75602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66.67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156E6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BB2E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Female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E901B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12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66.67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B1EB8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36.36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66604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5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83.33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473E1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33.33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78354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6568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MGH UMNSs, mean (SD)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E25A3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 xml:space="preserve">33.00 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5.74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6DCC5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27.73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8.26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04363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27.50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6.44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6144B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23.00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11.53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</w:tr>
      <w:tr w14:paraId="3B9EB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6EF0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Disease duration, median (IQR), mo.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EB232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15.00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.00-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21.00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70D2C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12.00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13.00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0FEC4">
            <w:pPr>
              <w:suppressLineNumbers/>
              <w:jc w:val="left"/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11.50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6.75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14.75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A7E5E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38.00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7.00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NA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1AF3E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B27E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47CFE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39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35.75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42.50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BE15B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37.00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-44.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14C08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40.25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E9EEF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42.00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NA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25B17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4DE2A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vertAlign w:val="superscript"/>
                <w:lang w:val="en-GB" w:eastAsia="en-US"/>
              </w:rPr>
              <w:t>d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BB4C5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35.00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24.0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41.5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2B64C">
            <w:pPr>
              <w:jc w:val="left"/>
              <w:rPr>
                <w:rFonts w:ascii="Calibri" w:hAnsi="Calibri" w:eastAsia="宋体" w:cs="Calibr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34.00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28.50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38.25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83516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38.50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31.00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39.25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95EAB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43.00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42F4B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17508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ΔFS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vertAlign w:val="superscript"/>
                <w:lang w:val="en-GB" w:eastAsia="en-US"/>
              </w:rPr>
              <w:t>d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37FA9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1.00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1.93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54260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81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1.45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01764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67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0.98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E5235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-0.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</w:tr>
      <w:tr w14:paraId="41475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27506B">
            <w:pPr>
              <w:suppressLineNumbers/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MBHR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, mean (SD)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C44F2DD">
            <w:pPr>
              <w:suppressLineNumbers/>
              <w:jc w:val="left"/>
              <w:rPr>
                <w:rFonts w:ascii="Calibri" w:hAnsi="Calibri" w:eastAsia="宋体" w:cs="Calibr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 xml:space="preserve">35.15 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13.57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C25C188">
            <w:pPr>
              <w:suppressLineNumbers/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 xml:space="preserve">40.16 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9.79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F7E4F8D">
            <w:pPr>
              <w:suppressLineNumbers/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41.15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6.65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BBEC98F">
            <w:pPr>
              <w:suppressLineNumbers/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52.2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2.29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</w:tr>
    </w:tbl>
    <w:p w14:paraId="68ABC791">
      <w:pP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Abbreviations: ALS, amyotrophic lateral sclerosis; MGH UMNSs</w:t>
      </w:r>
      <w:r>
        <w:rPr>
          <w:rFonts w:ascii="Calibri" w:hAnsi="Calibri" w:cs="Calibri"/>
          <w:color w:val="FF0000"/>
          <w:sz w:val="21"/>
          <w:szCs w:val="21"/>
          <w:lang w:val="en-GB" w:eastAsia="en-US"/>
        </w:rPr>
        <w:t xml:space="preserve">, </w:t>
      </w:r>
      <w:r>
        <w:rPr>
          <w:rFonts w:hint="eastAsia" w:ascii="Calibri" w:hAnsi="Calibri" w:cs="Calibri" w:eastAsiaTheme="minorHAnsi"/>
          <w:color w:val="FF0000"/>
          <w:sz w:val="21"/>
          <w:szCs w:val="21"/>
          <w:lang w:val="en-GB" w:eastAsia="en-US"/>
        </w:rPr>
        <w:t>MGH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u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n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euron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; ALSFRS-R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1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at baseline; ALSFRS-R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2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at follow-up; SD, standard deviation; IQ</w:t>
      </w:r>
      <w:r>
        <w:rPr>
          <w:rFonts w:ascii="Calibri" w:hAnsi="Calibri" w:eastAsia="宋体" w:cs="Calibri"/>
          <w:color w:val="FF0000"/>
          <w:sz w:val="21"/>
          <w:szCs w:val="21"/>
        </w:rPr>
        <w:t>R, interquartile range</w:t>
      </w:r>
      <w: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  <w:t>; MBHR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, </w:t>
      </w:r>
      <w: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  <w:t>motor band hypointensity ratio</w:t>
      </w:r>
      <w:r>
        <w:rPr>
          <w:rFonts w:ascii="Calibri" w:hAnsi="Calibri" w:eastAsia="宋体" w:cs="Calibri"/>
          <w:color w:val="FF0000"/>
          <w:sz w:val="21"/>
          <w:szCs w:val="21"/>
        </w:rPr>
        <w:t>;</w:t>
      </w:r>
      <w: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  <w:t xml:space="preserve"> </w:t>
      </w:r>
      <w:r>
        <w:rPr>
          <w:rFonts w:ascii="Calibri" w:hAnsi="Calibri" w:eastAsia="宋体" w:cs="Calibri"/>
          <w:color w:val="FF0000"/>
          <w:sz w:val="21"/>
          <w:szCs w:val="21"/>
        </w:rPr>
        <w:t>NA, not available.</w:t>
      </w:r>
    </w:p>
    <w:p w14:paraId="09DE9BE6">
      <w:pPr>
        <w:rPr>
          <w:rFonts w:eastAsia="宋体"/>
          <w:color w:val="FF0000"/>
        </w:rPr>
      </w:pPr>
    </w:p>
    <w:p w14:paraId="03CC622B">
      <w:pPr>
        <w:rPr>
          <w:rFonts w:eastAsia="宋体"/>
        </w:rPr>
      </w:pPr>
    </w:p>
    <w:p w14:paraId="027E3573">
      <w:pPr>
        <w:rPr>
          <w:rFonts w:eastAsia="宋体"/>
        </w:rPr>
      </w:pPr>
    </w:p>
    <w:p w14:paraId="2FE07B44">
      <w:pPr>
        <w:rPr>
          <w:rFonts w:eastAsia="宋体"/>
        </w:rPr>
      </w:pPr>
    </w:p>
    <w:p w14:paraId="2661D2C3">
      <w:pPr>
        <w:rPr>
          <w:rFonts w:eastAsia="宋体"/>
        </w:rPr>
      </w:pPr>
    </w:p>
    <w:p w14:paraId="76165916">
      <w:pPr>
        <w:rPr>
          <w:rFonts w:eastAsia="宋体"/>
        </w:rPr>
      </w:pPr>
    </w:p>
    <w:p w14:paraId="0C79DB8C">
      <w:pPr>
        <w:rPr>
          <w:rFonts w:eastAsia="宋体"/>
        </w:rPr>
      </w:pPr>
    </w:p>
    <w:p w14:paraId="1FF3C24C">
      <w:pPr>
        <w:rPr>
          <w:rFonts w:eastAsia="宋体"/>
        </w:rPr>
      </w:pPr>
    </w:p>
    <w:p w14:paraId="6DB7358D">
      <w:pPr>
        <w:rPr>
          <w:rFonts w:eastAsia="宋体"/>
        </w:rPr>
      </w:pPr>
    </w:p>
    <w:p w14:paraId="5D3DBA53">
      <w:pPr>
        <w:rPr>
          <w:rFonts w:eastAsia="宋体"/>
        </w:rPr>
      </w:pPr>
    </w:p>
    <w:p w14:paraId="037A03A5">
      <w:pPr>
        <w:rPr>
          <w:rFonts w:eastAsia="宋体"/>
        </w:rPr>
      </w:pPr>
    </w:p>
    <w:p w14:paraId="065BC4E4">
      <w:pPr>
        <w:rPr>
          <w:rFonts w:eastAsia="宋体"/>
        </w:rPr>
      </w:pPr>
    </w:p>
    <w:p w14:paraId="46D625D5">
      <w:pPr>
        <w:rPr>
          <w:rFonts w:eastAsia="宋体"/>
        </w:rPr>
      </w:pPr>
    </w:p>
    <w:p w14:paraId="2C8B48BA">
      <w:pPr>
        <w:rPr>
          <w:rFonts w:eastAsia="宋体"/>
        </w:rPr>
      </w:pPr>
    </w:p>
    <w:p w14:paraId="7CE8418A">
      <w:pPr>
        <w:rPr>
          <w:rFonts w:eastAsia="宋体"/>
        </w:rPr>
      </w:pPr>
    </w:p>
    <w:p w14:paraId="18276037">
      <w:pPr>
        <w:rPr>
          <w:rFonts w:eastAsia="宋体"/>
        </w:rPr>
      </w:pPr>
    </w:p>
    <w:p w14:paraId="6342E9DE">
      <w:pPr>
        <w:rPr>
          <w:rFonts w:eastAsia="宋体"/>
        </w:rPr>
      </w:pPr>
    </w:p>
    <w:p w14:paraId="6B7BA688">
      <w:pPr>
        <w:rPr>
          <w:rFonts w:eastAsia="宋体"/>
        </w:rPr>
      </w:pPr>
    </w:p>
    <w:p w14:paraId="7DB9ADF6">
      <w:pPr>
        <w:rPr>
          <w:rFonts w:eastAsia="宋体"/>
        </w:rPr>
      </w:pPr>
    </w:p>
    <w:p w14:paraId="3C2DE584">
      <w:pPr>
        <w:rPr>
          <w:rFonts w:eastAsia="宋体"/>
        </w:rPr>
      </w:pPr>
    </w:p>
    <w:p w14:paraId="6F30E83F">
      <w:pPr>
        <w:jc w:val="left"/>
        <w:rPr>
          <w:lang w:val="en-GB" w:eastAsia="en-US"/>
        </w:rPr>
      </w:pPr>
    </w:p>
    <w:p w14:paraId="5C7FB237">
      <w:pPr>
        <w:tabs>
          <w:tab w:val="left" w:pos="522"/>
        </w:tabs>
        <w:jc w:val="left"/>
        <w:rPr>
          <w:rFonts w:eastAsia="宋体"/>
          <w:lang w:val="en-GB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val="en-GB"/>
        </w:rPr>
        <w:tab/>
      </w:r>
    </w:p>
    <w:p w14:paraId="60BF3AA4">
      <w:pPr>
        <w:suppressLineNumbers/>
        <w:jc w:val="left"/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</w:pP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Table 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eastAsia="en-US"/>
        </w:rPr>
        <w:t>S</w:t>
      </w:r>
      <w:r>
        <w:rPr>
          <w:rFonts w:hint="eastAsia" w:ascii="Calibri" w:hAnsi="Calibri" w:eastAsia="宋体" w:cs="Calibri"/>
          <w:b/>
          <w:bCs/>
          <w:snapToGrid w:val="0"/>
          <w:color w:val="FF0000"/>
          <w:spacing w:val="-2"/>
          <w:sz w:val="21"/>
          <w:szCs w:val="21"/>
        </w:rPr>
        <w:t>3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 The comparison of MGH UMNSs and ALSFRS-R1 between ALS subgroups</w:t>
      </w:r>
    </w:p>
    <w:tbl>
      <w:tblPr>
        <w:tblStyle w:val="6"/>
        <w:tblpPr w:leftFromText="180" w:rightFromText="180" w:vertAnchor="page" w:horzAnchor="page" w:tblpX="478" w:tblpY="1936"/>
        <w:tblOverlap w:val="never"/>
        <w:tblW w:w="103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3742"/>
        <w:gridCol w:w="2898"/>
        <w:gridCol w:w="907"/>
      </w:tblGrid>
      <w:tr w14:paraId="2C972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67FC979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Clinical variables</w:t>
            </w:r>
          </w:p>
        </w:tc>
        <w:tc>
          <w:tcPr>
            <w:tcW w:w="37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BDBBE38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Clinically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d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efinite/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robable ALS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(N = 35)</w:t>
            </w:r>
          </w:p>
        </w:tc>
        <w:tc>
          <w:tcPr>
            <w:tcW w:w="28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89C7C6F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Clinically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robable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– L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S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/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ossible ALS (N = 18)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3910A12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i/>
                <w:i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value</w:t>
            </w:r>
          </w:p>
        </w:tc>
      </w:tr>
      <w:tr w14:paraId="6531F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1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AA24C5D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MGH UMNSs, mean (SD)</w:t>
            </w:r>
          </w:p>
        </w:tc>
        <w:tc>
          <w:tcPr>
            <w:tcW w:w="3742" w:type="dxa"/>
            <w:tcBorders>
              <w:top w:val="nil"/>
              <w:left w:val="nil"/>
              <w:right w:val="nil"/>
            </w:tcBorders>
            <w:vAlign w:val="center"/>
          </w:tcPr>
          <w:p w14:paraId="4109AC42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30.94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6.08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2898" w:type="dxa"/>
            <w:tcBorders>
              <w:top w:val="nil"/>
              <w:left w:val="nil"/>
              <w:right w:val="nil"/>
            </w:tcBorders>
            <w:vAlign w:val="center"/>
          </w:tcPr>
          <w:p w14:paraId="61E4F65A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22.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83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8.54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vAlign w:val="center"/>
          </w:tcPr>
          <w:p w14:paraId="6E27C37D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0.0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28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  <w:lang w:val="en-GB" w:eastAsia="en-US"/>
              </w:rPr>
              <w:t>a</w:t>
            </w:r>
          </w:p>
        </w:tc>
      </w:tr>
      <w:tr w14:paraId="3A504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E91D013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37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EDF3F9E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39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.00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35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.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0 - 4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3.5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0)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962548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43.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 (4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2.00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- 4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.00)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0D29DBB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0.0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27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  <w:lang w:val="en-GB" w:eastAsia="en-US"/>
              </w:rPr>
              <w:t>b</w:t>
            </w:r>
          </w:p>
        </w:tc>
      </w:tr>
    </w:tbl>
    <w:p w14:paraId="3EE0D4DE">
      <w:pPr>
        <w:suppressLineNumbers/>
        <w:jc w:val="left"/>
        <w:rPr>
          <w:rFonts w:ascii="Calibri" w:hAnsi="Calibri" w:eastAsia="宋体" w:cs="Calibri"/>
          <w:snapToGrid w:val="0"/>
          <w:color w:val="FF0000"/>
          <w:spacing w:val="-2"/>
          <w:sz w:val="21"/>
          <w:szCs w:val="21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Statistical significance was defined as 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p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 &lt; 0.05.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Abbreviations: Clinically 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p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robable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 xml:space="preserve"> 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–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 xml:space="preserve"> 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L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S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 ALS,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c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linically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p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robable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l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aboratory–supported ALS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; MGH UMNSs, </w:t>
      </w:r>
      <w:r>
        <w:rPr>
          <w:rFonts w:hint="eastAsia" w:ascii="Calibri" w:hAnsi="Calibri" w:cs="Calibri" w:eastAsiaTheme="minorHAnsi"/>
          <w:color w:val="FF0000"/>
          <w:sz w:val="21"/>
          <w:szCs w:val="21"/>
          <w:lang w:val="en-GB" w:eastAsia="en-US"/>
        </w:rPr>
        <w:t>MGH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u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m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n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euron 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s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cale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s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; ALSFRS-R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1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 xml:space="preserve"> at baseline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; SD, standard deviation; IQR, interquartile range</w:t>
      </w:r>
      <w:r>
        <w:rPr>
          <w:rFonts w:hint="eastAsia" w:ascii="Calibri" w:hAnsi="Calibri" w:eastAsia="宋体" w:cs="Calibri"/>
          <w:snapToGrid w:val="0"/>
          <w:color w:val="FF0000"/>
          <w:spacing w:val="-2"/>
          <w:sz w:val="21"/>
          <w:szCs w:val="21"/>
        </w:rPr>
        <w:t>.</w:t>
      </w:r>
    </w:p>
    <w:p w14:paraId="0F2F6692">
      <w:pPr>
        <w:suppressLineNumbers/>
        <w:jc w:val="left"/>
        <w:rPr>
          <w:rFonts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</w:pP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vertAlign w:val="superscript"/>
          <w:lang w:val="en-GB" w:eastAsia="en-US"/>
        </w:rPr>
        <w:t>a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 Independent-Sample T Test</w:t>
      </w:r>
    </w:p>
    <w:p w14:paraId="5E2ED03C">
      <w:pPr>
        <w:suppressLineNumbers/>
        <w:jc w:val="left"/>
        <w:rPr>
          <w:rFonts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</w:pP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vertAlign w:val="superscript"/>
          <w:lang w:val="en-GB" w:eastAsia="en-US"/>
        </w:rPr>
        <w:t>b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 Mann-Whitney U test</w:t>
      </w:r>
    </w:p>
    <w:p w14:paraId="3C8C4D78">
      <w:pPr>
        <w:suppressLineNumbers/>
        <w:jc w:val="left"/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89B31B6">
      <w:pPr>
        <w:suppressLineNumbers/>
        <w:jc w:val="left"/>
        <w:rPr>
          <w:rFonts w:eastAsia="宋体"/>
          <w:color w:val="FF0000"/>
        </w:rPr>
      </w:pPr>
      <w:commentRangeStart w:id="3"/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Table 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eastAsia="en-US"/>
        </w:rPr>
        <w:t>S</w:t>
      </w:r>
      <w:r>
        <w:rPr>
          <w:rFonts w:hint="eastAsia" w:ascii="Calibri" w:hAnsi="Calibri" w:eastAsia="宋体" w:cs="Calibri"/>
          <w:b/>
          <w:bCs/>
          <w:snapToGrid w:val="0"/>
          <w:color w:val="FF0000"/>
          <w:spacing w:val="-2"/>
          <w:sz w:val="21"/>
          <w:szCs w:val="21"/>
        </w:rPr>
        <w:t>4</w:t>
      </w:r>
      <w:r>
        <w:rPr>
          <w:rFonts w:ascii="Calibri" w:hAnsi="Calibri" w:eastAsia="Calibri" w:cs="Calibri"/>
          <w:b/>
          <w:bCs/>
          <w:snapToGrid w:val="0"/>
          <w:color w:val="FF0000"/>
          <w:spacing w:val="-2"/>
          <w:sz w:val="21"/>
          <w:szCs w:val="21"/>
          <w:lang w:val="en-GB" w:eastAsia="en-US"/>
        </w:rPr>
        <w:t xml:space="preserve"> </w:t>
      </w:r>
      <w:r>
        <w:rPr>
          <w:rFonts w:hint="eastAsia" w:ascii="Calibri" w:hAnsi="Calibri" w:eastAsia="宋体" w:cs="Calibri"/>
          <w:b/>
          <w:bCs/>
          <w:snapToGrid w:val="0"/>
          <w:color w:val="FF0000"/>
          <w:spacing w:val="-2"/>
          <w:sz w:val="21"/>
          <w:szCs w:val="21"/>
        </w:rPr>
        <w:t>D</w:t>
      </w:r>
      <w:r>
        <w:rPr>
          <w:rFonts w:ascii="Calibri" w:hAnsi="Calibri" w:cs="Calibri" w:eastAsiaTheme="minorHAnsi"/>
          <w:b/>
          <w:bCs/>
          <w:color w:val="FF0000"/>
          <w:sz w:val="21"/>
          <w:szCs w:val="21"/>
          <w:lang w:val="en-GB" w:eastAsia="en-US"/>
        </w:rPr>
        <w:t>emographic and clinical data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 xml:space="preserve"> </w:t>
      </w:r>
      <w:r>
        <w:rPr>
          <w:rFonts w:hint="eastAsia" w:ascii="Calibri" w:hAnsi="Calibri" w:cs="Calibri" w:eastAsiaTheme="minorHAnsi"/>
          <w:b/>
          <w:bCs/>
          <w:color w:val="FF0000"/>
          <w:sz w:val="21"/>
          <w:szCs w:val="21"/>
          <w:lang w:val="en-GB" w:eastAsia="en-US"/>
        </w:rPr>
        <w:t>between patients who completed follow-up and those excluded</w:t>
      </w:r>
      <w:commentRangeEnd w:id="3"/>
      <w:r>
        <w:rPr>
          <w:color w:val="FF0000"/>
        </w:rPr>
        <w:commentReference w:id="3"/>
      </w:r>
    </w:p>
    <w:tbl>
      <w:tblPr>
        <w:tblStyle w:val="6"/>
        <w:tblpPr w:leftFromText="180" w:rightFromText="180" w:vertAnchor="page" w:horzAnchor="page" w:tblpX="1282" w:tblpY="2175"/>
        <w:tblOverlap w:val="never"/>
        <w:tblW w:w="99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3105"/>
        <w:gridCol w:w="3217"/>
        <w:gridCol w:w="1125"/>
      </w:tblGrid>
      <w:tr w14:paraId="57AF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A29556F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Clinical variables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7EFFBD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ALS patients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under f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ollow-up </w:t>
            </w:r>
          </w:p>
          <w:p w14:paraId="3D05E599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(N = 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41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50F2D84">
            <w:pPr>
              <w:suppressLineNumbers/>
              <w:jc w:val="left"/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ALS 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atients</w:t>
            </w:r>
            <w:r>
              <w:rPr>
                <w:rFonts w:hint="eastAsia"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l</w:t>
            </w:r>
            <w:r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ost to follow-up 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 xml:space="preserve"> </w:t>
            </w:r>
          </w:p>
          <w:p w14:paraId="0ADA50DD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(N = </w:t>
            </w:r>
            <w:r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  <w:t>12</w:t>
            </w:r>
            <w:r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D22277F">
            <w:pPr>
              <w:suppressLineNumbers/>
              <w:jc w:val="left"/>
              <w:rPr>
                <w:rFonts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Calibri" w:cs="Calibri"/>
                <w:b/>
                <w:bCs/>
                <w:i/>
                <w:i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p</w:t>
            </w:r>
            <w:r>
              <w:rPr>
                <w:rFonts w:hint="eastAsia" w:ascii="Calibri" w:hAnsi="Calibri" w:eastAsia="Calibri" w:cs="Calibri"/>
                <w:b/>
                <w:bCs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value</w:t>
            </w:r>
          </w:p>
        </w:tc>
      </w:tr>
      <w:tr w14:paraId="6362E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37F6387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Age, mean (SD), y</w:t>
            </w:r>
          </w:p>
        </w:tc>
        <w:tc>
          <w:tcPr>
            <w:tcW w:w="31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586A34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54.37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12.20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E97C9C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56.58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13.54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vAlign w:val="center"/>
          </w:tcPr>
          <w:p w14:paraId="22CE7C27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0.614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  <w:lang w:val="en-GB" w:eastAsia="en-US"/>
              </w:rPr>
              <w:t>a</w:t>
            </w:r>
          </w:p>
        </w:tc>
      </w:tr>
      <w:tr w14:paraId="0690D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9336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Sex, no. (%)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5A008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AF0F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9F1A6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</w:tr>
      <w:tr w14:paraId="095F3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B0785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Male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DACAB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(5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1.20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05A2B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7 (58.3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68E5C1C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0.664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  <w:vertAlign w:val="superscript"/>
              </w:rPr>
              <w:t>b</w:t>
            </w:r>
          </w:p>
        </w:tc>
      </w:tr>
      <w:tr w14:paraId="54D06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5131D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Female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3E0DB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8.80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F91E8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 xml:space="preserve">5 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(41.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70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6ED92D9E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</w:p>
        </w:tc>
      </w:tr>
      <w:tr w14:paraId="4AF2B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2952D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MGH UMNSs, mean (SD)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4B6AD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25.83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7.90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4C0B2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31.17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8.94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0B427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0.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936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  <w:lang w:val="en-GB" w:eastAsia="en-US"/>
              </w:rPr>
              <w:t>a</w:t>
            </w:r>
          </w:p>
        </w:tc>
      </w:tr>
      <w:tr w14:paraId="50329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660F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Disease duration, median (IQR), mo.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D40D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14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(7.00-2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4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.00)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2B808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6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.25-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22.50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5DAC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0.757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</w:rPr>
              <w:t>c</w:t>
            </w:r>
          </w:p>
        </w:tc>
      </w:tr>
      <w:tr w14:paraId="6A543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CFD5D">
            <w:pP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ALSFRS-R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1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, median (IQR)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BC5F2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.0 (39.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0-44.00)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48F6">
            <w:pPr>
              <w:jc w:val="left"/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</w:pP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4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.0 (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39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-44.</w:t>
            </w:r>
            <w:r>
              <w:rPr>
                <w:rFonts w:hint="eastAsia" w:ascii="Calibri" w:hAnsi="Calibri" w:eastAsia="宋体" w:cs="Calibri"/>
                <w:color w:val="FF0000"/>
                <w:sz w:val="21"/>
                <w:szCs w:val="21"/>
              </w:rPr>
              <w:t>25</w:t>
            </w:r>
            <w:r>
              <w:rPr>
                <w:rFonts w:ascii="Calibri" w:hAnsi="Calibri" w:cs="Calibri" w:eastAsiaTheme="minorHAnsi"/>
                <w:color w:val="FF0000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06A42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0.856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</w:rPr>
              <w:t>c</w:t>
            </w:r>
          </w:p>
        </w:tc>
      </w:tr>
      <w:tr w14:paraId="3157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1A88D2D">
            <w:pPr>
              <w:suppressLineNumbers/>
              <w:jc w:val="left"/>
              <w:rPr>
                <w:rFonts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MBHR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, mean (SD)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2A5067F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48.55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 xml:space="preserve"> 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16.36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32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C45C29F">
            <w:pPr>
              <w:suppressLineNumbers/>
              <w:jc w:val="left"/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40.92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(</w:t>
            </w: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16.71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lang w:val="en-GB" w:eastAsia="en-US"/>
              </w:rPr>
              <w:t>)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D9A2582">
            <w:pPr>
              <w:suppressLineNumbers/>
              <w:jc w:val="left"/>
              <w:rPr>
                <w:rFonts w:ascii="Calibri" w:hAnsi="Calibri" w:eastAsia="宋体" w:cs="Calibri"/>
                <w:b/>
                <w:bCs/>
                <w:snapToGrid w:val="0"/>
                <w:color w:val="FF0000"/>
                <w:spacing w:val="-2"/>
                <w:sz w:val="21"/>
                <w:szCs w:val="21"/>
              </w:rPr>
            </w:pPr>
            <w:r>
              <w:rPr>
                <w:rFonts w:hint="eastAsia" w:ascii="Calibri" w:hAnsi="Calibri" w:eastAsia="宋体" w:cs="Calibri"/>
                <w:snapToGrid w:val="0"/>
                <w:color w:val="FF0000"/>
                <w:spacing w:val="-2"/>
                <w:sz w:val="21"/>
                <w:szCs w:val="21"/>
              </w:rPr>
              <w:t>0.905</w:t>
            </w:r>
            <w:r>
              <w:rPr>
                <w:rFonts w:ascii="Calibri" w:hAnsi="Calibri" w:eastAsia="Calibri" w:cs="Calibri"/>
                <w:snapToGrid w:val="0"/>
                <w:color w:val="FF0000"/>
                <w:spacing w:val="-2"/>
                <w:sz w:val="21"/>
                <w:szCs w:val="21"/>
                <w:vertAlign w:val="superscript"/>
                <w:lang w:val="en-GB" w:eastAsia="en-US"/>
              </w:rPr>
              <w:t>a</w:t>
            </w:r>
          </w:p>
        </w:tc>
      </w:tr>
    </w:tbl>
    <w:p w14:paraId="53981049">
      <w:pPr>
        <w:suppressLineNumbers/>
        <w:contextualSpacing/>
        <w:rPr>
          <w:rFonts w:ascii="Calibri" w:hAnsi="Calibri" w:eastAsia="Calibri" w:cs="Calibri"/>
          <w:snapToGrid w:val="0"/>
          <w:color w:val="FF0000"/>
          <w:spacing w:val="-2"/>
          <w:sz w:val="21"/>
          <w:szCs w:val="21"/>
          <w:vertAlign w:val="superscript"/>
          <w:lang w:val="en-GB" w:eastAsia="en-US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Statistical significance was defined as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 xml:space="preserve"> p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 &lt; 0.05. Abbreviations: ALS, amyotrophic lateral sclerosis; MGH UMNSs</w:t>
      </w:r>
      <w:r>
        <w:rPr>
          <w:rFonts w:ascii="Calibri" w:hAnsi="Calibri" w:cs="Calibri"/>
          <w:color w:val="FF0000"/>
          <w:sz w:val="21"/>
          <w:szCs w:val="21"/>
          <w:lang w:val="en-GB" w:eastAsia="en-US"/>
        </w:rPr>
        <w:t xml:space="preserve">,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MGH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u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n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euron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cales; ALSFRS-R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1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, revised amyotrophic lateral sclerosis functional rating scale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at baseline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; </w:t>
      </w:r>
      <w: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  <w:t>MBHR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, </w:t>
      </w:r>
      <w:r>
        <w:rPr>
          <w:rFonts w:ascii="Calibri" w:hAnsi="Calibri" w:eastAsia="宋体" w:cs="Calibri"/>
          <w:color w:val="FF0000"/>
          <w:sz w:val="21"/>
          <w:szCs w:val="21"/>
          <w:lang w:val="en-GB" w:eastAsia="en-US"/>
        </w:rPr>
        <w:t>motor band hypointensity ratio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;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SD, standard deviation; IQR, interquartile range. </w:t>
      </w:r>
    </w:p>
    <w:p w14:paraId="777EB605">
      <w:pPr>
        <w:suppressLineNumbers/>
        <w:jc w:val="left"/>
        <w:rPr>
          <w:rFonts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</w:pP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vertAlign w:val="superscript"/>
          <w:lang w:val="en-GB" w:eastAsia="en-US"/>
        </w:rPr>
        <w:t>a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 Independent-Sample T Test</w:t>
      </w:r>
    </w:p>
    <w:p w14:paraId="73A74D37">
      <w:pPr>
        <w:suppressLineNumbers/>
        <w:jc w:val="left"/>
        <w:rPr>
          <w:rFonts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</w:pP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vertAlign w:val="superscript"/>
          <w:lang w:val="en-GB" w:eastAsia="en-US"/>
        </w:rPr>
        <w:t>b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Chi-square test</w:t>
      </w:r>
    </w:p>
    <w:p w14:paraId="16391373">
      <w:pPr>
        <w:suppressLineNumbers/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</w:pPr>
      <w:r>
        <w:rPr>
          <w:rFonts w:hint="eastAsia" w:ascii="Calibri" w:hAnsi="Calibri" w:eastAsia="宋体" w:cs="Calibri"/>
          <w:color w:val="FF0000"/>
          <w:sz w:val="21"/>
          <w:szCs w:val="21"/>
          <w:vertAlign w:val="superscript"/>
        </w:rPr>
        <w:t>c</w:t>
      </w:r>
      <w:r>
        <w:rPr>
          <w:rFonts w:ascii="Calibri" w:hAnsi="Calibri" w:cs="Calibri"/>
          <w:color w:val="FF0000"/>
          <w:sz w:val="21"/>
          <w:szCs w:val="21"/>
        </w:rPr>
        <w:t xml:space="preserve"> </w:t>
      </w:r>
      <w:r>
        <w:rPr>
          <w:rFonts w:hint="eastAsia" w:ascii="Calibri" w:hAnsi="Calibri" w:eastAsia="Calibri" w:cs="Calibri"/>
          <w:snapToGrid w:val="0"/>
          <w:color w:val="FF0000"/>
          <w:spacing w:val="-2"/>
          <w:sz w:val="21"/>
          <w:szCs w:val="21"/>
          <w:lang w:val="en-GB" w:eastAsia="en-US"/>
        </w:rPr>
        <w:t>Mann-Whitney U test</w:t>
      </w:r>
    </w:p>
    <w:p w14:paraId="4BE912A7">
      <w:pPr>
        <w:rPr>
          <w:rFonts w:eastAsia="宋体"/>
          <w:color w:val="FF0000"/>
        </w:rPr>
      </w:pPr>
    </w:p>
    <w:p w14:paraId="21D0670E">
      <w:pPr>
        <w:rPr>
          <w:rFonts w:eastAsia="宋体"/>
        </w:rPr>
      </w:pPr>
    </w:p>
    <w:p w14:paraId="23F78A68">
      <w:pPr>
        <w:rPr>
          <w:rFonts w:eastAsia="宋体"/>
        </w:rPr>
      </w:pPr>
    </w:p>
    <w:p w14:paraId="57424BAD">
      <w:pPr>
        <w:rPr>
          <w:rFonts w:eastAsia="宋体"/>
        </w:rPr>
      </w:pPr>
    </w:p>
    <w:p w14:paraId="1E1084E4">
      <w:pPr>
        <w:rPr>
          <w:rFonts w:eastAsia="宋体"/>
        </w:rPr>
      </w:pPr>
    </w:p>
    <w:p w14:paraId="676B54F4">
      <w:pPr>
        <w:rPr>
          <w:rFonts w:eastAsia="宋体"/>
        </w:rPr>
      </w:pPr>
    </w:p>
    <w:p w14:paraId="2403F3F1">
      <w:pPr>
        <w:rPr>
          <w:rFonts w:eastAsia="宋体"/>
        </w:rPr>
      </w:pPr>
    </w:p>
    <w:p w14:paraId="55D73816">
      <w:pPr>
        <w:rPr>
          <w:rFonts w:eastAsia="宋体"/>
        </w:rPr>
      </w:pPr>
    </w:p>
    <w:p w14:paraId="650E8A67">
      <w:pPr>
        <w:rPr>
          <w:rFonts w:eastAsia="宋体"/>
        </w:rPr>
      </w:pPr>
    </w:p>
    <w:p w14:paraId="58ED1303">
      <w:pPr>
        <w:rPr>
          <w:rFonts w:eastAsia="宋体"/>
        </w:rPr>
      </w:pPr>
    </w:p>
    <w:p w14:paraId="181090C8">
      <w:pPr>
        <w:rPr>
          <w:rFonts w:eastAsia="宋体"/>
        </w:rPr>
      </w:pPr>
    </w:p>
    <w:p w14:paraId="4A175B7C">
      <w:pPr>
        <w:rPr>
          <w:rFonts w:eastAsia="宋体"/>
        </w:rPr>
      </w:pPr>
    </w:p>
    <w:p w14:paraId="56F8579A">
      <w:pPr>
        <w:rPr>
          <w:rFonts w:eastAsia="宋体"/>
        </w:rPr>
      </w:pPr>
    </w:p>
    <w:p w14:paraId="087BADC3">
      <w:pPr>
        <w:rPr>
          <w:rFonts w:eastAsia="宋体"/>
        </w:rPr>
      </w:pPr>
    </w:p>
    <w:p w14:paraId="4A1B54EC">
      <w:pPr>
        <w:rPr>
          <w:rFonts w:eastAsia="宋体"/>
        </w:rPr>
      </w:pPr>
    </w:p>
    <w:p w14:paraId="53D99177">
      <w:pPr>
        <w:rPr>
          <w:rFonts w:eastAsia="宋体"/>
        </w:rPr>
      </w:pPr>
    </w:p>
    <w:p w14:paraId="76BE3B1A">
      <w:pPr>
        <w:rPr>
          <w:rFonts w:eastAsia="宋体"/>
        </w:rPr>
      </w:pPr>
    </w:p>
    <w:p w14:paraId="53A554BF">
      <w:pPr>
        <w:rPr>
          <w:rFonts w:eastAsia="宋体"/>
        </w:rPr>
      </w:pPr>
    </w:p>
    <w:p w14:paraId="68E9D737">
      <w:pPr>
        <w:rPr>
          <w:rFonts w:eastAsia="宋体"/>
        </w:rPr>
      </w:pPr>
    </w:p>
    <w:p w14:paraId="7E9C4D55">
      <w:pPr>
        <w:rPr>
          <w:rFonts w:eastAsia="宋体"/>
        </w:rPr>
      </w:pPr>
    </w:p>
    <w:p w14:paraId="656E1983">
      <w:pPr>
        <w:rPr>
          <w:rFonts w:eastAsia="宋体"/>
        </w:rPr>
      </w:pPr>
    </w:p>
    <w:p w14:paraId="41B7E03F">
      <w:pPr>
        <w:rPr>
          <w:rFonts w:eastAsia="宋体"/>
        </w:rPr>
      </w:pPr>
    </w:p>
    <w:p w14:paraId="2275F228">
      <w:pPr>
        <w:rPr>
          <w:rFonts w:eastAsia="宋体"/>
        </w:rPr>
      </w:pPr>
    </w:p>
    <w:p w14:paraId="6F1695B7">
      <w:pPr>
        <w:rPr>
          <w:rFonts w:eastAsia="宋体"/>
        </w:rPr>
      </w:pPr>
    </w:p>
    <w:p w14:paraId="00787BF8">
      <w:pPr>
        <w:rPr>
          <w:rFonts w:eastAsia="宋体"/>
        </w:rPr>
      </w:pPr>
      <w:r>
        <w:drawing>
          <wp:inline distT="0" distB="0" distL="114300" distR="114300">
            <wp:extent cx="5172075" cy="3080385"/>
            <wp:effectExtent l="0" t="0" r="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7681" t="4880" r="6959" b="4752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4BB0C">
      <w:pPr>
        <w:rPr>
          <w:rFonts w:eastAsia="宋体"/>
        </w:rPr>
      </w:pPr>
    </w:p>
    <w:p w14:paraId="24F5392F">
      <w:pPr>
        <w:rPr>
          <w:rFonts w:eastAsia="宋体"/>
          <w:b/>
          <w:bCs/>
        </w:rPr>
      </w:pPr>
      <w:r>
        <w:rPr>
          <w:rFonts w:ascii="Calibri" w:hAnsi="Calibri" w:eastAsia="宋体" w:cs="Calibri"/>
          <w:b/>
          <w:bCs/>
          <w:sz w:val="21"/>
          <w:szCs w:val="21"/>
        </w:rPr>
        <w:t>Fig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>.</w:t>
      </w:r>
      <w:r>
        <w:rPr>
          <w:rFonts w:ascii="Calibri" w:hAnsi="Calibri" w:eastAsia="宋体" w:cs="Calibri"/>
          <w:b/>
          <w:bCs/>
          <w:sz w:val="21"/>
          <w:szCs w:val="21"/>
        </w:rPr>
        <w:t xml:space="preserve"> S1 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>Flow chart of this study</w:t>
      </w:r>
    </w:p>
    <w:p w14:paraId="206731CC">
      <w:pPr>
        <w:rPr>
          <w:rFonts w:ascii="Calibri" w:hAnsi="Calibri" w:eastAsia="宋体" w:cs="Calibri"/>
          <w:sz w:val="21"/>
          <w:szCs w:val="21"/>
        </w:rPr>
      </w:pPr>
      <w:r>
        <w:rPr>
          <w:rFonts w:hint="eastAsia" w:ascii="Calibri" w:hAnsi="Calibri" w:eastAsia="宋体" w:cs="Calibri"/>
          <w:sz w:val="21"/>
          <w:szCs w:val="21"/>
        </w:rPr>
        <w:t xml:space="preserve">Abbreviations: ALS, amyotrophic lateral sclerosis; HCs, healthy controls; </w:t>
      </w:r>
      <w:bookmarkStart w:id="5" w:name="OLE_LINK9"/>
      <w:r>
        <w:rPr>
          <w:rFonts w:hint="eastAsia" w:ascii="Calibri" w:hAnsi="Calibri" w:eastAsia="宋体" w:cs="Calibri"/>
          <w:sz w:val="21"/>
          <w:szCs w:val="21"/>
        </w:rPr>
        <w:t>MRI, magnetic resonance imaging</w:t>
      </w:r>
      <w:bookmarkEnd w:id="5"/>
      <w:r>
        <w:rPr>
          <w:rFonts w:hint="eastAsia" w:ascii="Calibri" w:hAnsi="Calibri" w:eastAsia="宋体" w:cs="Calibri"/>
          <w:sz w:val="21"/>
          <w:szCs w:val="21"/>
        </w:rPr>
        <w:t>.</w:t>
      </w:r>
    </w:p>
    <w:p w14:paraId="28F1BC99">
      <w:pPr>
        <w:jc w:val="center"/>
        <w:rPr>
          <w:rFonts w:eastAsia="宋体"/>
        </w:rPr>
      </w:pPr>
    </w:p>
    <w:p w14:paraId="1576661B">
      <w:pPr>
        <w:jc w:val="center"/>
        <w:rPr>
          <w:rFonts w:eastAsia="宋体"/>
        </w:rPr>
      </w:pPr>
    </w:p>
    <w:p w14:paraId="3A37D8B4">
      <w:pPr>
        <w:jc w:val="center"/>
        <w:rPr>
          <w:rFonts w:eastAsia="宋体"/>
        </w:rPr>
      </w:pPr>
    </w:p>
    <w:p w14:paraId="3BCDCA6A">
      <w:pPr>
        <w:jc w:val="center"/>
        <w:rPr>
          <w:rFonts w:eastAsia="宋体"/>
        </w:rPr>
      </w:pPr>
    </w:p>
    <w:p w14:paraId="7701D6B6">
      <w:pPr>
        <w:jc w:val="center"/>
        <w:rPr>
          <w:rFonts w:eastAsia="宋体"/>
        </w:rPr>
      </w:pPr>
    </w:p>
    <w:p w14:paraId="44A0F393">
      <w:pPr>
        <w:jc w:val="center"/>
        <w:rPr>
          <w:rFonts w:eastAsia="宋体"/>
        </w:rPr>
      </w:pPr>
    </w:p>
    <w:p w14:paraId="1C28F5E5">
      <w:pPr>
        <w:jc w:val="center"/>
        <w:rPr>
          <w:rFonts w:eastAsia="宋体"/>
        </w:rPr>
      </w:pPr>
    </w:p>
    <w:p w14:paraId="6270A033">
      <w:pPr>
        <w:jc w:val="center"/>
        <w:rPr>
          <w:rFonts w:eastAsia="宋体"/>
        </w:rPr>
      </w:pPr>
    </w:p>
    <w:p w14:paraId="384C4CB2">
      <w:pPr>
        <w:jc w:val="center"/>
        <w:rPr>
          <w:rFonts w:eastAsia="宋体"/>
        </w:rPr>
      </w:pPr>
    </w:p>
    <w:p w14:paraId="6DF7F024">
      <w:pPr>
        <w:rPr>
          <w:rFonts w:eastAsia="宋体"/>
        </w:rPr>
      </w:pPr>
    </w:p>
    <w:p w14:paraId="698F94B4">
      <w:pPr>
        <w:rPr>
          <w:rFonts w:eastAsia="宋体"/>
        </w:rPr>
      </w:pPr>
    </w:p>
    <w:p w14:paraId="1788F23C">
      <w:pPr>
        <w:rPr>
          <w:rFonts w:ascii="Calibri" w:hAnsi="Calibri" w:eastAsia="宋体" w:cs="Calibri"/>
          <w:b/>
          <w:bCs/>
          <w:sz w:val="21"/>
          <w:szCs w:val="21"/>
        </w:rPr>
      </w:pPr>
      <w:r>
        <w:drawing>
          <wp:inline distT="0" distB="0" distL="114300" distR="114300">
            <wp:extent cx="5248910" cy="3052445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b="18290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305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F4250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eastAsia="宋体" w:cs="Calibri"/>
          <w:b/>
          <w:bCs/>
          <w:sz w:val="21"/>
          <w:szCs w:val="21"/>
        </w:rPr>
        <w:t>Fig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>.</w:t>
      </w:r>
      <w:r>
        <w:rPr>
          <w:rFonts w:ascii="Calibri" w:hAnsi="Calibri" w:eastAsia="宋体" w:cs="Calibri"/>
          <w:b/>
          <w:bCs/>
          <w:sz w:val="21"/>
          <w:szCs w:val="21"/>
        </w:rPr>
        <w:t xml:space="preserve"> 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>S2</w:t>
      </w:r>
      <w:r>
        <w:rPr>
          <w:rFonts w:ascii="Calibri" w:hAnsi="Calibri" w:eastAsia="宋体" w:cs="Calibri"/>
          <w:b/>
          <w:bCs/>
          <w:sz w:val="21"/>
          <w:szCs w:val="21"/>
        </w:rPr>
        <w:t xml:space="preserve"> </w:t>
      </w:r>
      <w:r>
        <w:rPr>
          <w:rFonts w:ascii="Calibri" w:hAnsi="Calibri" w:cs="Calibri"/>
          <w:b/>
          <w:bCs/>
          <w:sz w:val="21"/>
          <w:szCs w:val="21"/>
        </w:rPr>
        <w:t>Comparison of MBHR among ALS, ALS mimics, and HCs</w:t>
      </w:r>
      <w:r>
        <w:rPr>
          <w:rFonts w:ascii="Calibri" w:hAnsi="Calibri" w:cs="Calibri"/>
          <w:sz w:val="21"/>
          <w:szCs w:val="21"/>
        </w:rPr>
        <w:t xml:space="preserve"> </w:t>
      </w:r>
    </w:p>
    <w:p w14:paraId="193244D4">
      <w:pPr>
        <w:numPr>
          <w:ilvl w:val="255"/>
          <w:numId w:val="0"/>
        </w:numPr>
        <w:rPr>
          <w:rFonts w:ascii="Calibri" w:hAnsi="Calibri" w:eastAsia="宋体" w:cs="Calibri"/>
          <w:sz w:val="21"/>
          <w:szCs w:val="21"/>
        </w:rPr>
      </w:pPr>
      <w:r>
        <w:rPr>
          <w:rFonts w:hint="eastAsia" w:ascii="Calibri" w:hAnsi="Calibri" w:eastAsia="宋体" w:cs="Calibri"/>
          <w:sz w:val="21"/>
          <w:szCs w:val="21"/>
        </w:rPr>
        <w:t>(A)</w:t>
      </w:r>
      <w:r>
        <w:rPr>
          <w:rFonts w:ascii="Calibri" w:hAnsi="Calibri" w:cs="Calibri"/>
          <w:sz w:val="21"/>
          <w:szCs w:val="21"/>
        </w:rPr>
        <w:t xml:space="preserve"> MBHR was significantly lower in ALS patients compared to both ALS mimics (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0.0001) and HCs (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0.0001).</w:t>
      </w:r>
      <w:bookmarkStart w:id="6" w:name="OLE_LINK2"/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(B)</w:t>
      </w:r>
      <w:bookmarkEnd w:id="6"/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Subgroup analysis revealed that MBHR reductions were particularly prominent in clinically definite ALS (vs. </w:t>
      </w:r>
      <w:r>
        <w:rPr>
          <w:rFonts w:hint="eastAsia" w:ascii="Calibri" w:hAnsi="Calibri" w:eastAsia="宋体" w:cs="Calibri"/>
          <w:sz w:val="21"/>
          <w:szCs w:val="21"/>
        </w:rPr>
        <w:t xml:space="preserve">ALS </w:t>
      </w:r>
      <w:r>
        <w:rPr>
          <w:rFonts w:ascii="Calibri" w:hAnsi="Calibri" w:cs="Calibri"/>
          <w:sz w:val="21"/>
          <w:szCs w:val="21"/>
        </w:rPr>
        <w:t xml:space="preserve">mimics: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&lt; 0.0001; vs. HCs: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&lt; 0.0001) and </w:t>
      </w:r>
      <w:r>
        <w:rPr>
          <w:rFonts w:hint="eastAsia" w:ascii="Calibri" w:hAnsi="Calibri" w:eastAsia="宋体" w:cs="Calibri"/>
          <w:sz w:val="21"/>
          <w:szCs w:val="21"/>
        </w:rPr>
        <w:t>c</w:t>
      </w:r>
      <w:r>
        <w:rPr>
          <w:rFonts w:ascii="Calibri" w:hAnsi="Calibri" w:cs="Calibri"/>
          <w:sz w:val="21"/>
          <w:szCs w:val="21"/>
        </w:rPr>
        <w:t xml:space="preserve">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robable ALS (vs. </w:t>
      </w:r>
      <w:r>
        <w:rPr>
          <w:rFonts w:hint="eastAsia" w:ascii="Calibri" w:hAnsi="Calibri" w:eastAsia="宋体" w:cs="Calibri"/>
          <w:sz w:val="21"/>
          <w:szCs w:val="21"/>
        </w:rPr>
        <w:t xml:space="preserve">ALS </w:t>
      </w:r>
      <w:r>
        <w:rPr>
          <w:rFonts w:ascii="Calibri" w:hAnsi="Calibri" w:cs="Calibri"/>
          <w:sz w:val="21"/>
          <w:szCs w:val="21"/>
        </w:rPr>
        <w:t xml:space="preserve">mimics: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0.01; vs. HCs: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0.0006) </w:t>
      </w:r>
      <w:r>
        <w:rPr>
          <w:rFonts w:hint="eastAsia" w:ascii="Calibri" w:hAnsi="Calibri" w:eastAsia="宋体" w:cs="Calibri"/>
          <w:sz w:val="21"/>
          <w:szCs w:val="21"/>
        </w:rPr>
        <w:t>sub</w:t>
      </w:r>
      <w:r>
        <w:rPr>
          <w:rFonts w:ascii="Calibri" w:hAnsi="Calibri" w:cs="Calibri"/>
          <w:sz w:val="21"/>
          <w:szCs w:val="21"/>
        </w:rPr>
        <w:t>groups. However, no statistically significant differences were observed in clinically probable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–</w:t>
      </w: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hint="eastAsia" w:ascii="Calibri" w:hAnsi="Calibri" w:eastAsia="宋体" w:cs="Calibri"/>
          <w:sz w:val="21"/>
          <w:szCs w:val="21"/>
        </w:rPr>
        <w:t>LS</w:t>
      </w:r>
      <w:r>
        <w:rPr>
          <w:rFonts w:ascii="Calibri" w:hAnsi="Calibri" w:cs="Calibri"/>
          <w:sz w:val="21"/>
          <w:szCs w:val="21"/>
        </w:rPr>
        <w:t xml:space="preserve"> ALS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(vs.</w:t>
      </w:r>
      <w:r>
        <w:rPr>
          <w:rFonts w:hint="eastAsia" w:ascii="Calibri" w:hAnsi="Calibri" w:eastAsia="宋体" w:cs="Calibri"/>
          <w:sz w:val="21"/>
          <w:szCs w:val="21"/>
        </w:rPr>
        <w:t xml:space="preserve"> ALS</w:t>
      </w:r>
      <w:r>
        <w:rPr>
          <w:rFonts w:ascii="Calibri" w:hAnsi="Calibri" w:cs="Calibri"/>
          <w:sz w:val="21"/>
          <w:szCs w:val="21"/>
        </w:rPr>
        <w:t xml:space="preserve"> mimics: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0.22; vs. HCs: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0.07)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or clinically possible ALS (vs. </w:t>
      </w:r>
      <w:r>
        <w:rPr>
          <w:rFonts w:hint="eastAsia" w:ascii="Calibri" w:hAnsi="Calibri" w:eastAsia="宋体" w:cs="Calibri"/>
          <w:sz w:val="21"/>
          <w:szCs w:val="21"/>
        </w:rPr>
        <w:t xml:space="preserve">ALS </w:t>
      </w:r>
      <w:r>
        <w:rPr>
          <w:rFonts w:ascii="Calibri" w:hAnsi="Calibri" w:cs="Calibri"/>
          <w:sz w:val="21"/>
          <w:szCs w:val="21"/>
        </w:rPr>
        <w:t xml:space="preserve">mimics: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0.45; vs. HCs: 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ascii="Calibri" w:hAnsi="Calibri" w:cs="Calibri"/>
          <w:sz w:val="21"/>
          <w:szCs w:val="21"/>
        </w:rPr>
        <w:t xml:space="preserve"> = 0.28)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subgroups.</w:t>
      </w:r>
      <w:r>
        <w:rPr>
          <w:rFonts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Abbreviations: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  <w:lang w:val="en-GB" w:eastAsia="en-US"/>
        </w:rPr>
        <w:t>MBHR</w:t>
      </w:r>
      <w:r>
        <w:rPr>
          <w:rFonts w:hint="eastAsia" w:ascii="Calibri" w:hAnsi="Calibri" w:eastAsia="宋体" w:cs="Calibri"/>
          <w:sz w:val="21"/>
          <w:szCs w:val="21"/>
        </w:rPr>
        <w:t xml:space="preserve">, </w:t>
      </w:r>
      <w:r>
        <w:rPr>
          <w:rFonts w:ascii="Calibri" w:hAnsi="Calibri" w:eastAsia="宋体" w:cs="Calibri"/>
          <w:sz w:val="21"/>
          <w:szCs w:val="21"/>
          <w:lang w:val="en-GB" w:eastAsia="en-US"/>
        </w:rPr>
        <w:t>motor band hypointensity ratio</w:t>
      </w:r>
      <w:r>
        <w:rPr>
          <w:rFonts w:hint="eastAsia" w:ascii="Calibri" w:hAnsi="Calibri" w:eastAsia="宋体" w:cs="Calibri"/>
          <w:sz w:val="21"/>
          <w:szCs w:val="21"/>
        </w:rPr>
        <w:t>; ALS, amyotrophic lateral sclerosis;</w:t>
      </w:r>
      <w:r>
        <w:rPr>
          <w:rFonts w:ascii="Calibri" w:hAnsi="Calibri" w:cs="Calibri"/>
          <w:sz w:val="21"/>
          <w:szCs w:val="21"/>
        </w:rPr>
        <w:t xml:space="preserve"> HCs</w:t>
      </w:r>
      <w:r>
        <w:rPr>
          <w:rFonts w:ascii="Calibri" w:hAnsi="Calibri" w:eastAsia="宋体" w:cs="Calibri"/>
          <w:sz w:val="21"/>
          <w:szCs w:val="21"/>
        </w:rPr>
        <w:t>, healthy controls</w:t>
      </w:r>
      <w:r>
        <w:rPr>
          <w:rFonts w:hint="eastAsia" w:ascii="Calibri" w:hAnsi="Calibri" w:eastAsia="宋体" w:cs="Calibri"/>
          <w:sz w:val="21"/>
          <w:szCs w:val="21"/>
        </w:rPr>
        <w:t>; c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roba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ble</w:t>
      </w:r>
      <w:r>
        <w:rPr>
          <w:rFonts w:hint="eastAsia" w:ascii="Calibri" w:hAnsi="Calibri" w:eastAsia="宋体" w:cs="Calibri"/>
          <w:color w:val="auto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 xml:space="preserve">– </w:t>
      </w:r>
      <w:r>
        <w:rPr>
          <w:rFonts w:hint="eastAsia" w:ascii="Calibri" w:hAnsi="Calibri" w:eastAsia="宋体" w:cs="Calibri"/>
          <w:color w:val="auto"/>
          <w:sz w:val="21"/>
          <w:szCs w:val="21"/>
        </w:rPr>
        <w:t>LS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 xml:space="preserve"> ALS, </w:t>
      </w:r>
      <w:r>
        <w:rPr>
          <w:rFonts w:hint="eastAsia" w:ascii="Calibri" w:hAnsi="Calibri" w:eastAsia="宋体" w:cs="Calibri"/>
          <w:sz w:val="21"/>
          <w:szCs w:val="21"/>
        </w:rPr>
        <w:t>c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robable </w:t>
      </w:r>
      <w:r>
        <w:rPr>
          <w:rFonts w:hint="eastAsia" w:ascii="Calibri" w:hAnsi="Calibri" w:eastAsia="宋体" w:cs="Calibri"/>
          <w:sz w:val="21"/>
          <w:szCs w:val="21"/>
        </w:rPr>
        <w:t>l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aboratory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–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supported ALS</w:t>
      </w:r>
      <w:r>
        <w:rPr>
          <w:rFonts w:hint="eastAsia" w:ascii="Calibri" w:hAnsi="Calibri" w:eastAsia="宋体" w:cs="Calibri"/>
          <w:sz w:val="21"/>
          <w:szCs w:val="21"/>
        </w:rPr>
        <w:t>.</w:t>
      </w:r>
    </w:p>
    <w:p w14:paraId="763327FE">
      <w:pPr>
        <w:numPr>
          <w:ilvl w:val="255"/>
          <w:numId w:val="0"/>
        </w:num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*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i/>
          <w:iCs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0</w:t>
      </w:r>
      <w:r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eastAsia="宋体" w:cs="Calibri"/>
          <w:sz w:val="21"/>
          <w:szCs w:val="21"/>
        </w:rPr>
        <w:t xml:space="preserve">05 </w:t>
      </w:r>
      <w:r>
        <w:rPr>
          <w:rFonts w:ascii="Calibri" w:hAnsi="Calibri" w:cs="Calibri"/>
          <w:sz w:val="21"/>
          <w:szCs w:val="21"/>
        </w:rPr>
        <w:t>**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0</w:t>
      </w:r>
      <w:r>
        <w:rPr>
          <w:rFonts w:ascii="Calibri" w:hAnsi="Calibri" w:cs="Calibri"/>
          <w:sz w:val="21"/>
          <w:szCs w:val="21"/>
        </w:rPr>
        <w:t>.01 ***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0</w:t>
      </w:r>
      <w:r>
        <w:rPr>
          <w:rFonts w:ascii="Calibri" w:hAnsi="Calibri" w:cs="Calibri"/>
          <w:sz w:val="21"/>
          <w:szCs w:val="21"/>
        </w:rPr>
        <w:t>.001 ****</w:t>
      </w:r>
      <w:r>
        <w:rPr>
          <w:rFonts w:ascii="Calibri" w:hAnsi="Calibri" w:cs="Calibri"/>
          <w:i/>
          <w:iCs/>
          <w:sz w:val="21"/>
          <w:szCs w:val="21"/>
        </w:rPr>
        <w:t>p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&lt;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0</w:t>
      </w:r>
      <w:r>
        <w:rPr>
          <w:rFonts w:ascii="Calibri" w:hAnsi="Calibri" w:cs="Calibri"/>
          <w:sz w:val="21"/>
          <w:szCs w:val="21"/>
        </w:rPr>
        <w:t>.0001.</w:t>
      </w:r>
    </w:p>
    <w:p w14:paraId="509D2B8B">
      <w:pPr>
        <w:rPr>
          <w:rFonts w:eastAsia="宋体"/>
        </w:rPr>
      </w:pPr>
    </w:p>
    <w:p w14:paraId="116026B1">
      <w:pPr>
        <w:rPr>
          <w:rFonts w:eastAsia="宋体"/>
        </w:rPr>
      </w:pPr>
    </w:p>
    <w:p w14:paraId="5D95EBA9">
      <w:pPr>
        <w:rPr>
          <w:rFonts w:eastAsia="宋体"/>
        </w:rPr>
      </w:pPr>
    </w:p>
    <w:p w14:paraId="792681A0">
      <w:pPr>
        <w:rPr>
          <w:rFonts w:eastAsia="宋体"/>
        </w:rPr>
      </w:pPr>
    </w:p>
    <w:p w14:paraId="334588B8">
      <w:pPr>
        <w:rPr>
          <w:rFonts w:eastAsia="宋体"/>
        </w:rPr>
      </w:pPr>
    </w:p>
    <w:p w14:paraId="2A5EBD49">
      <w:pPr>
        <w:rPr>
          <w:rFonts w:eastAsia="宋体"/>
        </w:rPr>
      </w:pPr>
    </w:p>
    <w:p w14:paraId="4720E4B7">
      <w:pPr>
        <w:rPr>
          <w:rFonts w:eastAsia="宋体"/>
        </w:rPr>
      </w:pPr>
    </w:p>
    <w:p w14:paraId="08ED4765">
      <w:pPr>
        <w:rPr>
          <w:rFonts w:eastAsia="宋体"/>
        </w:rPr>
      </w:pPr>
    </w:p>
    <w:p w14:paraId="1F2202C5">
      <w:pPr>
        <w:rPr>
          <w:rFonts w:eastAsia="宋体"/>
        </w:rPr>
      </w:pPr>
    </w:p>
    <w:p w14:paraId="64DDD5FB">
      <w:pPr>
        <w:rPr>
          <w:rFonts w:eastAsia="宋体"/>
        </w:rPr>
      </w:pPr>
    </w:p>
    <w:p w14:paraId="6847BA4C">
      <w:pPr>
        <w:rPr>
          <w:rFonts w:eastAsia="宋体"/>
        </w:rPr>
      </w:pPr>
    </w:p>
    <w:p w14:paraId="3041BF1E">
      <w:pPr>
        <w:rPr>
          <w:rFonts w:eastAsia="宋体"/>
        </w:rPr>
      </w:pPr>
    </w:p>
    <w:p w14:paraId="31AFE36D">
      <w:pPr>
        <w:rPr>
          <w:rFonts w:eastAsia="宋体"/>
        </w:rPr>
      </w:pPr>
    </w:p>
    <w:p w14:paraId="6877C300"/>
    <w:p w14:paraId="19C72E0B"/>
    <w:p w14:paraId="0BE34032"/>
    <w:p w14:paraId="57FF3E7A"/>
    <w:p w14:paraId="330B7E4D"/>
    <w:p w14:paraId="5A1259D1"/>
    <w:p w14:paraId="45C02885">
      <w:pPr>
        <w:jc w:val="center"/>
        <w:rPr>
          <w:rFonts w:ascii="Calibri" w:hAnsi="Calibri" w:cs="Calibri"/>
          <w:b/>
          <w:bCs/>
          <w:sz w:val="21"/>
          <w:szCs w:val="21"/>
        </w:rPr>
      </w:pPr>
      <w:r>
        <w:drawing>
          <wp:inline distT="0" distB="0" distL="114300" distR="114300">
            <wp:extent cx="3847465" cy="2935605"/>
            <wp:effectExtent l="0" t="0" r="63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47465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4B337">
      <w:pPr>
        <w:rPr>
          <w:rFonts w:ascii="Calibri" w:hAnsi="Calibri" w:eastAsia="宋体" w:cs="Calibri"/>
          <w:b/>
          <w:bCs/>
          <w:color w:val="FF0000"/>
          <w:sz w:val="21"/>
          <w:szCs w:val="21"/>
        </w:rPr>
      </w:pPr>
      <w:commentRangeStart w:id="4"/>
      <w:r>
        <w:rPr>
          <w:rFonts w:ascii="Calibri" w:hAnsi="Calibri" w:cs="Calibri"/>
          <w:b/>
          <w:bCs/>
          <w:color w:val="FF0000"/>
          <w:sz w:val="21"/>
          <w:szCs w:val="21"/>
        </w:rPr>
        <w:t>Fig.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3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 Correlation analyses between MBHR 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>and age in HCs</w:t>
      </w:r>
    </w:p>
    <w:p w14:paraId="64D387D8">
      <w:pPr>
        <w:rPr>
          <w:rFonts w:ascii="Calibri" w:hAnsi="Calibri" w:cs="Calibri" w:eastAsiaTheme="minorEastAsia"/>
          <w:b/>
          <w:bCs/>
          <w:color w:val="FF0000"/>
          <w:sz w:val="21"/>
          <w:szCs w:val="21"/>
        </w:rPr>
      </w:pP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No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correlation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was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observed between MBHR and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age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in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50 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>HCs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 (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r 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= -0.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08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, 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p 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= 0.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6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0).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Abb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reviations: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MBHR, motor band hypointensity ratio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;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HCs, healthy controls</w:t>
      </w:r>
      <w:r>
        <w:rPr>
          <w:rFonts w:hint="eastAsia" w:ascii="Calibri" w:hAnsi="Calibri" w:cs="Calibri" w:eastAsiaTheme="minorEastAsia"/>
          <w:color w:val="FF0000"/>
          <w:sz w:val="21"/>
          <w:szCs w:val="21"/>
          <w:lang w:val="en-GB"/>
        </w:rPr>
        <w:t>.</w:t>
      </w:r>
      <w:commentRangeEnd w:id="4"/>
      <w:r>
        <w:rPr>
          <w:color w:val="FF0000"/>
        </w:rPr>
        <w:commentReference w:id="4"/>
      </w:r>
    </w:p>
    <w:p w14:paraId="1076FFCA"/>
    <w:p w14:paraId="1653DF17"/>
    <w:p w14:paraId="462D7444"/>
    <w:p w14:paraId="7BFD540D"/>
    <w:p w14:paraId="3CE625A2"/>
    <w:p w14:paraId="01469A3D"/>
    <w:p w14:paraId="6AB4AA70"/>
    <w:p w14:paraId="6CD1508D"/>
    <w:p w14:paraId="05F3AF1D"/>
    <w:p w14:paraId="1DFD68EF"/>
    <w:p w14:paraId="2C8657AC"/>
    <w:p w14:paraId="4D23BC95"/>
    <w:p w14:paraId="0268CD83"/>
    <w:p w14:paraId="595E710D"/>
    <w:p w14:paraId="2A476E81"/>
    <w:p w14:paraId="6A3564C9"/>
    <w:p w14:paraId="41B7A0B6"/>
    <w:p w14:paraId="7C202CAF"/>
    <w:p w14:paraId="0D518A30"/>
    <w:p w14:paraId="48E314A9"/>
    <w:p w14:paraId="77513D64"/>
    <w:p w14:paraId="1091587F"/>
    <w:p w14:paraId="6533C6DB"/>
    <w:p w14:paraId="29A5EB7E"/>
    <w:p w14:paraId="3C8319F1"/>
    <w:p w14:paraId="456E13B2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6B3036C">
      <w:pPr>
        <w:jc w:val="center"/>
        <w:rPr>
          <w:rFonts w:eastAsia="宋体"/>
        </w:rPr>
      </w:pPr>
      <w:r>
        <w:drawing>
          <wp:inline distT="0" distB="0" distL="114300" distR="114300">
            <wp:extent cx="3867150" cy="2901315"/>
            <wp:effectExtent l="0" t="0" r="0" b="38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BB22E">
      <w:pPr>
        <w:rPr>
          <w:rFonts w:ascii="Calibri" w:hAnsi="Calibri" w:cs="Calibri"/>
          <w:b/>
          <w:bCs/>
          <w:sz w:val="21"/>
          <w:szCs w:val="21"/>
        </w:rPr>
      </w:pPr>
    </w:p>
    <w:p w14:paraId="33FA9159">
      <w:pPr>
        <w:rPr>
          <w:rFonts w:ascii="Calibri" w:hAnsi="Calibri" w:cs="Calibri"/>
          <w:b/>
          <w:bCs/>
          <w:color w:val="FF0000"/>
          <w:sz w:val="21"/>
          <w:szCs w:val="21"/>
        </w:rPr>
      </w:pPr>
      <w:r>
        <w:rPr>
          <w:rFonts w:ascii="Calibri" w:hAnsi="Calibri" w:cs="Calibri"/>
          <w:b/>
          <w:bCs/>
          <w:color w:val="FF0000"/>
          <w:sz w:val="21"/>
          <w:szCs w:val="21"/>
        </w:rPr>
        <w:t>Fig.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4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 Correlation analys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>i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s between MBHR 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>and MGH UMNSs in ALS patients</w:t>
      </w:r>
    </w:p>
    <w:p w14:paraId="1682C34F">
      <w:pPr>
        <w:rPr>
          <w:rFonts w:ascii="Calibri" w:hAnsi="Calibri" w:eastAsia="宋体" w:cs="Calibri"/>
          <w:b/>
          <w:bCs/>
          <w:color w:val="FF0000"/>
          <w:sz w:val="21"/>
          <w:szCs w:val="21"/>
        </w:rPr>
      </w:pPr>
      <w:r>
        <w:rPr>
          <w:rFonts w:hint="eastAsia" w:ascii="Calibri" w:hAnsi="Calibri" w:eastAsia="宋体" w:cs="Calibri"/>
          <w:color w:val="FF0000"/>
          <w:sz w:val="21"/>
          <w:szCs w:val="21"/>
        </w:rPr>
        <w:t>A</w:t>
      </w:r>
      <w:commentRangeStart w:id="5"/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negative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correlation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was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observed between MBHR and MGH UMNSs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in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53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ALS patients (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r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 = -0.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65, </w:t>
      </w:r>
      <w:r>
        <w:rPr>
          <w:rFonts w:hint="eastAsia" w:ascii="Calibri" w:hAnsi="Calibri" w:eastAsia="宋体" w:cs="Calibri"/>
          <w:i/>
          <w:iCs/>
          <w:color w:val="FF0000"/>
          <w:sz w:val="21"/>
          <w:szCs w:val="21"/>
        </w:rPr>
        <w:t>p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 &lt; 0.0001). </w:t>
      </w:r>
      <w:commentRangeEnd w:id="5"/>
      <w:r>
        <w:rPr>
          <w:color w:val="FF0000"/>
        </w:rPr>
        <w:commentReference w:id="5"/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Abb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reviations: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MBHR, motor band hypointensity ratio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;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MGH UMNSs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, </w:t>
      </w:r>
      <w:r>
        <w:rPr>
          <w:rFonts w:hint="eastAsia" w:ascii="Calibri" w:hAnsi="Calibri" w:cs="Calibri" w:eastAsiaTheme="minorHAnsi"/>
          <w:color w:val="FF0000"/>
          <w:sz w:val="21"/>
          <w:szCs w:val="21"/>
          <w:lang w:val="en-GB" w:eastAsia="en-US"/>
        </w:rPr>
        <w:t>MGH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u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n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euron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cales;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ALS, amyotrophic lateral sclerosis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.</w:t>
      </w:r>
    </w:p>
    <w:p w14:paraId="21158E74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6EE456B">
      <w:pPr>
        <w:jc w:val="center"/>
        <w:rPr>
          <w:rFonts w:eastAsia="宋体"/>
        </w:rPr>
      </w:pPr>
      <w:r>
        <w:drawing>
          <wp:inline distT="0" distB="0" distL="114300" distR="114300">
            <wp:extent cx="3735070" cy="2858770"/>
            <wp:effectExtent l="0" t="0" r="8255" b="825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35070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7CCDA">
      <w:pPr>
        <w:rPr>
          <w:rFonts w:eastAsia="宋体"/>
        </w:rPr>
      </w:pPr>
    </w:p>
    <w:p w14:paraId="2CADB8AA">
      <w:pPr>
        <w:rPr>
          <w:rFonts w:ascii="Calibri" w:hAnsi="Calibri" w:cs="Calibri"/>
          <w:b/>
          <w:bCs/>
          <w:i/>
          <w:iCs/>
          <w:color w:val="FF0000"/>
          <w:sz w:val="21"/>
          <w:szCs w:val="21"/>
        </w:rPr>
      </w:pPr>
      <w:commentRangeStart w:id="6"/>
      <w:r>
        <w:rPr>
          <w:rFonts w:ascii="Calibri" w:hAnsi="Calibri" w:cs="Calibri"/>
          <w:b/>
          <w:bCs/>
          <w:color w:val="FF0000"/>
          <w:sz w:val="21"/>
          <w:szCs w:val="21"/>
        </w:rPr>
        <w:t>Fig.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5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 Correlation analys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</w:rPr>
        <w:t>i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s between MBHR and </w:t>
      </w:r>
      <w:r>
        <w:rPr>
          <w:rFonts w:ascii="Calibri" w:hAnsi="Calibri" w:cs="Calibri"/>
          <w:b/>
          <w:bCs/>
          <w:color w:val="FF0000"/>
          <w:sz w:val="21"/>
          <w:szCs w:val="21"/>
          <w:lang w:val="en-GB" w:eastAsia="en-US"/>
        </w:rPr>
        <w:t>ΔFS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 in ALS patients, 2 outlier patients with rapid progression w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>ere</w:t>
      </w:r>
      <w:r>
        <w:rPr>
          <w:rFonts w:ascii="Calibri" w:hAnsi="Calibri" w:cs="Calibri"/>
          <w:b/>
          <w:bCs/>
          <w:color w:val="FF0000"/>
          <w:sz w:val="21"/>
          <w:szCs w:val="21"/>
        </w:rPr>
        <w:t xml:space="preserve"> excluded</w:t>
      </w:r>
      <w:r>
        <w:rPr>
          <w:rFonts w:ascii="Calibri" w:hAnsi="Calibri" w:cs="Calibri"/>
          <w:b/>
          <w:bCs/>
          <w:i/>
          <w:iCs/>
          <w:color w:val="FF0000"/>
          <w:sz w:val="21"/>
          <w:szCs w:val="21"/>
        </w:rPr>
        <w:t xml:space="preserve"> </w:t>
      </w:r>
    </w:p>
    <w:p w14:paraId="0356E237">
      <w:pPr>
        <w:rPr>
          <w:rFonts w:eastAsia="宋体"/>
          <w:color w:val="FF0000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A strong negative correlation between MBHR and ΔFS was observed in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39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ALS patients (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r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 = -0.5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2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, </w:t>
      </w:r>
      <w:r>
        <w:rPr>
          <w:rFonts w:ascii="Calibri" w:hAnsi="Calibri" w:cs="Calibri" w:eastAsiaTheme="minorHAnsi"/>
          <w:i/>
          <w:iCs/>
          <w:color w:val="FF0000"/>
          <w:sz w:val="21"/>
          <w:szCs w:val="21"/>
          <w:lang w:val="en-GB" w:eastAsia="en-US"/>
        </w:rPr>
        <w:t>p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 = 0.000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7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)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 xml:space="preserve"> 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Abbreviations: ALS, amyotrophic lateral sclerosis; MGH UMNSs,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MGH u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pper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m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otor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n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 xml:space="preserve">euron 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s</w:t>
      </w: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cales; MBHR, motor band hypointensity ratio</w:t>
      </w:r>
      <w:r>
        <w:rPr>
          <w:rFonts w:hint="eastAsia" w:ascii="Calibri" w:hAnsi="Calibri" w:eastAsia="宋体" w:cs="Calibri"/>
          <w:color w:val="FF0000"/>
          <w:sz w:val="21"/>
          <w:szCs w:val="21"/>
        </w:rPr>
        <w:t>.</w:t>
      </w:r>
    </w:p>
    <w:commentRangeEnd w:id="6"/>
    <w:p w14:paraId="0C7D9D26">
      <w:pPr>
        <w:rPr>
          <w:rFonts w:ascii="Calibri" w:hAnsi="Calibri" w:eastAsia="宋体" w:cs="Calibri"/>
          <w:b/>
          <w:bCs/>
          <w:sz w:val="21"/>
          <w:szCs w:val="21"/>
        </w:rPr>
      </w:pPr>
      <w:r>
        <w:commentReference w:id="6"/>
      </w:r>
    </w:p>
    <w:p w14:paraId="21FF8DFE">
      <w:pPr>
        <w:rPr>
          <w:rFonts w:eastAsia="宋体"/>
        </w:rPr>
      </w:pPr>
    </w:p>
    <w:p w14:paraId="7AB42367">
      <w:pPr>
        <w:rPr>
          <w:rFonts w:eastAsia="宋体"/>
        </w:rPr>
      </w:pPr>
    </w:p>
    <w:p w14:paraId="04075CF5">
      <w:pPr>
        <w:rPr>
          <w:rFonts w:eastAsia="宋体"/>
        </w:rPr>
      </w:pPr>
    </w:p>
    <w:p w14:paraId="29C62933">
      <w:pPr>
        <w:rPr>
          <w:rFonts w:eastAsia="宋体"/>
        </w:rPr>
      </w:pPr>
      <w:r>
        <w:rPr>
          <w:rFonts w:hint="eastAsia" w:eastAsia="宋体"/>
        </w:rPr>
        <w:t xml:space="preserve"> </w:t>
      </w:r>
    </w:p>
    <w:p w14:paraId="3AE66719">
      <w:pPr>
        <w:rPr>
          <w:rFonts w:eastAsia="宋体"/>
        </w:rPr>
      </w:pPr>
    </w:p>
    <w:p w14:paraId="1C27805E">
      <w:pPr>
        <w:rPr>
          <w:rFonts w:eastAsia="宋体"/>
        </w:rPr>
      </w:pPr>
    </w:p>
    <w:p w14:paraId="7DFDCC35">
      <w:pPr>
        <w:rPr>
          <w:rFonts w:eastAsia="宋体"/>
        </w:rPr>
      </w:pPr>
    </w:p>
    <w:p w14:paraId="5C44DFCE">
      <w:pPr>
        <w:rPr>
          <w:rFonts w:eastAsia="宋体"/>
        </w:rPr>
      </w:pPr>
    </w:p>
    <w:p w14:paraId="31A3A9FC">
      <w:pPr>
        <w:rPr>
          <w:rFonts w:eastAsia="宋体"/>
        </w:rPr>
      </w:pPr>
    </w:p>
    <w:p w14:paraId="297507F6">
      <w:pPr>
        <w:rPr>
          <w:rFonts w:eastAsia="宋体"/>
        </w:rPr>
      </w:pPr>
    </w:p>
    <w:p w14:paraId="14320482">
      <w:pPr>
        <w:rPr>
          <w:rFonts w:eastAsia="宋体"/>
        </w:rPr>
      </w:pPr>
    </w:p>
    <w:p w14:paraId="5ACFFA75">
      <w:pPr>
        <w:rPr>
          <w:rFonts w:eastAsia="宋体"/>
        </w:rPr>
      </w:pPr>
    </w:p>
    <w:p w14:paraId="494A877A">
      <w:pPr>
        <w:rPr>
          <w:rFonts w:eastAsia="宋体"/>
        </w:rPr>
      </w:pPr>
    </w:p>
    <w:p w14:paraId="34191668">
      <w:pPr>
        <w:rPr>
          <w:rFonts w:eastAsia="宋体"/>
        </w:rPr>
      </w:pPr>
    </w:p>
    <w:p w14:paraId="130F0347">
      <w:pPr>
        <w:rPr>
          <w:rFonts w:eastAsia="宋体"/>
        </w:rPr>
      </w:pPr>
    </w:p>
    <w:p w14:paraId="0EC88DA5">
      <w:pPr>
        <w:rPr>
          <w:rFonts w:eastAsia="宋体"/>
        </w:rPr>
      </w:pPr>
    </w:p>
    <w:p w14:paraId="741BEDFB">
      <w:pPr>
        <w:rPr>
          <w:rFonts w:eastAsia="宋体"/>
        </w:rPr>
      </w:pPr>
    </w:p>
    <w:p w14:paraId="7DED7800">
      <w:pPr>
        <w:rPr>
          <w:rFonts w:eastAsia="宋体"/>
        </w:rPr>
      </w:pPr>
    </w:p>
    <w:p w14:paraId="3A66E486">
      <w:pPr>
        <w:rPr>
          <w:rFonts w:eastAsia="宋体"/>
        </w:rPr>
      </w:pPr>
    </w:p>
    <w:p w14:paraId="45C297EB">
      <w:pPr>
        <w:rPr>
          <w:rFonts w:eastAsia="宋体"/>
        </w:rPr>
      </w:pPr>
    </w:p>
    <w:p w14:paraId="035E5DDD">
      <w:pPr>
        <w:rPr>
          <w:rFonts w:eastAsia="宋体"/>
        </w:rPr>
      </w:pPr>
    </w:p>
    <w:p w14:paraId="0A984C5D">
      <w:pPr>
        <w:rPr>
          <w:rFonts w:eastAsia="宋体"/>
        </w:rPr>
      </w:pPr>
    </w:p>
    <w:p w14:paraId="4D18DC9D">
      <w:pPr>
        <w:rPr>
          <w:rFonts w:eastAsia="宋体"/>
        </w:rPr>
      </w:pPr>
    </w:p>
    <w:p w14:paraId="7E3E33BF">
      <w:pPr>
        <w:rPr>
          <w:rFonts w:eastAsia="宋体"/>
        </w:rPr>
      </w:pPr>
      <w:r>
        <w:drawing>
          <wp:inline distT="0" distB="0" distL="114300" distR="114300">
            <wp:extent cx="5274310" cy="2966720"/>
            <wp:effectExtent l="0" t="0" r="2540" b="508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A58DF">
      <w:pPr>
        <w:rPr>
          <w:rFonts w:ascii="Calibri" w:hAnsi="Calibri" w:cs="Calibri"/>
          <w:b/>
          <w:bCs/>
          <w:color w:val="FF0000"/>
          <w:sz w:val="21"/>
          <w:szCs w:val="21"/>
        </w:rPr>
      </w:pPr>
      <w:commentRangeStart w:id="7"/>
      <w:r>
        <w:rPr>
          <w:rFonts w:ascii="Calibri" w:hAnsi="Calibri" w:cs="Calibri"/>
          <w:b/>
          <w:bCs/>
          <w:color w:val="FF0000"/>
          <w:sz w:val="21"/>
          <w:szCs w:val="21"/>
        </w:rPr>
        <w:t>Fig.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6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7T and 3T SWI images of 4 ALS patients</w:t>
      </w:r>
    </w:p>
    <w:p w14:paraId="1F42BBBA">
      <w:pP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Upper panels A-D display 7T SWI images from four ALS patients with post-evaluation confirmation of MBS (white boxes). Corresponding 3T SWI images (lower panels) demonstrate discernible MBS in Patients A and D.</w:t>
      </w:r>
      <w:commentRangeEnd w:id="7"/>
      <w:r>
        <w:rPr>
          <w:color w:val="FF0000"/>
        </w:rPr>
        <w:commentReference w:id="7"/>
      </w:r>
    </w:p>
    <w:p w14:paraId="51B7FF9C">
      <w:pPr>
        <w:rPr>
          <w:rFonts w:eastAsia="宋体"/>
        </w:rPr>
      </w:pPr>
    </w:p>
    <w:p w14:paraId="1DA36E30">
      <w:pPr>
        <w:rPr>
          <w:rFonts w:eastAsia="宋体"/>
        </w:rPr>
      </w:pPr>
    </w:p>
    <w:p w14:paraId="56918A70">
      <w:pPr>
        <w:rPr>
          <w:rFonts w:eastAsia="宋体"/>
        </w:rPr>
      </w:pPr>
    </w:p>
    <w:p w14:paraId="06CDA36B">
      <w:pPr>
        <w:rPr>
          <w:rFonts w:eastAsia="宋体"/>
        </w:rPr>
      </w:pPr>
    </w:p>
    <w:p w14:paraId="1E1B59AD">
      <w:pPr>
        <w:rPr>
          <w:rFonts w:eastAsia="宋体"/>
        </w:rPr>
      </w:pPr>
    </w:p>
    <w:p w14:paraId="75327C59">
      <w:pPr>
        <w:rPr>
          <w:rFonts w:eastAsia="宋体"/>
        </w:rPr>
      </w:pPr>
    </w:p>
    <w:p w14:paraId="1C24A19E">
      <w:pPr>
        <w:rPr>
          <w:rFonts w:eastAsia="宋体"/>
        </w:rPr>
      </w:pPr>
    </w:p>
    <w:p w14:paraId="2724001D">
      <w:pPr>
        <w:rPr>
          <w:rFonts w:eastAsia="宋体"/>
        </w:rPr>
      </w:pPr>
    </w:p>
    <w:p w14:paraId="1F02DBB0">
      <w:pPr>
        <w:rPr>
          <w:rFonts w:eastAsia="宋体"/>
        </w:rPr>
      </w:pPr>
    </w:p>
    <w:p w14:paraId="68F7C739">
      <w:pPr>
        <w:rPr>
          <w:rFonts w:eastAsia="宋体"/>
        </w:rPr>
      </w:pPr>
    </w:p>
    <w:p w14:paraId="5B4C194F">
      <w:pPr>
        <w:rPr>
          <w:rFonts w:eastAsia="宋体"/>
        </w:rPr>
      </w:pPr>
    </w:p>
    <w:p w14:paraId="1E3F86EE">
      <w:pPr>
        <w:rPr>
          <w:rFonts w:eastAsia="宋体"/>
        </w:rPr>
      </w:pPr>
    </w:p>
    <w:p w14:paraId="14EEFBBC">
      <w:pPr>
        <w:rPr>
          <w:rFonts w:eastAsia="宋体"/>
        </w:rPr>
      </w:pPr>
    </w:p>
    <w:p w14:paraId="1FCD3599">
      <w:pPr>
        <w:rPr>
          <w:rFonts w:eastAsia="宋体"/>
        </w:rPr>
      </w:pPr>
      <w:r>
        <w:drawing>
          <wp:inline distT="0" distB="0" distL="114300" distR="114300">
            <wp:extent cx="5274310" cy="2966720"/>
            <wp:effectExtent l="0" t="0" r="2540" b="508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43EAC">
      <w:pPr>
        <w:rPr>
          <w:rFonts w:ascii="Calibri" w:hAnsi="Calibri" w:cs="Calibri"/>
          <w:b/>
          <w:bCs/>
          <w:color w:val="FF0000"/>
          <w:sz w:val="21"/>
          <w:szCs w:val="21"/>
        </w:rPr>
      </w:pPr>
      <w:commentRangeStart w:id="8"/>
      <w:r>
        <w:rPr>
          <w:rFonts w:ascii="Calibri" w:hAnsi="Calibri" w:cs="Calibri"/>
          <w:b/>
          <w:bCs/>
          <w:color w:val="FF0000"/>
          <w:sz w:val="21"/>
          <w:szCs w:val="21"/>
        </w:rPr>
        <w:t>Fig.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7</w:t>
      </w:r>
      <w:r>
        <w:rPr>
          <w:rFonts w:hint="eastAsia" w:ascii="Calibri" w:hAnsi="Calibri" w:cs="Calibri"/>
          <w:b/>
          <w:bCs/>
          <w:color w:val="FF0000"/>
          <w:sz w:val="21"/>
          <w:szCs w:val="21"/>
        </w:rPr>
        <w:t xml:space="preserve"> 7T and 3T SWI images of other 4 ALS patients </w:t>
      </w:r>
    </w:p>
    <w:p w14:paraId="71A639A5">
      <w:pP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</w:pPr>
      <w:r>
        <w:rPr>
          <w:rFonts w:ascii="Calibri" w:hAnsi="Calibri" w:cs="Calibri" w:eastAsiaTheme="minorHAnsi"/>
          <w:color w:val="FF0000"/>
          <w:sz w:val="21"/>
          <w:szCs w:val="21"/>
          <w:lang w:val="en-GB" w:eastAsia="en-US"/>
        </w:rPr>
        <w:t>Panels A-D display 7T SWI images from four ALS patients. Post-evaluation, MBS (white boxes) were identified in Patients A-C but absent in Patient D. Corresponding 3T SWI images (lower panel) revealed discernible MBS only in Patients B and C.</w:t>
      </w:r>
      <w:commentRangeEnd w:id="8"/>
      <w:r>
        <w:rPr>
          <w:color w:val="FF0000"/>
        </w:rPr>
        <w:commentReference w:id="8"/>
      </w:r>
    </w:p>
    <w:p w14:paraId="12CDF28F">
      <w:pPr>
        <w:rPr>
          <w:rFonts w:eastAsia="宋体"/>
        </w:rPr>
      </w:pPr>
    </w:p>
    <w:p w14:paraId="4115855A">
      <w:pPr>
        <w:rPr>
          <w:rFonts w:eastAsia="宋体"/>
        </w:rPr>
      </w:pPr>
    </w:p>
    <w:p w14:paraId="64CAB64B">
      <w:pPr>
        <w:rPr>
          <w:rFonts w:eastAsia="宋体"/>
        </w:rPr>
      </w:pPr>
    </w:p>
    <w:p w14:paraId="43442729">
      <w:pPr>
        <w:rPr>
          <w:rFonts w:eastAsia="宋体"/>
        </w:rPr>
      </w:pPr>
    </w:p>
    <w:p w14:paraId="48D4DFAF">
      <w:pPr>
        <w:rPr>
          <w:rFonts w:eastAsia="宋体"/>
        </w:rPr>
      </w:pPr>
    </w:p>
    <w:p w14:paraId="4CABA023">
      <w:pPr>
        <w:rPr>
          <w:rFonts w:eastAsia="宋体"/>
        </w:rPr>
      </w:pPr>
    </w:p>
    <w:p w14:paraId="7606BC41">
      <w:pPr>
        <w:rPr>
          <w:rFonts w:eastAsia="宋体"/>
        </w:rPr>
      </w:pPr>
    </w:p>
    <w:p w14:paraId="71040031">
      <w:pPr>
        <w:rPr>
          <w:rFonts w:eastAsia="宋体"/>
        </w:rPr>
      </w:pPr>
    </w:p>
    <w:p w14:paraId="3C40C245">
      <w:pPr>
        <w:rPr>
          <w:rFonts w:eastAsia="宋体"/>
        </w:rPr>
      </w:pPr>
    </w:p>
    <w:p w14:paraId="216F9443">
      <w:pPr>
        <w:rPr>
          <w:rFonts w:eastAsia="宋体"/>
        </w:rPr>
      </w:pPr>
    </w:p>
    <w:p w14:paraId="5D9468F1">
      <w:pPr>
        <w:rPr>
          <w:rFonts w:eastAsia="宋体"/>
        </w:rPr>
      </w:pPr>
    </w:p>
    <w:p w14:paraId="5DF4724D">
      <w:pPr>
        <w:rPr>
          <w:rFonts w:eastAsia="宋体"/>
        </w:rPr>
      </w:pPr>
    </w:p>
    <w:p w14:paraId="26DB7295">
      <w:pPr>
        <w:rPr>
          <w:rFonts w:eastAsia="宋体"/>
        </w:rPr>
      </w:pPr>
    </w:p>
    <w:p w14:paraId="1FF97AC1">
      <w:pPr>
        <w:rPr>
          <w:rFonts w:eastAsia="宋体"/>
        </w:rPr>
      </w:pPr>
    </w:p>
    <w:p w14:paraId="4129F3CD">
      <w:pPr>
        <w:rPr>
          <w:rFonts w:eastAsia="宋体"/>
        </w:rPr>
      </w:pPr>
    </w:p>
    <w:p w14:paraId="1C499076">
      <w:pPr>
        <w:rPr>
          <w:rFonts w:eastAsia="宋体"/>
        </w:rPr>
      </w:pPr>
    </w:p>
    <w:p w14:paraId="60E7D3F9">
      <w:pPr>
        <w:rPr>
          <w:rFonts w:eastAsia="宋体"/>
        </w:rPr>
      </w:pPr>
    </w:p>
    <w:p w14:paraId="296EB569">
      <w:pPr>
        <w:rPr>
          <w:rFonts w:eastAsia="宋体"/>
        </w:rPr>
      </w:pPr>
    </w:p>
    <w:p w14:paraId="1C25E30B">
      <w:pPr>
        <w:rPr>
          <w:rFonts w:eastAsia="宋体"/>
        </w:rPr>
      </w:pPr>
    </w:p>
    <w:p w14:paraId="59B5E8AC">
      <w:pPr>
        <w:rPr>
          <w:rFonts w:eastAsia="宋体"/>
        </w:rPr>
      </w:pPr>
    </w:p>
    <w:p w14:paraId="30B3600E">
      <w:pPr>
        <w:rPr>
          <w:rFonts w:eastAsia="宋体"/>
        </w:rPr>
      </w:pPr>
    </w:p>
    <w:p w14:paraId="306BF605">
      <w:pPr>
        <w:rPr>
          <w:rFonts w:eastAsia="宋体"/>
        </w:rPr>
      </w:pPr>
    </w:p>
    <w:p w14:paraId="2787099F">
      <w:pPr>
        <w:rPr>
          <w:rFonts w:eastAsia="宋体"/>
        </w:rPr>
      </w:pPr>
    </w:p>
    <w:p w14:paraId="7B799543">
      <w:pPr>
        <w:rPr>
          <w:rFonts w:eastAsia="宋体"/>
        </w:rPr>
      </w:pPr>
    </w:p>
    <w:p w14:paraId="3A9F56F3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7960" cy="4712970"/>
            <wp:effectExtent l="0" t="0" r="8890" b="1905"/>
            <wp:docPr id="19" name="图片 19" descr="e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Figure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57BAA">
      <w:pPr>
        <w:rPr>
          <w:rFonts w:eastAsia="宋体"/>
        </w:rPr>
      </w:pPr>
    </w:p>
    <w:p w14:paraId="0D0AD370">
      <w:pPr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eastAsia="宋体" w:cs="Calibri"/>
          <w:b/>
          <w:bCs/>
          <w:sz w:val="21"/>
          <w:szCs w:val="21"/>
        </w:rPr>
        <w:t>Fig.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8</w:t>
      </w:r>
      <w:r>
        <w:rPr>
          <w:rFonts w:hint="eastAsia" w:ascii="Calibri" w:hAnsi="Calibri" w:eastAsia="宋体" w:cs="Calibri"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Motor band sign in 7T SWI (</w:t>
      </w:r>
      <w:r>
        <w:rPr>
          <w:rFonts w:hint="eastAsia" w:ascii="Calibri" w:hAnsi="Calibri" w:eastAsia="宋体" w:cs="Calibri"/>
          <w:sz w:val="21"/>
          <w:szCs w:val="21"/>
        </w:rPr>
        <w:t>1</w:t>
      </w:r>
      <w:r>
        <w:rPr>
          <w:rFonts w:ascii="Calibri" w:hAnsi="Calibri" w:eastAsia="宋体" w:cs="Calibri"/>
          <w:sz w:val="21"/>
          <w:szCs w:val="21"/>
        </w:rPr>
        <w:t>)</w:t>
      </w:r>
    </w:p>
    <w:p w14:paraId="53AFA69C">
      <w:pPr>
        <w:rPr>
          <w:rFonts w:ascii="Calibri" w:hAnsi="Calibri" w:eastAsia="宋体" w:cs="Calibri"/>
          <w:sz w:val="21"/>
          <w:szCs w:val="21"/>
        </w:rPr>
      </w:pPr>
      <w:r>
        <w:rPr>
          <w:rFonts w:hint="eastAsia" w:ascii="Calibri" w:hAnsi="Calibri" w:eastAsia="宋体" w:cs="Calibri"/>
          <w:sz w:val="21"/>
          <w:szCs w:val="21"/>
        </w:rPr>
        <w:t>(A)-(R) Clinically definite ALS patients.</w:t>
      </w:r>
    </w:p>
    <w:p w14:paraId="6A030EA6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4784688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01A0617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ED1479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9387422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A466AF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E0F606F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2DF17F5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252CD504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60E7A577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5A9377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13CBBD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2C71A47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0060B4F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4121CB2"/>
    <w:p w14:paraId="41F13649">
      <w:pPr>
        <w:rPr>
          <w:rFonts w:ascii="Arial" w:hAnsi="Arial" w:eastAsia="宋体" w:cs="Arial"/>
          <w:b/>
          <w:bCs/>
          <w:sz w:val="22"/>
          <w:szCs w:val="22"/>
        </w:rPr>
      </w:pPr>
      <w:r>
        <w:rPr>
          <w:rFonts w:hint="eastAsia" w:ascii="Arial" w:hAnsi="Arial" w:eastAsia="宋体" w:cs="Arial"/>
          <w:b/>
          <w:bCs/>
          <w:sz w:val="22"/>
          <w:szCs w:val="22"/>
        </w:rPr>
        <w:drawing>
          <wp:inline distT="0" distB="0" distL="114300" distR="114300">
            <wp:extent cx="5274310" cy="4483100"/>
            <wp:effectExtent l="0" t="0" r="2540" b="3175"/>
            <wp:docPr id="16" name="图片 16" descr="eFigur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Figure4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91A36">
      <w:pPr>
        <w:jc w:val="left"/>
        <w:rPr>
          <w:rFonts w:ascii="Arial" w:hAnsi="Arial" w:eastAsia="宋体" w:cs="Arial"/>
          <w:b/>
          <w:bCs/>
        </w:rPr>
      </w:pPr>
    </w:p>
    <w:p w14:paraId="7FF2EE9E">
      <w:pPr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eastAsia="宋体" w:cs="Calibri"/>
          <w:b/>
          <w:bCs/>
          <w:sz w:val="21"/>
          <w:szCs w:val="21"/>
        </w:rPr>
        <w:t>Fig.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9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Motor band sign in 7T SWI (</w:t>
      </w:r>
      <w:r>
        <w:rPr>
          <w:rFonts w:hint="eastAsia" w:ascii="Calibri" w:hAnsi="Calibri" w:eastAsia="宋体" w:cs="Calibri"/>
          <w:sz w:val="21"/>
          <w:szCs w:val="21"/>
        </w:rPr>
        <w:t>2</w:t>
      </w:r>
      <w:r>
        <w:rPr>
          <w:rFonts w:ascii="Calibri" w:hAnsi="Calibri" w:eastAsia="宋体" w:cs="Calibri"/>
          <w:sz w:val="21"/>
          <w:szCs w:val="21"/>
        </w:rPr>
        <w:t>)</w:t>
      </w:r>
    </w:p>
    <w:p w14:paraId="397A7B04">
      <w:pPr>
        <w:numPr>
          <w:ilvl w:val="255"/>
          <w:numId w:val="0"/>
        </w:numPr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eastAsia="宋体" w:cs="Calibri"/>
          <w:sz w:val="21"/>
          <w:szCs w:val="21"/>
        </w:rPr>
        <w:t>(A)</w:t>
      </w:r>
      <w:r>
        <w:rPr>
          <w:rFonts w:hint="eastAsia" w:ascii="Calibri" w:hAnsi="Calibri" w:eastAsia="宋体" w:cs="Calibri"/>
          <w:sz w:val="21"/>
          <w:szCs w:val="21"/>
        </w:rPr>
        <w:t>-(K) Clinically probable ALS patients.</w:t>
      </w:r>
    </w:p>
    <w:p w14:paraId="5CC0C698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FC523CB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F9ADEF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2DABE00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5CDC37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DFB854B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6C6C5FE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AEADF7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1A7AD07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45B56481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6ED3069F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2D8AD68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83B9F5A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E5A0CE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BF82E1D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42F207E4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ED2F3B9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B41D596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23E40A3">
      <w:pPr>
        <w:rPr>
          <w:rFonts w:ascii="Arial" w:hAnsi="Arial" w:eastAsia="宋体" w:cs="Arial"/>
          <w:b/>
          <w:bCs/>
          <w:sz w:val="22"/>
          <w:szCs w:val="22"/>
        </w:rPr>
      </w:pPr>
      <w:r>
        <w:rPr>
          <w:rFonts w:hint="eastAsia" w:ascii="Arial" w:hAnsi="Arial" w:eastAsia="宋体" w:cs="Arial"/>
          <w:b/>
          <w:bCs/>
          <w:sz w:val="22"/>
          <w:szCs w:val="22"/>
        </w:rPr>
        <w:drawing>
          <wp:inline distT="0" distB="0" distL="114300" distR="114300">
            <wp:extent cx="5270500" cy="2395855"/>
            <wp:effectExtent l="0" t="0" r="6350" b="4445"/>
            <wp:docPr id="14" name="图片 14" descr="eFigure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Figure5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0DE54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A27386A">
      <w:pPr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eastAsia="宋体" w:cs="Calibri"/>
          <w:b/>
          <w:bCs/>
          <w:sz w:val="21"/>
          <w:szCs w:val="21"/>
        </w:rPr>
        <w:t>Fig. S</w:t>
      </w:r>
      <w:r>
        <w:rPr>
          <w:rFonts w:hint="eastAsia" w:ascii="Calibri" w:hAnsi="Calibri" w:eastAsia="宋体" w:cs="Calibri"/>
          <w:b/>
          <w:bCs/>
          <w:color w:val="FF0000"/>
          <w:sz w:val="21"/>
          <w:szCs w:val="21"/>
          <w:lang w:val="en-US" w:eastAsia="zh-CN"/>
        </w:rPr>
        <w:t>10</w:t>
      </w:r>
      <w:r>
        <w:rPr>
          <w:rFonts w:hint="eastAsia" w:ascii="Calibri" w:hAnsi="Calibri" w:eastAsia="宋体" w:cs="Calibri"/>
          <w:b/>
          <w:bCs/>
          <w:sz w:val="21"/>
          <w:szCs w:val="21"/>
        </w:rPr>
        <w:t xml:space="preserve"> </w:t>
      </w:r>
      <w:r>
        <w:rPr>
          <w:rFonts w:ascii="Calibri" w:hAnsi="Calibri" w:eastAsia="宋体" w:cs="Calibri"/>
          <w:sz w:val="21"/>
          <w:szCs w:val="21"/>
        </w:rPr>
        <w:t>Motor band sign in 7T SWI (3)</w:t>
      </w:r>
    </w:p>
    <w:p w14:paraId="5BE28770">
      <w:pPr>
        <w:rPr>
          <w:rFonts w:ascii="Calibri" w:hAnsi="Calibri" w:eastAsia="宋体" w:cs="Calibri"/>
          <w:sz w:val="21"/>
          <w:szCs w:val="21"/>
        </w:rPr>
      </w:pPr>
      <w:r>
        <w:rPr>
          <w:rFonts w:ascii="Calibri" w:hAnsi="Calibri" w:eastAsia="宋体" w:cs="Calibri"/>
          <w:sz w:val="21"/>
          <w:szCs w:val="21"/>
        </w:rPr>
        <w:t>(A)</w:t>
      </w:r>
      <w:r>
        <w:rPr>
          <w:rFonts w:hint="eastAsia" w:ascii="Calibri" w:hAnsi="Calibri" w:eastAsia="宋体" w:cs="Calibri"/>
          <w:sz w:val="21"/>
          <w:szCs w:val="21"/>
        </w:rPr>
        <w:t>-(F) c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linically </w:t>
      </w:r>
      <w:r>
        <w:rPr>
          <w:rFonts w:hint="eastAsia" w:ascii="Calibri" w:hAnsi="Calibri" w:eastAsia="宋体" w:cs="Calibri"/>
          <w:sz w:val="21"/>
          <w:szCs w:val="21"/>
        </w:rPr>
        <w:t>p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 xml:space="preserve">robable </w:t>
      </w:r>
      <w:r>
        <w:rPr>
          <w:rFonts w:hint="eastAsia" w:ascii="Calibri" w:hAnsi="Calibri" w:eastAsia="宋体" w:cs="Calibri"/>
          <w:sz w:val="21"/>
          <w:szCs w:val="21"/>
        </w:rPr>
        <w:t>l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aboratory</w:t>
      </w:r>
      <w:r>
        <w:rPr>
          <w:rFonts w:ascii="Calibri" w:hAnsi="Calibri" w:cs="Calibri" w:eastAsiaTheme="minorHAnsi"/>
          <w:color w:val="auto"/>
          <w:sz w:val="21"/>
          <w:szCs w:val="21"/>
          <w:lang w:val="en-GB" w:eastAsia="en-US"/>
        </w:rPr>
        <w:t>–</w:t>
      </w:r>
      <w:r>
        <w:rPr>
          <w:rFonts w:ascii="Calibri" w:hAnsi="Calibri" w:cs="Calibri" w:eastAsiaTheme="minorHAnsi"/>
          <w:sz w:val="21"/>
          <w:szCs w:val="21"/>
          <w:lang w:val="en-GB" w:eastAsia="en-US"/>
        </w:rPr>
        <w:t>supported ALS</w:t>
      </w:r>
      <w:r>
        <w:rPr>
          <w:rFonts w:hint="eastAsia" w:ascii="Calibri" w:hAnsi="Calibri" w:eastAsia="宋体" w:cs="Calibri"/>
          <w:sz w:val="21"/>
          <w:szCs w:val="21"/>
        </w:rPr>
        <w:t xml:space="preserve"> patients; (G)-(I) Clinically possible ALS patients.</w:t>
      </w:r>
    </w:p>
    <w:p w14:paraId="709884F5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19DDF6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8EAE9BA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4AC6EEB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67189643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4C1B9D58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5BAF2DA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26D6AE7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CF8D1BB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8CB7491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9B85E6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21D1DCE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0274F7B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F63EFBA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A0ECA8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D2DE55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F076C9E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F4F9E5B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53CEBB1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A2843C3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36DB3D17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92A376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5AB26E59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78C5DA7C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F5486F9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1ABB2540">
      <w:pPr>
        <w:rPr>
          <w:rFonts w:ascii="Arial" w:hAnsi="Arial" w:eastAsia="宋体" w:cs="Arial"/>
          <w:b/>
          <w:bCs/>
          <w:sz w:val="22"/>
          <w:szCs w:val="22"/>
        </w:rPr>
      </w:pPr>
    </w:p>
    <w:p w14:paraId="014C1361">
      <w:pPr>
        <w:rPr>
          <w:rFonts w:ascii="Arial" w:hAnsi="Arial" w:eastAsia="宋体" w:cs="Arial"/>
          <w:b/>
          <w:bCs/>
          <w:sz w:val="22"/>
          <w:szCs w:val="22"/>
        </w:rPr>
      </w:pPr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healing  " w:date="2025-04-14T02:10:00Z" w:initials="">
    <w:p w14:paraId="59BCAABE">
      <w:pPr>
        <w:pStyle w:val="3"/>
        <w:rPr>
          <w:rFonts w:eastAsia="宋体"/>
        </w:rPr>
      </w:pPr>
      <w:r>
        <w:rPr>
          <w:rFonts w:eastAsia="宋体"/>
        </w:rPr>
        <w:t xml:space="preserve">We added this content in response to Reviewer </w:t>
      </w:r>
      <w:r>
        <w:rPr>
          <w:rFonts w:hint="eastAsia" w:eastAsia="宋体"/>
        </w:rPr>
        <w:t>2</w:t>
      </w:r>
      <w:r>
        <w:rPr>
          <w:rFonts w:eastAsia="宋体"/>
        </w:rPr>
        <w:t xml:space="preserve">'s Comment </w:t>
      </w:r>
      <w:r>
        <w:rPr>
          <w:rFonts w:hint="eastAsia" w:eastAsia="宋体"/>
        </w:rPr>
        <w:t>6</w:t>
      </w:r>
      <w:r>
        <w:rPr>
          <w:rFonts w:eastAsia="宋体"/>
        </w:rPr>
        <w:t>.</w:t>
      </w:r>
    </w:p>
  </w:comment>
  <w:comment w:id="1" w:author="healing  " w:date="2025-04-14T02:21:00Z" w:initials="">
    <w:p w14:paraId="3741E0BC">
      <w:pPr>
        <w:pStyle w:val="3"/>
      </w:pPr>
      <w:r>
        <w:rPr>
          <w:rFonts w:eastAsia="宋体"/>
        </w:rPr>
        <w:t xml:space="preserve">We added this content in response to Reviewer </w:t>
      </w:r>
      <w:r>
        <w:rPr>
          <w:rFonts w:hint="eastAsia" w:eastAsia="宋体"/>
        </w:rPr>
        <w:t>2</w:t>
      </w:r>
      <w:r>
        <w:rPr>
          <w:rFonts w:eastAsia="宋体"/>
        </w:rPr>
        <w:t xml:space="preserve">'s Comment </w:t>
      </w:r>
      <w:r>
        <w:rPr>
          <w:rFonts w:hint="eastAsia" w:eastAsia="宋体"/>
        </w:rPr>
        <w:t>6.</w:t>
      </w:r>
    </w:p>
  </w:comment>
  <w:comment w:id="2" w:author="healing  " w:date="2025-04-14T01:49:00Z" w:initials="">
    <w:p w14:paraId="7B611A17">
      <w:pPr>
        <w:pStyle w:val="3"/>
        <w:rPr>
          <w:rFonts w:eastAsia="宋体"/>
        </w:rPr>
      </w:pPr>
      <w:r>
        <w:rPr>
          <w:rFonts w:eastAsia="宋体"/>
        </w:rPr>
        <w:t xml:space="preserve">We added this content in response to Reviewer </w:t>
      </w:r>
      <w:r>
        <w:rPr>
          <w:rFonts w:hint="eastAsia" w:eastAsia="宋体"/>
        </w:rPr>
        <w:t>1</w:t>
      </w:r>
      <w:r>
        <w:rPr>
          <w:rFonts w:eastAsia="宋体"/>
        </w:rPr>
        <w:t xml:space="preserve">'s Comment </w:t>
      </w:r>
      <w:r>
        <w:rPr>
          <w:rFonts w:hint="eastAsia" w:eastAsia="宋体"/>
        </w:rPr>
        <w:t>6</w:t>
      </w:r>
      <w:r>
        <w:rPr>
          <w:rFonts w:eastAsia="宋体"/>
        </w:rPr>
        <w:t>.</w:t>
      </w:r>
    </w:p>
  </w:comment>
  <w:comment w:id="3" w:author="healing  " w:date="2025-04-13T23:49:00Z" w:initials="">
    <w:p w14:paraId="64C3E35F">
      <w:pPr>
        <w:pStyle w:val="3"/>
        <w:rPr>
          <w:rFonts w:eastAsia="宋体"/>
        </w:rPr>
      </w:pPr>
      <w:r>
        <w:rPr>
          <w:rFonts w:eastAsia="宋体"/>
        </w:rPr>
        <w:t xml:space="preserve">We added this content in response to Reviewer </w:t>
      </w:r>
      <w:r>
        <w:rPr>
          <w:rFonts w:hint="eastAsia" w:eastAsia="宋体"/>
          <w:lang w:val="en-US" w:eastAsia="zh-CN"/>
        </w:rPr>
        <w:t>2</w:t>
      </w:r>
      <w:r>
        <w:rPr>
          <w:rFonts w:eastAsia="宋体"/>
        </w:rPr>
        <w:t xml:space="preserve">'s Comment </w:t>
      </w:r>
      <w:r>
        <w:rPr>
          <w:rFonts w:hint="eastAsia" w:eastAsia="宋体"/>
        </w:rPr>
        <w:t>6</w:t>
      </w:r>
      <w:r>
        <w:rPr>
          <w:rFonts w:eastAsia="宋体"/>
        </w:rPr>
        <w:t>.</w:t>
      </w:r>
    </w:p>
  </w:comment>
  <w:comment w:id="4" w:author="healing  " w:date="2025-04-15T19:10:00Z" w:initials="">
    <w:p w14:paraId="0C87B228">
      <w:pPr>
        <w:pStyle w:val="3"/>
        <w:rPr>
          <w:rFonts w:eastAsia="宋体"/>
        </w:rPr>
      </w:pPr>
      <w:r>
        <w:rPr>
          <w:rFonts w:eastAsia="宋体"/>
        </w:rPr>
        <w:t xml:space="preserve">We added this content in response to Reviewer </w:t>
      </w:r>
      <w:r>
        <w:rPr>
          <w:rFonts w:hint="eastAsia" w:eastAsia="宋体"/>
        </w:rPr>
        <w:t>1</w:t>
      </w:r>
      <w:r>
        <w:rPr>
          <w:rFonts w:eastAsia="宋体"/>
        </w:rPr>
        <w:t xml:space="preserve">'s Comment </w:t>
      </w:r>
      <w:r>
        <w:rPr>
          <w:rFonts w:hint="eastAsia" w:eastAsia="宋体"/>
        </w:rPr>
        <w:t>4</w:t>
      </w:r>
      <w:r>
        <w:rPr>
          <w:rFonts w:eastAsia="宋体"/>
        </w:rPr>
        <w:t>.</w:t>
      </w:r>
    </w:p>
    <w:p w14:paraId="570E39EA">
      <w:pPr>
        <w:pStyle w:val="3"/>
      </w:pPr>
    </w:p>
  </w:comment>
  <w:comment w:id="5" w:author="healing  " w:date="2025-04-13T22:21:00Z" w:initials="">
    <w:p w14:paraId="746116D7">
      <w:pPr>
        <w:pStyle w:val="3"/>
        <w:rPr>
          <w:rFonts w:eastAsia="宋体"/>
        </w:rPr>
      </w:pPr>
      <w:r>
        <w:rPr>
          <w:rFonts w:eastAsia="宋体"/>
        </w:rPr>
        <w:t>We added this content in response to Reviewer 1's Comment 5.</w:t>
      </w:r>
    </w:p>
  </w:comment>
  <w:comment w:id="6" w:author="healing  " w:date="2025-04-13T21:12:00Z" w:initials="">
    <w:p w14:paraId="528241DD">
      <w:pPr>
        <w:pStyle w:val="3"/>
        <w:rPr>
          <w:rFonts w:eastAsia="宋体"/>
        </w:rPr>
      </w:pPr>
      <w:r>
        <w:rPr>
          <w:rFonts w:eastAsia="宋体"/>
        </w:rPr>
        <w:t xml:space="preserve">We </w:t>
      </w:r>
      <w:r>
        <w:rPr>
          <w:rFonts w:hint="eastAsia" w:eastAsia="宋体"/>
        </w:rPr>
        <w:t xml:space="preserve">changed </w:t>
      </w:r>
      <w:r>
        <w:rPr>
          <w:rFonts w:eastAsia="宋体"/>
        </w:rPr>
        <w:t xml:space="preserve">this </w:t>
      </w:r>
      <w:r>
        <w:rPr>
          <w:rFonts w:hint="eastAsia" w:eastAsia="宋体"/>
        </w:rPr>
        <w:t>section</w:t>
      </w:r>
      <w:r>
        <w:rPr>
          <w:rFonts w:eastAsia="宋体"/>
        </w:rPr>
        <w:t xml:space="preserve"> in response to </w:t>
      </w:r>
      <w:r>
        <w:rPr>
          <w:rFonts w:hint="eastAsia" w:eastAsia="宋体"/>
        </w:rPr>
        <w:t>Reviewer 1's Comment 1.</w:t>
      </w:r>
    </w:p>
  </w:comment>
  <w:comment w:id="7" w:author="healing  " w:date="2025-04-13T22:14:00Z" w:initials="">
    <w:p w14:paraId="04A8DA9B">
      <w:pPr>
        <w:pStyle w:val="3"/>
      </w:pPr>
      <w:r>
        <w:rPr>
          <w:rFonts w:hint="eastAsia"/>
        </w:rPr>
        <w:t>According to the opinion of</w:t>
      </w:r>
      <w:r>
        <w:rPr>
          <w:rFonts w:hint="eastAsia" w:eastAsia="宋体"/>
        </w:rPr>
        <w:t xml:space="preserve"> </w:t>
      </w:r>
      <w:r>
        <w:rPr>
          <w:rFonts w:hint="eastAsia"/>
        </w:rPr>
        <w:t xml:space="preserve">Reviewer </w:t>
      </w:r>
      <w:r>
        <w:rPr>
          <w:rFonts w:hint="eastAsia" w:eastAsia="宋体"/>
        </w:rPr>
        <w:t>2's</w:t>
      </w:r>
      <w:r>
        <w:rPr>
          <w:rFonts w:hint="eastAsia"/>
        </w:rPr>
        <w:t xml:space="preserve"> Comment </w:t>
      </w:r>
      <w:r>
        <w:rPr>
          <w:rFonts w:hint="eastAsia" w:eastAsia="宋体"/>
        </w:rPr>
        <w:t>4</w:t>
      </w:r>
      <w:r>
        <w:rPr>
          <w:rFonts w:hint="eastAsia"/>
        </w:rPr>
        <w:t>, we added 3T SWI images of some ALS patients to response the question of "The clinical practicability of MBHR in 3T SWI".</w:t>
      </w:r>
    </w:p>
  </w:comment>
  <w:comment w:id="8" w:author="healing  " w:date="2025-04-13T22:14:00Z" w:initials="">
    <w:p w14:paraId="556B5935">
      <w:pPr>
        <w:pStyle w:val="3"/>
      </w:pPr>
      <w:r>
        <w:rPr>
          <w:rFonts w:hint="eastAsia"/>
        </w:rPr>
        <w:t>According to the opinion of</w:t>
      </w:r>
      <w:r>
        <w:rPr>
          <w:rFonts w:hint="eastAsia" w:eastAsia="宋体"/>
        </w:rPr>
        <w:t xml:space="preserve"> </w:t>
      </w:r>
      <w:r>
        <w:rPr>
          <w:rFonts w:hint="eastAsia"/>
        </w:rPr>
        <w:t xml:space="preserve">Reviewer </w:t>
      </w:r>
      <w:r>
        <w:rPr>
          <w:rFonts w:hint="eastAsia" w:eastAsia="宋体"/>
        </w:rPr>
        <w:t>2's</w:t>
      </w:r>
      <w:r>
        <w:rPr>
          <w:rFonts w:hint="eastAsia"/>
        </w:rPr>
        <w:t xml:space="preserve"> Comment </w:t>
      </w:r>
      <w:r>
        <w:rPr>
          <w:rFonts w:hint="eastAsia" w:eastAsia="宋体"/>
        </w:rPr>
        <w:t>4</w:t>
      </w:r>
      <w:r>
        <w:rPr>
          <w:rFonts w:hint="eastAsia"/>
        </w:rPr>
        <w:t>, we added 3T SWI images of some ALS patients to response the question of "The clinical practicability of MBHR in 3T SWI".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9BCAABE" w15:done="0"/>
  <w15:commentEx w15:paraId="3741E0BC" w15:done="0"/>
  <w15:commentEx w15:paraId="7B611A17" w15:done="0"/>
  <w15:commentEx w15:paraId="64C3E35F" w15:done="0"/>
  <w15:commentEx w15:paraId="570E39EA" w15:done="0"/>
  <w15:commentEx w15:paraId="746116D7" w15:done="0"/>
  <w15:commentEx w15:paraId="528241DD" w15:done="0"/>
  <w15:commentEx w15:paraId="04A8DA9B" w15:done="0"/>
  <w15:commentEx w15:paraId="556B59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8C9F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7B9E7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rA6FoxAgAAZA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qeQRDOFjl++f7v8&#10;+HX5+ZXMoj6N9QuEPVgEhvataTE1w73HZaTdlk7FXxAi8APqfFVXtIHw+Gg+nc/HcHH4hgPws8fn&#10;1vnwThhFopFTh/YlVdlp50MXOoTEbNpsaylTC6UmTU5nr9+M04OrB+BSx1iRhqGHiZS60qMV2n3b&#10;89yb4gyaznSD4i3f1ihlx3y4Zw6TgfKxO+EOn1IapDS9RUll3Jd/3cd4NAxeShpMWk41FosS+V6j&#10;kQAMg+EGYz8Y+qhuDUZ3gp20PJl44IIczNIZ9RkLtY454GKaI1NOw2Dehm7asZBcrNcpCKNnWdjp&#10;B8sjdJTH2/UxQM6kchSlUwLdiQcMX+pTvyhxuv88p6jHP4fV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6wOhaMQIAAGQ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7B9E7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ealing  ">
    <w15:presenceInfo w15:providerId="None" w15:userId="healing 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iMDIzNDczN2JmOWRlNDRmMzc2NmQ1YWI4OGYyNTg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dzffvxdted23e90foxxeans0dr2tf5z5pz&quot;&gt;我的EndNote库&lt;record-ids&gt;&lt;item&gt;39&lt;/item&gt;&lt;/record-ids&gt;&lt;/item&gt;&lt;/Libraries&gt;"/>
  </w:docVars>
  <w:rsids>
    <w:rsidRoot w:val="7CA07FB8"/>
    <w:rsid w:val="00012632"/>
    <w:rsid w:val="00013445"/>
    <w:rsid w:val="00025656"/>
    <w:rsid w:val="00052005"/>
    <w:rsid w:val="000A6A92"/>
    <w:rsid w:val="000F336A"/>
    <w:rsid w:val="000F60B1"/>
    <w:rsid w:val="00124FFD"/>
    <w:rsid w:val="001622FD"/>
    <w:rsid w:val="001C348A"/>
    <w:rsid w:val="001F56A7"/>
    <w:rsid w:val="00216DDD"/>
    <w:rsid w:val="0023649F"/>
    <w:rsid w:val="00254CDF"/>
    <w:rsid w:val="00286169"/>
    <w:rsid w:val="002C05CA"/>
    <w:rsid w:val="002C1D2C"/>
    <w:rsid w:val="00320F80"/>
    <w:rsid w:val="003223AD"/>
    <w:rsid w:val="00336A50"/>
    <w:rsid w:val="003D2254"/>
    <w:rsid w:val="003F536B"/>
    <w:rsid w:val="00414559"/>
    <w:rsid w:val="00451E6A"/>
    <w:rsid w:val="004D1B95"/>
    <w:rsid w:val="004D6F2A"/>
    <w:rsid w:val="005962E2"/>
    <w:rsid w:val="005B636A"/>
    <w:rsid w:val="00627033"/>
    <w:rsid w:val="00663486"/>
    <w:rsid w:val="0067150A"/>
    <w:rsid w:val="00712F97"/>
    <w:rsid w:val="00715F05"/>
    <w:rsid w:val="007239E7"/>
    <w:rsid w:val="00781C17"/>
    <w:rsid w:val="00817E98"/>
    <w:rsid w:val="008407DD"/>
    <w:rsid w:val="00850D13"/>
    <w:rsid w:val="008F3A38"/>
    <w:rsid w:val="00922CEE"/>
    <w:rsid w:val="00934034"/>
    <w:rsid w:val="00976030"/>
    <w:rsid w:val="00983158"/>
    <w:rsid w:val="009C47ED"/>
    <w:rsid w:val="009F68D3"/>
    <w:rsid w:val="00A8265B"/>
    <w:rsid w:val="00A9228F"/>
    <w:rsid w:val="00AA65BC"/>
    <w:rsid w:val="00AD625D"/>
    <w:rsid w:val="00B2401D"/>
    <w:rsid w:val="00B3255D"/>
    <w:rsid w:val="00B513CB"/>
    <w:rsid w:val="00B7397B"/>
    <w:rsid w:val="00B825CE"/>
    <w:rsid w:val="00B92BBE"/>
    <w:rsid w:val="00BB6A10"/>
    <w:rsid w:val="00BF1628"/>
    <w:rsid w:val="00C042B9"/>
    <w:rsid w:val="00C210B6"/>
    <w:rsid w:val="00C6114D"/>
    <w:rsid w:val="00C84A93"/>
    <w:rsid w:val="00C91AE6"/>
    <w:rsid w:val="00CB7A09"/>
    <w:rsid w:val="00D0465B"/>
    <w:rsid w:val="00D711B2"/>
    <w:rsid w:val="00DD1CA5"/>
    <w:rsid w:val="00E16541"/>
    <w:rsid w:val="00E5496B"/>
    <w:rsid w:val="00E65732"/>
    <w:rsid w:val="00E71256"/>
    <w:rsid w:val="00E90D57"/>
    <w:rsid w:val="00EA2841"/>
    <w:rsid w:val="00EF1201"/>
    <w:rsid w:val="00EF6E3A"/>
    <w:rsid w:val="00F038ED"/>
    <w:rsid w:val="00F166D9"/>
    <w:rsid w:val="00F57C63"/>
    <w:rsid w:val="00F93AC8"/>
    <w:rsid w:val="00FA2F33"/>
    <w:rsid w:val="00FC049C"/>
    <w:rsid w:val="01CD7566"/>
    <w:rsid w:val="02360629"/>
    <w:rsid w:val="064733AB"/>
    <w:rsid w:val="06F2019A"/>
    <w:rsid w:val="09782CE7"/>
    <w:rsid w:val="0AE93662"/>
    <w:rsid w:val="0D4B23B2"/>
    <w:rsid w:val="0E046A9E"/>
    <w:rsid w:val="0E5928AD"/>
    <w:rsid w:val="10F6190C"/>
    <w:rsid w:val="117E5F76"/>
    <w:rsid w:val="11CC15E8"/>
    <w:rsid w:val="1ACE5888"/>
    <w:rsid w:val="1B0D5402"/>
    <w:rsid w:val="1C821221"/>
    <w:rsid w:val="1CA053AF"/>
    <w:rsid w:val="1CC655B2"/>
    <w:rsid w:val="1D102CD1"/>
    <w:rsid w:val="1E8E65A3"/>
    <w:rsid w:val="1F3D748F"/>
    <w:rsid w:val="246D27B7"/>
    <w:rsid w:val="25331C52"/>
    <w:rsid w:val="274517C9"/>
    <w:rsid w:val="292C7180"/>
    <w:rsid w:val="2B4D5018"/>
    <w:rsid w:val="2F120B2A"/>
    <w:rsid w:val="2FFC2A40"/>
    <w:rsid w:val="31EC667E"/>
    <w:rsid w:val="33800400"/>
    <w:rsid w:val="36363350"/>
    <w:rsid w:val="386D0B7F"/>
    <w:rsid w:val="431247FD"/>
    <w:rsid w:val="48B84099"/>
    <w:rsid w:val="49667651"/>
    <w:rsid w:val="4A5404ED"/>
    <w:rsid w:val="4D6A5B6E"/>
    <w:rsid w:val="50E13A61"/>
    <w:rsid w:val="51704D63"/>
    <w:rsid w:val="566413BC"/>
    <w:rsid w:val="57F71240"/>
    <w:rsid w:val="595E20F3"/>
    <w:rsid w:val="5B8D6CBF"/>
    <w:rsid w:val="5D6248D2"/>
    <w:rsid w:val="61CD6067"/>
    <w:rsid w:val="6578453C"/>
    <w:rsid w:val="692549DB"/>
    <w:rsid w:val="6A707ED8"/>
    <w:rsid w:val="6A9E4A45"/>
    <w:rsid w:val="6AA334ED"/>
    <w:rsid w:val="6BE92F41"/>
    <w:rsid w:val="6F885828"/>
    <w:rsid w:val="715E0A8A"/>
    <w:rsid w:val="72035107"/>
    <w:rsid w:val="756B5E6B"/>
    <w:rsid w:val="76885D7D"/>
    <w:rsid w:val="77DA7095"/>
    <w:rsid w:val="7C9E6B26"/>
    <w:rsid w:val="7CA07FB8"/>
    <w:rsid w:val="7E094473"/>
    <w:rsid w:val="7F29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Emphasis"/>
    <w:basedOn w:val="7"/>
    <w:qFormat/>
    <w:uiPriority w:val="0"/>
    <w:rPr>
      <w:i/>
    </w:rPr>
  </w:style>
  <w:style w:type="character" w:styleId="11">
    <w:name w:val="Hyperlink"/>
    <w:basedOn w:val="7"/>
    <w:autoRedefine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7"/>
    <w:qFormat/>
    <w:uiPriority w:val="0"/>
    <w:rPr>
      <w:sz w:val="21"/>
      <w:szCs w:val="21"/>
    </w:rPr>
  </w:style>
  <w:style w:type="paragraph" w:customStyle="1" w:styleId="13">
    <w:name w:val="EndNote Bibliography Title"/>
    <w:basedOn w:val="1"/>
    <w:link w:val="14"/>
    <w:autoRedefine/>
    <w:qFormat/>
    <w:uiPriority w:val="0"/>
    <w:pPr>
      <w:jc w:val="center"/>
    </w:pPr>
  </w:style>
  <w:style w:type="character" w:customStyle="1" w:styleId="14">
    <w:name w:val="EndNote Bibliography Title 字符"/>
    <w:basedOn w:val="7"/>
    <w:link w:val="13"/>
    <w:autoRedefine/>
    <w:qFormat/>
    <w:uiPriority w:val="0"/>
    <w:rPr>
      <w:rFonts w:eastAsia="Times New Roman"/>
      <w:color w:val="000000"/>
      <w:sz w:val="24"/>
      <w:szCs w:val="24"/>
    </w:rPr>
  </w:style>
  <w:style w:type="paragraph" w:customStyle="1" w:styleId="15">
    <w:name w:val="EndNote Bibliography"/>
    <w:basedOn w:val="1"/>
    <w:link w:val="16"/>
    <w:autoRedefine/>
    <w:qFormat/>
    <w:uiPriority w:val="0"/>
    <w:pPr>
      <w:jc w:val="left"/>
    </w:pPr>
  </w:style>
  <w:style w:type="character" w:customStyle="1" w:styleId="16">
    <w:name w:val="EndNote Bibliography 字符"/>
    <w:basedOn w:val="7"/>
    <w:link w:val="15"/>
    <w:autoRedefine/>
    <w:qFormat/>
    <w:uiPriority w:val="0"/>
    <w:rPr>
      <w:rFonts w:eastAsia="Times New Roman"/>
      <w:color w:val="000000"/>
      <w:sz w:val="24"/>
      <w:szCs w:val="24"/>
    </w:rPr>
  </w:style>
  <w:style w:type="paragraph" w:customStyle="1" w:styleId="17">
    <w:name w:val="修订1"/>
    <w:hidden/>
    <w:unhideWhenUsed/>
    <w:qFormat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0.tiff"/><Relationship Id="rId15" Type="http://schemas.openxmlformats.org/officeDocument/2006/relationships/image" Target="media/image9.tiff"/><Relationship Id="rId14" Type="http://schemas.openxmlformats.org/officeDocument/2006/relationships/image" Target="media/image8.tiff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1200</Words>
  <Characters>6706</Characters>
  <Lines>58</Lines>
  <Paragraphs>16</Paragraphs>
  <TotalTime>0</TotalTime>
  <ScaleCrop>false</ScaleCrop>
  <LinksUpToDate>false</LinksUpToDate>
  <CharactersWithSpaces>7715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healing</dc:creator>
  <cp:lastModifiedBy>healing  </cp:lastModifiedBy>
  <dcterms:modified xsi:type="dcterms:W3CDTF">2025-04-19T14:15:33Z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352D25E5D5EA45DFA11FE90A82F8609D_13</vt:lpwstr>
  </property>
  <property fmtid="{D5CDD505-2E9C-101B-9397-08002B2CF9AE}" pid="4" name="KSOTemplateDocerSaveRecord">
    <vt:lpwstr>eyJoZGlkIjoiOWRiMDIzNDczN2JmOWRlNDRmMzc2NmQ1YWI4OGYyNTgiLCJ1c2VySWQiOiIzMDI1MTA0NDMifQ==</vt:lpwstr>
  </property>
  <property fmtid="{D5CDD505-2E9C-101B-9397-08002B2CF9AE}" pid="5" name="_DocHome">
    <vt:i4>-2130763743</vt:i4>
  </property>
</Properties>
</file>