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2E3" w:rsidRPr="004C5B3C" w:rsidRDefault="004F651F" w:rsidP="001622E3">
      <w:pPr>
        <w:rPr>
          <w:rFonts w:ascii="Times New Roman" w:hAnsi="Times New Roman" w:cs="Times New Roman"/>
          <w:sz w:val="24"/>
          <w:szCs w:val="24"/>
        </w:rPr>
      </w:pPr>
      <w:r w:rsidRPr="004C5B3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5118DE">
        <w:rPr>
          <w:rFonts w:ascii="Times New Roman" w:hAnsi="Times New Roman" w:cs="Times New Roman"/>
          <w:b/>
          <w:sz w:val="24"/>
          <w:szCs w:val="24"/>
        </w:rPr>
        <w:t>S</w:t>
      </w:r>
      <w:r w:rsidR="0082600D">
        <w:rPr>
          <w:rFonts w:ascii="Times New Roman" w:hAnsi="Times New Roman" w:cs="Times New Roman"/>
          <w:b/>
          <w:sz w:val="24"/>
          <w:szCs w:val="24"/>
        </w:rPr>
        <w:t>1</w:t>
      </w:r>
      <w:r w:rsidR="001622E3" w:rsidRPr="004C5B3C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="001622E3" w:rsidRPr="004C5B3C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_GoBack"/>
      <w:bookmarkEnd w:id="0"/>
    </w:p>
    <w:p w:rsidR="00F44A08" w:rsidRPr="004C5B3C" w:rsidRDefault="00F44A08" w:rsidP="00F44A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Identification of </w:t>
      </w:r>
      <w:r>
        <w:rPr>
          <w:rFonts w:ascii="Times New Roman" w:hAnsi="Times New Roman" w:cs="Times New Roman" w:hint="eastAsia"/>
          <w:sz w:val="24"/>
          <w:szCs w:val="24"/>
        </w:rPr>
        <w:t>miRNA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 xml:space="preserve"> significantly associated to the clinical outcomes of the GC </w:t>
      </w:r>
      <w:r>
        <w:rPr>
          <w:rFonts w:ascii="Times New Roman" w:hAnsi="Times New Roman" w:cs="Times New Roman" w:hint="eastAsia"/>
          <w:sz w:val="24"/>
          <w:szCs w:val="24"/>
        </w:rPr>
        <w:t>patient</w:t>
      </w:r>
      <w:r>
        <w:rPr>
          <w:rFonts w:ascii="Times New Roman" w:hAnsi="Times New Roman" w:cs="Times New Roman"/>
          <w:sz w:val="24"/>
          <w:szCs w:val="24"/>
        </w:rPr>
        <w:t>s from TCGA stomach cancer cohort</w:t>
      </w:r>
      <w:r w:rsidRPr="004C5B3C">
        <w:rPr>
          <w:rFonts w:ascii="Times New Roman" w:hAnsi="Times New Roman" w:cs="Times New Roman" w:hint="eastAsia"/>
          <w:sz w:val="24"/>
          <w:szCs w:val="24"/>
        </w:rPr>
        <w:t>.</w:t>
      </w:r>
    </w:p>
    <w:p w:rsidR="001622E3" w:rsidRPr="00F44A08" w:rsidRDefault="001622E3" w:rsidP="001622E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3796" w:type="dxa"/>
        <w:tblInd w:w="96" w:type="dxa"/>
        <w:tblLook w:val="04A0" w:firstRow="1" w:lastRow="0" w:firstColumn="1" w:lastColumn="0" w:noHBand="0" w:noVBand="1"/>
      </w:tblPr>
      <w:tblGrid>
        <w:gridCol w:w="3873"/>
        <w:gridCol w:w="3119"/>
        <w:gridCol w:w="4111"/>
        <w:gridCol w:w="2693"/>
      </w:tblGrid>
      <w:tr w:rsidR="004A5A87" w:rsidRPr="003E5999" w:rsidTr="00BE48C0">
        <w:trPr>
          <w:trHeight w:val="300"/>
        </w:trPr>
        <w:tc>
          <w:tcPr>
            <w:tcW w:w="38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A87" w:rsidRPr="00C212D5" w:rsidRDefault="004A5A87" w:rsidP="00C212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212D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miRNA</w:t>
            </w:r>
          </w:p>
        </w:tc>
        <w:tc>
          <w:tcPr>
            <w:tcW w:w="9923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A5A87" w:rsidRPr="00C212D5" w:rsidRDefault="004A5A87" w:rsidP="00BE48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212D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Significant correlation to the GC clinical characteristics and outcome</w:t>
            </w:r>
          </w:p>
        </w:tc>
      </w:tr>
      <w:tr w:rsidR="00C56DB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6DB2" w:rsidRPr="00C212D5" w:rsidRDefault="00C56DB2" w:rsidP="00C212D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6DB2" w:rsidRPr="00C212D5" w:rsidRDefault="00C56DB2" w:rsidP="00BE48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212D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Survival time</w:t>
            </w:r>
            <w:r w:rsidR="00816867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="00816867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(</w:t>
            </w:r>
            <w:r w:rsidR="00816867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rate)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56DB2" w:rsidRPr="00C212D5" w:rsidRDefault="00C56DB2" w:rsidP="00BE48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212D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Pathological stage or T stage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56DB2" w:rsidRPr="00C212D5" w:rsidRDefault="00C56DB2" w:rsidP="00BE48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212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M</w:t>
            </w:r>
            <w:r w:rsidRPr="00C212D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stage</w:t>
            </w:r>
          </w:p>
        </w:tc>
      </w:tr>
      <w:tr w:rsidR="004A5A87" w:rsidRPr="003E5999" w:rsidTr="00BE48C0">
        <w:trPr>
          <w:trHeight w:val="317"/>
        </w:trPr>
        <w:tc>
          <w:tcPr>
            <w:tcW w:w="13796" w:type="dxa"/>
            <w:gridSpan w:val="4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A5A87" w:rsidRPr="00C212D5" w:rsidRDefault="004A5A87" w:rsidP="00C212D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212D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Oncogenic miRNA biomarkers</w:t>
            </w:r>
          </w:p>
        </w:tc>
      </w:tr>
      <w:tr w:rsidR="004A5A87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A87" w:rsidRPr="00263EAD" w:rsidRDefault="00C212D5" w:rsidP="00C212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A87" w:rsidRPr="00263EAD" w:rsidRDefault="00ED0C92" w:rsidP="00C56D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5A87" w:rsidRPr="00263EAD" w:rsidRDefault="009A3372" w:rsidP="00C56D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4A5A87" w:rsidRPr="00263EAD" w:rsidRDefault="009A3372" w:rsidP="00D73D0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iR-125b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372" w:rsidRPr="00263EAD" w:rsidRDefault="00ED0C9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iR-199a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ED0C9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iR-125a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ED0C9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iR-130a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ED0C9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iR-152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ED0C9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iR-132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6041EE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Let-7e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6041EE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644D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9A3372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iR-199b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6041EE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372" w:rsidRPr="00263EAD" w:rsidRDefault="00644DE7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9A3372" w:rsidRPr="00263EAD" w:rsidRDefault="009A3372" w:rsidP="009A33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685503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585947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iR-218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DF4774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iR-217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C41B3C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iR-99a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F93571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iR-497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945E16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iR-34b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iR-181a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iR-99b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iR-337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iR-140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644DE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(T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miR-214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miR-150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miR-377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(P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</w:tr>
      <w:tr w:rsidR="00B14C9D" w:rsidRPr="003E5999" w:rsidTr="00BE48C0">
        <w:trPr>
          <w:trHeight w:val="317"/>
        </w:trPr>
        <w:tc>
          <w:tcPr>
            <w:tcW w:w="13796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14C9D" w:rsidRPr="00C212D5" w:rsidRDefault="00B14C9D" w:rsidP="00B14C9D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212D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Tumor suppressor miRNA biomarkers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iR-147b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iR-182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iR-200b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miR-183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(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both)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(T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iR-15b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(T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iR-223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(T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iR-135b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(T stage)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  <w:tr w:rsidR="00B14C9D" w:rsidRPr="003E5999" w:rsidTr="00BE48C0">
        <w:trPr>
          <w:trHeight w:val="300"/>
        </w:trPr>
        <w:tc>
          <w:tcPr>
            <w:tcW w:w="38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iR-29a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ED0C92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＋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4C9D" w:rsidRPr="00263EAD" w:rsidRDefault="00B14C9D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－</w:t>
            </w:r>
            <w:r w:rsidR="00644DE7"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644DE7" w:rsidRPr="00263EA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(T stage)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B14C9D" w:rsidRPr="00263EAD" w:rsidRDefault="006041EE" w:rsidP="00B14C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63EAD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None</w:t>
            </w:r>
          </w:p>
        </w:tc>
      </w:tr>
    </w:tbl>
    <w:p w:rsidR="001622E3" w:rsidRPr="004F7305" w:rsidRDefault="001622E3" w:rsidP="001622E3">
      <w:pPr>
        <w:rPr>
          <w:rFonts w:ascii="Times New Roman" w:hAnsi="Times New Roman" w:cs="Times New Roman"/>
          <w:sz w:val="20"/>
          <w:szCs w:val="20"/>
        </w:rPr>
      </w:pPr>
    </w:p>
    <w:p w:rsidR="001622E3" w:rsidRPr="00EB0DFF" w:rsidRDefault="00445BA5" w:rsidP="001622E3">
      <w:pPr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>“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>＋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” means positive </w:t>
      </w:r>
      <w:r w:rsidR="0069066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correlation </w:t>
      </w:r>
      <w:r w:rsidR="0069066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(</w:t>
      </w:r>
      <w:r w:rsidR="00690666">
        <w:rPr>
          <w:rFonts w:ascii="Times New Roman" w:eastAsia="宋体" w:hAnsi="Times New Roman" w:cs="Times New Roman"/>
          <w:color w:val="000000"/>
          <w:kern w:val="0"/>
          <w:szCs w:val="21"/>
        </w:rPr>
        <w:t>p &lt; 0.05)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>; “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>－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” means </w:t>
      </w:r>
      <w:r w:rsidRPr="00EB0DF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nega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tive </w:t>
      </w:r>
      <w:r w:rsidR="0069066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correlation </w:t>
      </w:r>
      <w:r w:rsidR="0069066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(</w:t>
      </w:r>
      <w:r w:rsidR="00690666">
        <w:rPr>
          <w:rFonts w:ascii="Times New Roman" w:eastAsia="宋体" w:hAnsi="Times New Roman" w:cs="Times New Roman"/>
          <w:color w:val="000000"/>
          <w:kern w:val="0"/>
          <w:szCs w:val="21"/>
        </w:rPr>
        <w:t>p &lt; 0.05)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>; “</w:t>
      </w:r>
      <w:r w:rsidRPr="00EB0DFF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N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>one” means no significance</w:t>
      </w:r>
      <w:r w:rsidR="00600B4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(p ≥ 0.05)</w:t>
      </w:r>
      <w:r w:rsidRPr="00EB0DFF"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</w:p>
    <w:p w:rsidR="001622E3" w:rsidRPr="00600B45" w:rsidRDefault="001622E3" w:rsidP="001622E3"/>
    <w:p w:rsidR="00541DBB" w:rsidRPr="00690666" w:rsidRDefault="00541DBB"/>
    <w:sectPr w:rsidR="00541DBB" w:rsidRPr="00690666" w:rsidSect="004F73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747" w:rsidRDefault="005A4747" w:rsidP="001622E3">
      <w:r>
        <w:separator/>
      </w:r>
    </w:p>
  </w:endnote>
  <w:endnote w:type="continuationSeparator" w:id="0">
    <w:p w:rsidR="005A4747" w:rsidRDefault="005A4747" w:rsidP="0016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747" w:rsidRDefault="005A4747" w:rsidP="001622E3">
      <w:r>
        <w:separator/>
      </w:r>
    </w:p>
  </w:footnote>
  <w:footnote w:type="continuationSeparator" w:id="0">
    <w:p w:rsidR="005A4747" w:rsidRDefault="005A4747" w:rsidP="0016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DF3"/>
    <w:rsid w:val="0014576E"/>
    <w:rsid w:val="001622E3"/>
    <w:rsid w:val="001B1123"/>
    <w:rsid w:val="001D1DF3"/>
    <w:rsid w:val="001E1CA1"/>
    <w:rsid w:val="002245D8"/>
    <w:rsid w:val="00255CD5"/>
    <w:rsid w:val="00263EAD"/>
    <w:rsid w:val="003C3B1F"/>
    <w:rsid w:val="00445BA5"/>
    <w:rsid w:val="004A5A87"/>
    <w:rsid w:val="004C5B3C"/>
    <w:rsid w:val="004F651F"/>
    <w:rsid w:val="005118DE"/>
    <w:rsid w:val="00541DBB"/>
    <w:rsid w:val="005A4747"/>
    <w:rsid w:val="00600B45"/>
    <w:rsid w:val="006041EE"/>
    <w:rsid w:val="00644DE7"/>
    <w:rsid w:val="00660B96"/>
    <w:rsid w:val="006675F9"/>
    <w:rsid w:val="00690666"/>
    <w:rsid w:val="006A7DD5"/>
    <w:rsid w:val="006B35FB"/>
    <w:rsid w:val="006C76B1"/>
    <w:rsid w:val="007202AB"/>
    <w:rsid w:val="00816867"/>
    <w:rsid w:val="0082600D"/>
    <w:rsid w:val="00916C53"/>
    <w:rsid w:val="009A3372"/>
    <w:rsid w:val="009F6FE7"/>
    <w:rsid w:val="00B144A0"/>
    <w:rsid w:val="00B14C9D"/>
    <w:rsid w:val="00BE48C0"/>
    <w:rsid w:val="00C212D5"/>
    <w:rsid w:val="00C56DB2"/>
    <w:rsid w:val="00C96EE7"/>
    <w:rsid w:val="00DA70FF"/>
    <w:rsid w:val="00E82F19"/>
    <w:rsid w:val="00EB0DFF"/>
    <w:rsid w:val="00EC6CC6"/>
    <w:rsid w:val="00ED0C92"/>
    <w:rsid w:val="00ED4ED3"/>
    <w:rsid w:val="00F34862"/>
    <w:rsid w:val="00F44A08"/>
    <w:rsid w:val="00FB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2BED1B-90ED-42E9-8E4A-1058F2890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22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22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Flash Qin</dc:creator>
  <cp:keywords/>
  <dc:description/>
  <cp:lastModifiedBy>Qin Flash</cp:lastModifiedBy>
  <cp:revision>10</cp:revision>
  <dcterms:created xsi:type="dcterms:W3CDTF">2019-07-15T04:54:00Z</dcterms:created>
  <dcterms:modified xsi:type="dcterms:W3CDTF">2020-08-11T03:17:00Z</dcterms:modified>
</cp:coreProperties>
</file>