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3A41E1" w14:textId="16F8D404" w:rsidR="00422AE7" w:rsidRPr="00422AE7" w:rsidRDefault="00E91F5C" w:rsidP="00422AE7">
      <w:pPr>
        <w:pStyle w:val="MDPI13authornames"/>
        <w:spacing w:before="120" w:line="240" w:lineRule="auto"/>
        <w:rPr>
          <w:rFonts w:ascii="Times New Roman" w:hAnsi="Times New Roman"/>
          <w:color w:val="auto"/>
          <w:szCs w:val="20"/>
          <w:lang w:eastAsia="en-US" w:bidi="ar-SA"/>
        </w:rPr>
      </w:pPr>
      <w:r w:rsidRPr="00422AE7">
        <w:rPr>
          <w:rFonts w:ascii="Times New Roman" w:hAnsi="Times New Roman"/>
          <w:bCs/>
          <w:szCs w:val="20"/>
        </w:rPr>
        <w:t>Supplementary Materials</w:t>
      </w:r>
      <w:r w:rsidR="00422AE7" w:rsidRPr="00422AE7">
        <w:rPr>
          <w:rFonts w:ascii="Times New Roman" w:hAnsi="Times New Roman"/>
          <w:szCs w:val="20"/>
        </w:rPr>
        <w:t xml:space="preserve"> to </w:t>
      </w:r>
      <w:r w:rsidR="000348F8">
        <w:rPr>
          <w:rFonts w:ascii="Times New Roman" w:hAnsi="Times New Roman"/>
          <w:szCs w:val="20"/>
        </w:rPr>
        <w:t>“</w:t>
      </w:r>
      <w:r w:rsidR="00422AE7" w:rsidRPr="00422AE7">
        <w:rPr>
          <w:rFonts w:ascii="Times New Roman" w:hAnsi="Times New Roman"/>
          <w:color w:val="auto"/>
          <w:szCs w:val="20"/>
          <w:lang w:eastAsia="en-US" w:bidi="ar-SA"/>
        </w:rPr>
        <w:t>Simulating the spatial distribution of pollutant loads from pig farming using an agent-based modeling approach</w:t>
      </w:r>
      <w:r w:rsidR="000348F8">
        <w:rPr>
          <w:rFonts w:ascii="Times New Roman" w:hAnsi="Times New Roman"/>
          <w:color w:val="auto"/>
          <w:szCs w:val="20"/>
          <w:lang w:eastAsia="en-US" w:bidi="ar-SA"/>
        </w:rPr>
        <w:t>”</w:t>
      </w:r>
    </w:p>
    <w:p w14:paraId="6FFE431B" w14:textId="77777777" w:rsidR="00422AE7" w:rsidRPr="00422AE7" w:rsidRDefault="00422AE7" w:rsidP="00422AE7">
      <w:pPr>
        <w:pStyle w:val="MDPI13authornames"/>
        <w:spacing w:before="120" w:line="480" w:lineRule="auto"/>
        <w:rPr>
          <w:rFonts w:ascii="Times New Roman" w:hAnsi="Times New Roman"/>
          <w:b w:val="0"/>
          <w:bCs/>
          <w:szCs w:val="20"/>
        </w:rPr>
      </w:pPr>
      <w:r w:rsidRPr="00422AE7">
        <w:rPr>
          <w:rFonts w:ascii="Times New Roman" w:hAnsi="Times New Roman"/>
          <w:b w:val="0"/>
          <w:bCs/>
          <w:szCs w:val="20"/>
        </w:rPr>
        <w:t xml:space="preserve">An </w:t>
      </w:r>
      <w:proofErr w:type="gramStart"/>
      <w:r w:rsidRPr="00422AE7">
        <w:rPr>
          <w:rFonts w:ascii="Times New Roman" w:hAnsi="Times New Roman"/>
          <w:b w:val="0"/>
          <w:bCs/>
          <w:szCs w:val="20"/>
        </w:rPr>
        <w:t>The</w:t>
      </w:r>
      <w:proofErr w:type="gramEnd"/>
      <w:r w:rsidRPr="00422AE7">
        <w:rPr>
          <w:rFonts w:ascii="Times New Roman" w:hAnsi="Times New Roman"/>
          <w:b w:val="0"/>
          <w:bCs/>
          <w:szCs w:val="20"/>
        </w:rPr>
        <w:t xml:space="preserve"> Ngo </w:t>
      </w:r>
      <w:r w:rsidRPr="00422AE7">
        <w:rPr>
          <w:rFonts w:ascii="Times New Roman" w:hAnsi="Times New Roman"/>
          <w:b w:val="0"/>
          <w:bCs/>
          <w:szCs w:val="20"/>
          <w:vertAlign w:val="superscript"/>
        </w:rPr>
        <w:t>1,</w:t>
      </w:r>
      <w:r w:rsidRPr="00422AE7">
        <w:rPr>
          <w:rFonts w:ascii="Times New Roman" w:hAnsi="Times New Roman"/>
          <w:b w:val="0"/>
          <w:bCs/>
          <w:szCs w:val="20"/>
        </w:rPr>
        <w:t xml:space="preserve">*, </w:t>
      </w:r>
      <w:proofErr w:type="spellStart"/>
      <w:r w:rsidRPr="00422AE7">
        <w:rPr>
          <w:rFonts w:ascii="Times New Roman" w:hAnsi="Times New Roman"/>
          <w:b w:val="0"/>
          <w:bCs/>
          <w:szCs w:val="20"/>
        </w:rPr>
        <w:t>Giang</w:t>
      </w:r>
      <w:proofErr w:type="spellEnd"/>
      <w:r w:rsidRPr="00422AE7">
        <w:rPr>
          <w:rFonts w:ascii="Times New Roman" w:hAnsi="Times New Roman"/>
          <w:b w:val="0"/>
          <w:bCs/>
          <w:szCs w:val="20"/>
        </w:rPr>
        <w:t xml:space="preserve"> </w:t>
      </w:r>
      <w:proofErr w:type="spellStart"/>
      <w:r w:rsidRPr="00422AE7">
        <w:rPr>
          <w:rFonts w:ascii="Times New Roman" w:hAnsi="Times New Roman"/>
          <w:b w:val="0"/>
          <w:bCs/>
          <w:szCs w:val="20"/>
        </w:rPr>
        <w:t>Thi</w:t>
      </w:r>
      <w:proofErr w:type="spellEnd"/>
      <w:r w:rsidRPr="00422AE7">
        <w:rPr>
          <w:rFonts w:ascii="Times New Roman" w:hAnsi="Times New Roman"/>
          <w:b w:val="0"/>
          <w:bCs/>
          <w:szCs w:val="20"/>
        </w:rPr>
        <w:t xml:space="preserve"> Huong Nguyen </w:t>
      </w:r>
      <w:r w:rsidRPr="00422AE7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422AE7">
        <w:rPr>
          <w:rFonts w:ascii="Times New Roman" w:hAnsi="Times New Roman"/>
          <w:b w:val="0"/>
          <w:bCs/>
          <w:szCs w:val="20"/>
        </w:rPr>
        <w:t xml:space="preserve">, Duong </w:t>
      </w:r>
      <w:proofErr w:type="spellStart"/>
      <w:r w:rsidRPr="00422AE7">
        <w:rPr>
          <w:rFonts w:ascii="Times New Roman" w:hAnsi="Times New Roman"/>
          <w:b w:val="0"/>
          <w:bCs/>
          <w:szCs w:val="20"/>
        </w:rPr>
        <w:t>Huu</w:t>
      </w:r>
      <w:proofErr w:type="spellEnd"/>
      <w:r w:rsidRPr="00422AE7">
        <w:rPr>
          <w:rFonts w:ascii="Times New Roman" w:hAnsi="Times New Roman"/>
          <w:b w:val="0"/>
          <w:bCs/>
          <w:szCs w:val="20"/>
        </w:rPr>
        <w:t xml:space="preserve"> Nong</w:t>
      </w:r>
      <w:r w:rsidRPr="00422AE7">
        <w:rPr>
          <w:rFonts w:ascii="Times New Roman" w:hAnsi="Times New Roman"/>
          <w:b w:val="0"/>
          <w:bCs/>
          <w:szCs w:val="20"/>
          <w:vertAlign w:val="superscript"/>
        </w:rPr>
        <w:t>1</w:t>
      </w:r>
      <w:r w:rsidRPr="00422AE7">
        <w:rPr>
          <w:rFonts w:ascii="Times New Roman" w:hAnsi="Times New Roman"/>
          <w:b w:val="0"/>
          <w:bCs/>
          <w:szCs w:val="20"/>
        </w:rPr>
        <w:t xml:space="preserve"> and Linda See </w:t>
      </w:r>
      <w:r w:rsidRPr="00422AE7">
        <w:rPr>
          <w:rFonts w:ascii="Times New Roman" w:hAnsi="Times New Roman"/>
          <w:b w:val="0"/>
          <w:bCs/>
          <w:szCs w:val="20"/>
          <w:vertAlign w:val="superscript"/>
        </w:rPr>
        <w:t xml:space="preserve">2, </w:t>
      </w:r>
      <w:r w:rsidRPr="00422AE7">
        <w:rPr>
          <w:rFonts w:ascii="Times New Roman" w:hAnsi="Times New Roman"/>
          <w:b w:val="0"/>
          <w:bCs/>
          <w:szCs w:val="20"/>
        </w:rPr>
        <w:t>*</w:t>
      </w:r>
    </w:p>
    <w:p w14:paraId="08615202" w14:textId="77777777" w:rsidR="00422AE7" w:rsidRPr="00422AE7" w:rsidRDefault="00422AE7" w:rsidP="00422AE7">
      <w:pPr>
        <w:pStyle w:val="MDPI16affiliation"/>
        <w:spacing w:line="240" w:lineRule="auto"/>
        <w:ind w:left="0" w:firstLine="0"/>
        <w:rPr>
          <w:rFonts w:ascii="Times New Roman" w:hAnsi="Times New Roman"/>
          <w:sz w:val="20"/>
          <w:szCs w:val="20"/>
        </w:rPr>
      </w:pPr>
      <w:r w:rsidRPr="00422AE7">
        <w:rPr>
          <w:rFonts w:ascii="Times New Roman" w:hAnsi="Times New Roman"/>
          <w:sz w:val="20"/>
          <w:szCs w:val="20"/>
          <w:vertAlign w:val="superscript"/>
        </w:rPr>
        <w:t>1</w:t>
      </w:r>
      <w:r w:rsidRPr="00422AE7">
        <w:rPr>
          <w:rFonts w:ascii="Times New Roman" w:hAnsi="Times New Roman"/>
          <w:sz w:val="20"/>
          <w:szCs w:val="20"/>
        </w:rPr>
        <w:t xml:space="preserve"> Faculty of Environment, Vietnam National University of Agriculture; </w:t>
      </w:r>
      <w:hyperlink r:id="rId5" w:history="1">
        <w:r w:rsidRPr="00422AE7">
          <w:rPr>
            <w:rStyle w:val="Hyperlink"/>
            <w:rFonts w:ascii="Times New Roman" w:eastAsia="Arial" w:hAnsi="Times New Roman"/>
            <w:sz w:val="20"/>
            <w:szCs w:val="20"/>
          </w:rPr>
          <w:t>ntan@vnua.edu.vn</w:t>
        </w:r>
      </w:hyperlink>
    </w:p>
    <w:p w14:paraId="1893B91F" w14:textId="77777777" w:rsidR="00422AE7" w:rsidRPr="00422AE7" w:rsidRDefault="00422AE7" w:rsidP="00422AE7">
      <w:pPr>
        <w:pStyle w:val="MDPI16affiliation"/>
        <w:spacing w:line="240" w:lineRule="auto"/>
        <w:ind w:left="0" w:firstLine="0"/>
        <w:rPr>
          <w:rFonts w:ascii="Times New Roman" w:hAnsi="Times New Roman"/>
          <w:sz w:val="20"/>
          <w:szCs w:val="20"/>
        </w:rPr>
      </w:pPr>
      <w:r w:rsidRPr="00422AE7">
        <w:rPr>
          <w:rFonts w:ascii="Times New Roman" w:hAnsi="Times New Roman"/>
          <w:sz w:val="20"/>
          <w:szCs w:val="20"/>
          <w:vertAlign w:val="superscript"/>
        </w:rPr>
        <w:t>2</w:t>
      </w:r>
      <w:r w:rsidRPr="00422AE7">
        <w:rPr>
          <w:rFonts w:ascii="Times New Roman" w:hAnsi="Times New Roman"/>
          <w:sz w:val="20"/>
          <w:szCs w:val="20"/>
        </w:rPr>
        <w:t xml:space="preserve"> International Institute for Applied Systems Analysis (IIASA); see@iiasa.ac.at</w:t>
      </w:r>
    </w:p>
    <w:p w14:paraId="76319C0C" w14:textId="77777777" w:rsidR="00422AE7" w:rsidRPr="00422AE7" w:rsidRDefault="00422AE7" w:rsidP="00422AE7">
      <w:pPr>
        <w:pStyle w:val="MDPI14history"/>
        <w:spacing w:before="0" w:line="240" w:lineRule="auto"/>
        <w:ind w:left="0"/>
        <w:rPr>
          <w:rFonts w:ascii="Times New Roman" w:hAnsi="Times New Roman"/>
          <w:sz w:val="20"/>
        </w:rPr>
      </w:pPr>
      <w:r w:rsidRPr="00422AE7">
        <w:rPr>
          <w:rFonts w:ascii="Times New Roman" w:hAnsi="Times New Roman"/>
          <w:b/>
          <w:sz w:val="20"/>
        </w:rPr>
        <w:t>*</w:t>
      </w:r>
      <w:r w:rsidRPr="00422AE7">
        <w:rPr>
          <w:rFonts w:ascii="Times New Roman" w:hAnsi="Times New Roman"/>
          <w:sz w:val="20"/>
        </w:rPr>
        <w:t xml:space="preserve"> Correspondence: </w:t>
      </w:r>
      <w:hyperlink r:id="rId6" w:history="1">
        <w:r w:rsidRPr="00422AE7">
          <w:rPr>
            <w:rStyle w:val="Hyperlink"/>
            <w:rFonts w:ascii="Times New Roman" w:eastAsia="Arial" w:hAnsi="Times New Roman"/>
            <w:sz w:val="20"/>
          </w:rPr>
          <w:t>ntan@vnua.edu.vn</w:t>
        </w:r>
      </w:hyperlink>
      <w:r w:rsidRPr="00422AE7">
        <w:rPr>
          <w:rFonts w:ascii="Times New Roman" w:hAnsi="Times New Roman"/>
          <w:sz w:val="20"/>
        </w:rPr>
        <w:t xml:space="preserve">; Tel.: +84-9122-54886 (T.A.N.) and </w:t>
      </w:r>
      <w:hyperlink r:id="rId7" w:history="1">
        <w:r w:rsidRPr="00422AE7">
          <w:rPr>
            <w:rStyle w:val="Hyperlink"/>
            <w:rFonts w:ascii="Times New Roman" w:eastAsia="Arial" w:hAnsi="Times New Roman"/>
            <w:sz w:val="20"/>
          </w:rPr>
          <w:t>see@iiasa.ac.at</w:t>
        </w:r>
      </w:hyperlink>
      <w:r w:rsidRPr="00422AE7">
        <w:rPr>
          <w:rFonts w:ascii="Times New Roman" w:hAnsi="Times New Roman"/>
          <w:sz w:val="20"/>
        </w:rPr>
        <w:t>; Tel.: +34-2236-807-423 (L.S.)</w:t>
      </w:r>
    </w:p>
    <w:p w14:paraId="62677730" w14:textId="0F27080B" w:rsidR="00DF2B15" w:rsidRDefault="00DF2B15" w:rsidP="00E91F5C">
      <w:pPr>
        <w:spacing w:before="120" w:after="120" w:line="480" w:lineRule="auto"/>
        <w:jc w:val="both"/>
        <w:rPr>
          <w:b/>
          <w:bCs/>
          <w:sz w:val="20"/>
          <w:szCs w:val="20"/>
        </w:rPr>
      </w:pPr>
    </w:p>
    <w:p w14:paraId="676C4764" w14:textId="77777777" w:rsidR="00422AE7" w:rsidRPr="00422AE7" w:rsidRDefault="00422AE7" w:rsidP="00E91F5C">
      <w:pPr>
        <w:spacing w:before="120" w:after="120" w:line="480" w:lineRule="auto"/>
        <w:jc w:val="both"/>
        <w:rPr>
          <w:b/>
          <w:bCs/>
          <w:sz w:val="20"/>
          <w:szCs w:val="20"/>
        </w:rPr>
      </w:pPr>
    </w:p>
    <w:p w14:paraId="6A8DB859" w14:textId="31FD589F" w:rsidR="00DF2B15" w:rsidRPr="00C20533" w:rsidRDefault="00DF2B15" w:rsidP="00DF2B15">
      <w:pPr>
        <w:pStyle w:val="Figure"/>
        <w:jc w:val="left"/>
      </w:pPr>
      <w:r w:rsidRPr="00C20533">
        <w:rPr>
          <w:noProof/>
          <w:lang w:val="en-US" w:eastAsia="en-US"/>
        </w:rPr>
        <w:drawing>
          <wp:inline distT="0" distB="0" distL="0" distR="0" wp14:anchorId="3982D0B6" wp14:editId="0A030C59">
            <wp:extent cx="3267075" cy="3028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9E60D31" w14:textId="34AD9218" w:rsidR="00DF2B15" w:rsidRDefault="00DF2B15" w:rsidP="00DF2B15">
      <w:pPr>
        <w:pStyle w:val="Caption"/>
        <w:jc w:val="left"/>
      </w:pPr>
      <w:bookmarkStart w:id="1" w:name="_Ref228035433"/>
      <w:bookmarkStart w:id="2" w:name="_Toc231839135"/>
      <w:bookmarkStart w:id="3" w:name="_Toc246136639"/>
      <w:r>
        <w:t>Fig</w:t>
      </w:r>
      <w:r w:rsidR="00422AE7">
        <w:t>.</w:t>
      </w:r>
      <w:r>
        <w:t xml:space="preserve"> S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1"/>
      <w:r>
        <w:t>:</w:t>
      </w:r>
      <w:r w:rsidRPr="00C20533">
        <w:t xml:space="preserve"> A basic ROC curve (adapted from Fawcett, 2004)</w:t>
      </w:r>
      <w:bookmarkEnd w:id="2"/>
      <w:r w:rsidRPr="00C20533">
        <w:t>.</w:t>
      </w:r>
      <w:bookmarkEnd w:id="3"/>
      <w:r w:rsidRPr="00C20533">
        <w:t xml:space="preserve"> </w:t>
      </w:r>
    </w:p>
    <w:p w14:paraId="57D43E36" w14:textId="77777777" w:rsidR="00422AE7" w:rsidRDefault="00422AE7" w:rsidP="00422AE7">
      <w:pPr>
        <w:rPr>
          <w:b/>
          <w:bCs/>
          <w:sz w:val="20"/>
          <w:szCs w:val="20"/>
        </w:rPr>
      </w:pPr>
    </w:p>
    <w:p w14:paraId="744976D5" w14:textId="27ED5B4C" w:rsidR="00422AE7" w:rsidRPr="00422AE7" w:rsidRDefault="00422AE7" w:rsidP="00422AE7">
      <w:pPr>
        <w:rPr>
          <w:b/>
          <w:bCs/>
          <w:sz w:val="20"/>
          <w:szCs w:val="20"/>
        </w:rPr>
      </w:pPr>
      <w:r w:rsidRPr="00422AE7">
        <w:rPr>
          <w:b/>
          <w:bCs/>
          <w:sz w:val="20"/>
          <w:szCs w:val="20"/>
        </w:rPr>
        <w:t>References</w:t>
      </w:r>
    </w:p>
    <w:p w14:paraId="4160C9E2" w14:textId="77777777" w:rsidR="00422AE7" w:rsidRPr="00422AE7" w:rsidRDefault="00422AE7" w:rsidP="00422AE7">
      <w:pPr>
        <w:rPr>
          <w:sz w:val="20"/>
          <w:szCs w:val="20"/>
        </w:rPr>
      </w:pPr>
    </w:p>
    <w:p w14:paraId="392DAA5C" w14:textId="77777777" w:rsidR="00422AE7" w:rsidRPr="00422AE7" w:rsidRDefault="00422AE7" w:rsidP="00422AE7">
      <w:pPr>
        <w:pStyle w:val="EndNoteBibliography"/>
        <w:ind w:left="720" w:hanging="720"/>
        <w:rPr>
          <w:i/>
          <w:sz w:val="20"/>
          <w:szCs w:val="20"/>
        </w:rPr>
      </w:pPr>
      <w:r w:rsidRPr="00422AE7">
        <w:rPr>
          <w:sz w:val="20"/>
          <w:szCs w:val="20"/>
        </w:rPr>
        <w:t xml:space="preserve">FAWCETT, T. 2004. ROC Graphs: Notes and Practical Considerations for Researchers. </w:t>
      </w:r>
      <w:r w:rsidRPr="00422AE7">
        <w:rPr>
          <w:i/>
          <w:sz w:val="20"/>
          <w:szCs w:val="20"/>
        </w:rPr>
        <w:t>HP Labs Tech Report.</w:t>
      </w:r>
    </w:p>
    <w:p w14:paraId="342BF73E" w14:textId="77777777" w:rsidR="00422AE7" w:rsidRDefault="00422AE7">
      <w:pPr>
        <w:spacing w:after="160" w:line="259" w:lineRule="auto"/>
        <w:rPr>
          <w:sz w:val="20"/>
          <w:szCs w:val="20"/>
          <w:lang w:eastAsia="en-GB"/>
        </w:rPr>
      </w:pPr>
    </w:p>
    <w:p w14:paraId="022248EC" w14:textId="77777777" w:rsidR="00422AE7" w:rsidRDefault="00422AE7">
      <w:pPr>
        <w:spacing w:after="160" w:line="259" w:lineRule="auto"/>
        <w:rPr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br w:type="page"/>
      </w:r>
    </w:p>
    <w:p w14:paraId="4F1A641E" w14:textId="04FB73AB" w:rsidR="00422AE7" w:rsidRPr="00422AE7" w:rsidRDefault="00422AE7" w:rsidP="00422AE7">
      <w:pPr>
        <w:spacing w:before="120" w:after="120" w:line="480" w:lineRule="auto"/>
        <w:rPr>
          <w:sz w:val="20"/>
          <w:szCs w:val="20"/>
        </w:rPr>
      </w:pPr>
      <w:r>
        <w:rPr>
          <w:sz w:val="20"/>
          <w:szCs w:val="20"/>
          <w:lang w:eastAsia="en-GB"/>
        </w:rPr>
        <w:lastRenderedPageBreak/>
        <w:t xml:space="preserve">Table S1: </w:t>
      </w:r>
      <w:r w:rsidRPr="00422AE7">
        <w:rPr>
          <w:sz w:val="20"/>
          <w:szCs w:val="20"/>
        </w:rPr>
        <w:t xml:space="preserve">Characteristics of pig production households </w:t>
      </w:r>
    </w:p>
    <w:tbl>
      <w:tblPr>
        <w:tblW w:w="461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"/>
        <w:gridCol w:w="3489"/>
        <w:gridCol w:w="2808"/>
        <w:gridCol w:w="997"/>
        <w:gridCol w:w="816"/>
      </w:tblGrid>
      <w:tr w:rsidR="00422AE7" w:rsidRPr="00C20533" w14:paraId="2C281FC5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427FBCEC" w14:textId="77777777" w:rsidR="00422AE7" w:rsidRPr="00C20533" w:rsidRDefault="00422AE7" w:rsidP="00B95952">
            <w:pPr>
              <w:rPr>
                <w:b/>
                <w:bCs/>
                <w:sz w:val="20"/>
                <w:szCs w:val="20"/>
              </w:rPr>
            </w:pPr>
            <w:r w:rsidRPr="00C20533">
              <w:rPr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397F8466" w14:textId="77777777" w:rsidR="00422AE7" w:rsidRPr="00C20533" w:rsidRDefault="00422AE7" w:rsidP="00B95952">
            <w:pPr>
              <w:rPr>
                <w:b/>
                <w:bCs/>
                <w:sz w:val="20"/>
                <w:szCs w:val="20"/>
              </w:rPr>
            </w:pPr>
            <w:r w:rsidRPr="00C20533">
              <w:rPr>
                <w:b/>
                <w:bCs/>
                <w:sz w:val="20"/>
                <w:szCs w:val="20"/>
              </w:rPr>
              <w:t>Characteristics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6C070EA6" w14:textId="77777777" w:rsidR="00422AE7" w:rsidRPr="00C20533" w:rsidRDefault="00422AE7" w:rsidP="00B95952">
            <w:pPr>
              <w:rPr>
                <w:b/>
                <w:bCs/>
                <w:sz w:val="20"/>
                <w:szCs w:val="20"/>
              </w:rPr>
            </w:pPr>
            <w:r w:rsidRPr="00C20533">
              <w:rPr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65C9EF16" w14:textId="77777777" w:rsidR="00422AE7" w:rsidRPr="00C20533" w:rsidRDefault="00422AE7" w:rsidP="00B95952">
            <w:pPr>
              <w:rPr>
                <w:b/>
                <w:bCs/>
                <w:sz w:val="20"/>
                <w:szCs w:val="20"/>
              </w:rPr>
            </w:pPr>
            <w:r w:rsidRPr="00C20533">
              <w:rPr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EE617B4" w14:textId="77777777" w:rsidR="00422AE7" w:rsidRPr="00C20533" w:rsidRDefault="00422AE7" w:rsidP="00B95952">
            <w:pPr>
              <w:rPr>
                <w:b/>
                <w:bCs/>
                <w:sz w:val="20"/>
                <w:szCs w:val="20"/>
              </w:rPr>
            </w:pPr>
            <w:r w:rsidRPr="00C20533">
              <w:rPr>
                <w:b/>
                <w:bCs/>
                <w:sz w:val="20"/>
                <w:szCs w:val="20"/>
              </w:rPr>
              <w:t>SD</w:t>
            </w:r>
          </w:p>
        </w:tc>
      </w:tr>
      <w:tr w:rsidR="00422AE7" w:rsidRPr="00C20533" w14:paraId="5F575DF0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1A57981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2D71934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Age of farm owners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792CC39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(Year)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5596BA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49.1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283A4D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8.1</w:t>
            </w:r>
          </w:p>
        </w:tc>
      </w:tr>
      <w:tr w:rsidR="00422AE7" w:rsidRPr="00C20533" w14:paraId="2651F256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35BBA2D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7A6400F3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Education level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69857677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(class)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01EADB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8.5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3FC04D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2.8</w:t>
            </w:r>
          </w:p>
        </w:tc>
      </w:tr>
      <w:tr w:rsidR="00422AE7" w:rsidRPr="00C20533" w14:paraId="08284F82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30CAA56F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3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6939652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Labor availability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59EA23C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(person)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066B028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2.6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524DA7B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0.9</w:t>
            </w:r>
          </w:p>
        </w:tc>
      </w:tr>
      <w:tr w:rsidR="00422AE7" w:rsidRPr="00C20533" w14:paraId="7C49BB67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0D7EE5E7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4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584680D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 xml:space="preserve">Social membership 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3C8D11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(% of total)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6A09CF78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28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5691B5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6DB72FA6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33A75B7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5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366D10F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Pig farming experiences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112FBB2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(year)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6F2C8E1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18.6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1B538237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10.1</w:t>
            </w:r>
          </w:p>
        </w:tc>
      </w:tr>
      <w:tr w:rsidR="00422AE7" w:rsidRPr="00C20533" w14:paraId="7F9A0E0E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27ABF1EF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6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0A6D36C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Land area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1ADAC7F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(m2)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5636CCA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1525.0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F565F7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2099.3</w:t>
            </w:r>
          </w:p>
        </w:tc>
      </w:tr>
      <w:tr w:rsidR="00422AE7" w:rsidRPr="00C20533" w14:paraId="1911E01A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541A328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7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0C109626" w14:textId="288486CD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Hog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735CD903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(head)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BFE448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61.4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74987D7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139.6</w:t>
            </w:r>
          </w:p>
        </w:tc>
      </w:tr>
      <w:tr w:rsidR="00422AE7" w:rsidRPr="00C20533" w14:paraId="05F34EA1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5DCEFCD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8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68C5C0AE" w14:textId="7F3437B1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Sow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1628" w:type="pct"/>
            <w:shd w:val="clear" w:color="auto" w:fill="auto"/>
            <w:noWrap/>
            <w:hideMark/>
          </w:tcPr>
          <w:p w14:paraId="057DBC7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(head)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3B4C2C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11.4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08A03A90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10.0</w:t>
            </w:r>
          </w:p>
        </w:tc>
      </w:tr>
      <w:tr w:rsidR="00422AE7" w:rsidRPr="00C20533" w14:paraId="62AF7FD9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621C1F53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9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6BEA8CC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Number of pigs</w:t>
            </w:r>
          </w:p>
        </w:tc>
        <w:tc>
          <w:tcPr>
            <w:tcW w:w="1628" w:type="pct"/>
            <w:shd w:val="clear" w:color="auto" w:fill="auto"/>
            <w:noWrap/>
            <w:hideMark/>
          </w:tcPr>
          <w:p w14:paraId="20271E5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(head)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17C388B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72.9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43605BD3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140.9</w:t>
            </w:r>
          </w:p>
        </w:tc>
      </w:tr>
      <w:tr w:rsidR="00422AE7" w:rsidRPr="00C20533" w14:paraId="5FE79EFA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</w:tcPr>
          <w:p w14:paraId="01C88BA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10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05A1C3F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Distance to the nearest farm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9E75C6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(m)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2BCFE5E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48.6</w:t>
            </w:r>
          </w:p>
        </w:tc>
        <w:tc>
          <w:tcPr>
            <w:tcW w:w="473" w:type="pct"/>
            <w:shd w:val="clear" w:color="auto" w:fill="auto"/>
            <w:noWrap/>
            <w:vAlign w:val="center"/>
            <w:hideMark/>
          </w:tcPr>
          <w:p w14:paraId="61B4608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72.7</w:t>
            </w:r>
          </w:p>
        </w:tc>
      </w:tr>
      <w:tr w:rsidR="00422AE7" w:rsidRPr="00C20533" w14:paraId="3DA022AF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53CAB81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11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2304E09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The manure recycling status of the neighboring farms (1=yes)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0D29987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%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0FCBC8C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71.2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17E169AF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37E1DDAD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435F71AF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12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3F9925CF" w14:textId="27133FD5" w:rsidR="00422AE7" w:rsidRPr="00C20533" w:rsidRDefault="00422AE7" w:rsidP="00B959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</w:t>
            </w:r>
            <w:r w:rsidRPr="00C20533">
              <w:rPr>
                <w:sz w:val="20"/>
                <w:szCs w:val="20"/>
              </w:rPr>
              <w:t>higher waste discharge rate compare</w:t>
            </w:r>
            <w:r>
              <w:rPr>
                <w:sz w:val="20"/>
                <w:szCs w:val="20"/>
              </w:rPr>
              <w:t>d</w:t>
            </w:r>
            <w:r w:rsidRPr="00C20533">
              <w:rPr>
                <w:sz w:val="20"/>
                <w:szCs w:val="20"/>
              </w:rPr>
              <w:t xml:space="preserve"> to neighbors (1=higher)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714C4AD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%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16E10A3B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18.4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52523C58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293F8A16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6F020A4A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13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3C51ADE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Technical support (1=yes)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48A0616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%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5E183B2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30.4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62A32E9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42BCE1E5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05A1340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14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1456AA3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Financial support (1=yes)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5BCC00FA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%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3C4E553B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54.4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24288D2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3F3DD861" w14:textId="77777777" w:rsidTr="00B95952">
        <w:trPr>
          <w:trHeight w:val="330"/>
        </w:trPr>
        <w:tc>
          <w:tcPr>
            <w:tcW w:w="298" w:type="pct"/>
            <w:shd w:val="clear" w:color="auto" w:fill="auto"/>
            <w:noWrap/>
            <w:vAlign w:val="center"/>
            <w:hideMark/>
          </w:tcPr>
          <w:p w14:paraId="6332F345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15</w:t>
            </w:r>
          </w:p>
        </w:tc>
        <w:tc>
          <w:tcPr>
            <w:tcW w:w="2023" w:type="pct"/>
            <w:shd w:val="clear" w:color="auto" w:fill="auto"/>
            <w:noWrap/>
            <w:vAlign w:val="center"/>
            <w:hideMark/>
          </w:tcPr>
          <w:p w14:paraId="34AB792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Biogas digester (1=yes)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3154AEC1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%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18C1022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68.8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3F7D269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4C3803FD" w14:textId="77777777" w:rsidTr="00B95952">
        <w:trPr>
          <w:trHeight w:val="330"/>
        </w:trPr>
        <w:tc>
          <w:tcPr>
            <w:tcW w:w="298" w:type="pct"/>
            <w:vMerge w:val="restart"/>
            <w:shd w:val="clear" w:color="auto" w:fill="auto"/>
            <w:noWrap/>
            <w:vAlign w:val="center"/>
            <w:hideMark/>
          </w:tcPr>
          <w:p w14:paraId="42A2C83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16</w:t>
            </w:r>
          </w:p>
        </w:tc>
        <w:tc>
          <w:tcPr>
            <w:tcW w:w="2023" w:type="pct"/>
            <w:vMerge w:val="restart"/>
            <w:shd w:val="clear" w:color="auto" w:fill="auto"/>
            <w:noWrap/>
            <w:vAlign w:val="center"/>
            <w:hideMark/>
          </w:tcPr>
          <w:p w14:paraId="79E70086" w14:textId="11497D9C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Household income</w:t>
            </w: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E0C1722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(1= below 60 million VND)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20E02FF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39.2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539D14E9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03BF9317" w14:textId="77777777" w:rsidTr="00B95952">
        <w:trPr>
          <w:trHeight w:val="330"/>
        </w:trPr>
        <w:tc>
          <w:tcPr>
            <w:tcW w:w="298" w:type="pct"/>
            <w:vMerge/>
            <w:shd w:val="clear" w:color="auto" w:fill="auto"/>
            <w:noWrap/>
            <w:vAlign w:val="center"/>
            <w:hideMark/>
          </w:tcPr>
          <w:p w14:paraId="1BFDD67B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2023" w:type="pct"/>
            <w:vMerge/>
            <w:shd w:val="clear" w:color="auto" w:fill="auto"/>
            <w:noWrap/>
            <w:vAlign w:val="center"/>
            <w:hideMark/>
          </w:tcPr>
          <w:p w14:paraId="7419F0CA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23779D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(2=60-90 million VND)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54AA5CB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32.0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5BC7316A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70E65604" w14:textId="77777777" w:rsidTr="00B95952">
        <w:trPr>
          <w:trHeight w:val="330"/>
        </w:trPr>
        <w:tc>
          <w:tcPr>
            <w:tcW w:w="298" w:type="pct"/>
            <w:vMerge/>
            <w:shd w:val="clear" w:color="auto" w:fill="auto"/>
            <w:noWrap/>
            <w:vAlign w:val="center"/>
            <w:hideMark/>
          </w:tcPr>
          <w:p w14:paraId="677A9C30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2023" w:type="pct"/>
            <w:vMerge/>
            <w:shd w:val="clear" w:color="auto" w:fill="auto"/>
            <w:noWrap/>
            <w:vAlign w:val="center"/>
            <w:hideMark/>
          </w:tcPr>
          <w:p w14:paraId="65C6DE89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19542CB3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(3=90-120 million VND)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4D439D54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25.6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35F7723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  <w:tr w:rsidR="00422AE7" w:rsidRPr="00C20533" w14:paraId="18A0B9EB" w14:textId="77777777" w:rsidTr="00B95952">
        <w:trPr>
          <w:trHeight w:val="330"/>
        </w:trPr>
        <w:tc>
          <w:tcPr>
            <w:tcW w:w="298" w:type="pct"/>
            <w:vMerge/>
            <w:shd w:val="clear" w:color="auto" w:fill="auto"/>
            <w:noWrap/>
            <w:vAlign w:val="center"/>
            <w:hideMark/>
          </w:tcPr>
          <w:p w14:paraId="4F7EB8B6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2023" w:type="pct"/>
            <w:vMerge/>
            <w:shd w:val="clear" w:color="auto" w:fill="auto"/>
            <w:noWrap/>
            <w:vAlign w:val="center"/>
            <w:hideMark/>
          </w:tcPr>
          <w:p w14:paraId="4B80EF44" w14:textId="77777777" w:rsidR="00422AE7" w:rsidRPr="00C20533" w:rsidRDefault="00422AE7" w:rsidP="00B95952">
            <w:pPr>
              <w:rPr>
                <w:sz w:val="20"/>
                <w:szCs w:val="20"/>
              </w:rPr>
            </w:pPr>
          </w:p>
        </w:tc>
        <w:tc>
          <w:tcPr>
            <w:tcW w:w="1628" w:type="pct"/>
            <w:shd w:val="clear" w:color="auto" w:fill="auto"/>
            <w:noWrap/>
            <w:vAlign w:val="center"/>
            <w:hideMark/>
          </w:tcPr>
          <w:p w14:paraId="2C67D2AE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(4=above 120 million VND)</w:t>
            </w:r>
          </w:p>
        </w:tc>
        <w:tc>
          <w:tcPr>
            <w:tcW w:w="578" w:type="pct"/>
            <w:shd w:val="clear" w:color="auto" w:fill="auto"/>
            <w:noWrap/>
            <w:vAlign w:val="center"/>
            <w:hideMark/>
          </w:tcPr>
          <w:p w14:paraId="260A21EC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3.2</w:t>
            </w:r>
          </w:p>
        </w:tc>
        <w:tc>
          <w:tcPr>
            <w:tcW w:w="473" w:type="pct"/>
            <w:shd w:val="clear" w:color="auto" w:fill="auto"/>
            <w:noWrap/>
            <w:hideMark/>
          </w:tcPr>
          <w:p w14:paraId="6DC423DD" w14:textId="77777777" w:rsidR="00422AE7" w:rsidRPr="00C20533" w:rsidRDefault="00422AE7" w:rsidP="00B95952">
            <w:pPr>
              <w:rPr>
                <w:sz w:val="20"/>
                <w:szCs w:val="20"/>
              </w:rPr>
            </w:pPr>
            <w:r w:rsidRPr="00C20533">
              <w:rPr>
                <w:sz w:val="20"/>
                <w:szCs w:val="20"/>
              </w:rPr>
              <w:t>-</w:t>
            </w:r>
          </w:p>
        </w:tc>
      </w:tr>
    </w:tbl>
    <w:p w14:paraId="13BE9D2A" w14:textId="77777777" w:rsidR="00422AE7" w:rsidRDefault="00422AE7" w:rsidP="00422AE7">
      <w:pPr>
        <w:spacing w:after="160" w:line="259" w:lineRule="auto"/>
        <w:rPr>
          <w:sz w:val="20"/>
          <w:szCs w:val="20"/>
        </w:rPr>
      </w:pPr>
    </w:p>
    <w:p w14:paraId="605AC1D0" w14:textId="404CD75C" w:rsidR="00422AE7" w:rsidRDefault="00422AE7" w:rsidP="00422AE7">
      <w:pPr>
        <w:spacing w:after="160" w:line="259" w:lineRule="auto"/>
        <w:rPr>
          <w:rFonts w:eastAsia="Calibri"/>
          <w:b/>
          <w:snapToGrid w:val="0"/>
          <w:sz w:val="20"/>
          <w:szCs w:val="20"/>
          <w:lang w:eastAsia="en-GB"/>
        </w:rPr>
      </w:pPr>
      <w:r w:rsidRPr="00C20533">
        <w:rPr>
          <w:sz w:val="20"/>
          <w:szCs w:val="20"/>
        </w:rPr>
        <w:t xml:space="preserve">The data in Table </w:t>
      </w:r>
      <w:r>
        <w:rPr>
          <w:sz w:val="20"/>
          <w:szCs w:val="20"/>
          <w:lang w:val="en-GB"/>
        </w:rPr>
        <w:t>S1</w:t>
      </w:r>
      <w:r w:rsidRPr="00C20533">
        <w:rPr>
          <w:sz w:val="20"/>
          <w:szCs w:val="20"/>
        </w:rPr>
        <w:t xml:space="preserve"> w</w:t>
      </w:r>
      <w:r>
        <w:rPr>
          <w:sz w:val="20"/>
          <w:szCs w:val="20"/>
        </w:rPr>
        <w:t>ere</w:t>
      </w:r>
      <w:r w:rsidRPr="00C20533">
        <w:rPr>
          <w:sz w:val="20"/>
          <w:szCs w:val="20"/>
        </w:rPr>
        <w:t xml:space="preserve"> used to assign </w:t>
      </w:r>
      <w:r>
        <w:rPr>
          <w:sz w:val="20"/>
          <w:szCs w:val="20"/>
        </w:rPr>
        <w:t xml:space="preserve">characteristics </w:t>
      </w:r>
      <w:r w:rsidRPr="00C20533">
        <w:rPr>
          <w:sz w:val="20"/>
          <w:szCs w:val="20"/>
        </w:rPr>
        <w:t xml:space="preserve">to agents in the </w:t>
      </w:r>
      <w:r>
        <w:rPr>
          <w:sz w:val="20"/>
          <w:szCs w:val="20"/>
        </w:rPr>
        <w:t>ABM</w:t>
      </w:r>
      <w:r>
        <w:rPr>
          <w:sz w:val="20"/>
          <w:szCs w:val="20"/>
          <w:lang w:val="en-GB"/>
        </w:rPr>
        <w:t>.</w:t>
      </w:r>
    </w:p>
    <w:p w14:paraId="5D320B52" w14:textId="77777777" w:rsidR="00422AE7" w:rsidRDefault="00422AE7">
      <w:pPr>
        <w:spacing w:after="160" w:line="259" w:lineRule="auto"/>
        <w:rPr>
          <w:rFonts w:eastAsia="Calibri"/>
          <w:b/>
          <w:snapToGrid w:val="0"/>
          <w:sz w:val="20"/>
          <w:szCs w:val="20"/>
          <w:lang w:eastAsia="en-GB"/>
        </w:rPr>
      </w:pPr>
      <w:r>
        <w:rPr>
          <w:sz w:val="20"/>
          <w:szCs w:val="20"/>
          <w:lang w:eastAsia="en-GB"/>
        </w:rPr>
        <w:br w:type="page"/>
      </w:r>
    </w:p>
    <w:p w14:paraId="1C286C0C" w14:textId="787FE2F0" w:rsidR="00E91F5C" w:rsidRPr="00C20533" w:rsidRDefault="00E91F5C" w:rsidP="00E91F5C">
      <w:pPr>
        <w:pStyle w:val="Heading2"/>
        <w:spacing w:before="0" w:after="0" w:line="480" w:lineRule="auto"/>
        <w:rPr>
          <w:sz w:val="20"/>
          <w:szCs w:val="20"/>
          <w:lang w:val="en-US" w:eastAsia="en-GB"/>
        </w:rPr>
      </w:pPr>
      <w:r>
        <w:rPr>
          <w:sz w:val="20"/>
          <w:szCs w:val="20"/>
          <w:lang w:val="en-US" w:eastAsia="en-GB"/>
        </w:rPr>
        <w:lastRenderedPageBreak/>
        <w:t xml:space="preserve">Implementation of the </w:t>
      </w:r>
      <w:r w:rsidRPr="00C20533">
        <w:rPr>
          <w:sz w:val="20"/>
          <w:szCs w:val="20"/>
          <w:lang w:val="en-US" w:eastAsia="en-GB"/>
        </w:rPr>
        <w:t>ABM for predicting pollutant discharge load from pig farming</w:t>
      </w:r>
    </w:p>
    <w:p w14:paraId="55C5DC81" w14:textId="77777777" w:rsidR="00E91F5C" w:rsidRPr="00C20533" w:rsidRDefault="00E91F5C" w:rsidP="00E91F5C">
      <w:p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In this study, </w:t>
      </w:r>
      <w:proofErr w:type="spellStart"/>
      <w:r w:rsidRPr="00C20533">
        <w:rPr>
          <w:bCs/>
          <w:sz w:val="20"/>
          <w:szCs w:val="20"/>
        </w:rPr>
        <w:t>NetLogo</w:t>
      </w:r>
      <w:proofErr w:type="spellEnd"/>
      <w:r w:rsidRPr="00C20533">
        <w:rPr>
          <w:bCs/>
          <w:sz w:val="20"/>
          <w:szCs w:val="20"/>
        </w:rPr>
        <w:t xml:space="preserve"> version 6.2.0 was used to develop the model. The model structure includes the following modules:</w:t>
      </w:r>
    </w:p>
    <w:p w14:paraId="22A91A08" w14:textId="01D1D0DF" w:rsidR="00E91F5C" w:rsidRPr="00E91F5C" w:rsidRDefault="00E91F5C" w:rsidP="00E91F5C">
      <w:pPr>
        <w:pStyle w:val="ListParagraph"/>
        <w:numPr>
          <w:ilvl w:val="0"/>
          <w:numId w:val="5"/>
        </w:numPr>
        <w:spacing w:line="480" w:lineRule="auto"/>
        <w:jc w:val="both"/>
        <w:rPr>
          <w:bCs/>
          <w:sz w:val="20"/>
          <w:szCs w:val="20"/>
        </w:rPr>
      </w:pPr>
      <w:r w:rsidRPr="00E91F5C">
        <w:rPr>
          <w:bCs/>
          <w:sz w:val="20"/>
          <w:szCs w:val="20"/>
        </w:rPr>
        <w:t>GIS-DATA and initial parameter setup:</w:t>
      </w:r>
    </w:p>
    <w:p w14:paraId="4C585E3A" w14:textId="77777777" w:rsidR="00E91F5C" w:rsidRPr="00C20533" w:rsidRDefault="00E91F5C" w:rsidP="00E91F5C">
      <w:pPr>
        <w:numPr>
          <w:ilvl w:val="0"/>
          <w:numId w:val="1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Import and manage GIS data, convert GIS data format into </w:t>
      </w:r>
      <w:proofErr w:type="spellStart"/>
      <w:r w:rsidRPr="00C20533">
        <w:rPr>
          <w:bCs/>
          <w:sz w:val="20"/>
          <w:szCs w:val="20"/>
        </w:rPr>
        <w:t>NetLogo</w:t>
      </w:r>
      <w:proofErr w:type="spellEnd"/>
      <w:r w:rsidRPr="00C20533">
        <w:rPr>
          <w:bCs/>
          <w:sz w:val="20"/>
          <w:szCs w:val="20"/>
        </w:rPr>
        <w:t>: Sub-basins map, land use map with residential areas, administrative map (commune), surveyed households (125 selected households for the survey)</w:t>
      </w:r>
    </w:p>
    <w:p w14:paraId="7523AF2F" w14:textId="77777777" w:rsidR="00E91F5C" w:rsidRPr="00C20533" w:rsidRDefault="00E91F5C" w:rsidP="00E91F5C">
      <w:pPr>
        <w:numPr>
          <w:ilvl w:val="0"/>
          <w:numId w:val="1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Create households (agent)</w:t>
      </w:r>
    </w:p>
    <w:p w14:paraId="75048F4A" w14:textId="77777777" w:rsidR="00E91F5C" w:rsidRPr="00C20533" w:rsidRDefault="00E91F5C" w:rsidP="00E91F5C">
      <w:pPr>
        <w:numPr>
          <w:ilvl w:val="0"/>
          <w:numId w:val="1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Setup global parameters</w:t>
      </w:r>
    </w:p>
    <w:p w14:paraId="4AF9F568" w14:textId="77777777" w:rsidR="00E91F5C" w:rsidRPr="00C20533" w:rsidRDefault="00E91F5C" w:rsidP="00E91F5C">
      <w:pPr>
        <w:numPr>
          <w:ilvl w:val="0"/>
          <w:numId w:val="1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Assign of properties for households and land patches.</w:t>
      </w:r>
    </w:p>
    <w:p w14:paraId="7248636E" w14:textId="3AFBE739" w:rsidR="00E91F5C" w:rsidRPr="00E91F5C" w:rsidRDefault="00E91F5C" w:rsidP="00E91F5C">
      <w:pPr>
        <w:pStyle w:val="ListParagraph"/>
        <w:numPr>
          <w:ilvl w:val="0"/>
          <w:numId w:val="5"/>
        </w:numPr>
        <w:spacing w:line="480" w:lineRule="auto"/>
        <w:jc w:val="both"/>
        <w:rPr>
          <w:bCs/>
          <w:sz w:val="20"/>
          <w:szCs w:val="20"/>
        </w:rPr>
      </w:pPr>
      <w:r w:rsidRPr="00E91F5C">
        <w:rPr>
          <w:bCs/>
          <w:sz w:val="20"/>
          <w:szCs w:val="20"/>
        </w:rPr>
        <w:t>CALCULATE POLLUTANT LOAD AND PREDICT BEHAVIOR:</w:t>
      </w:r>
    </w:p>
    <w:p w14:paraId="5E1B6C32" w14:textId="77777777" w:rsidR="00E91F5C" w:rsidRPr="00C20533" w:rsidRDefault="00E91F5C" w:rsidP="00E91F5C">
      <w:pPr>
        <w:numPr>
          <w:ilvl w:val="0"/>
          <w:numId w:val="2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Calculate pollutant load based on emission coefficients issued by regulation 154/QD-TCMT </w:t>
      </w:r>
      <w:r w:rsidRPr="00C20533">
        <w:rPr>
          <w:bCs/>
          <w:sz w:val="20"/>
          <w:szCs w:val="20"/>
        </w:rPr>
        <w:fldChar w:fldCharType="begin"/>
      </w:r>
      <w:r w:rsidRPr="00C20533">
        <w:rPr>
          <w:bCs/>
          <w:sz w:val="20"/>
          <w:szCs w:val="20"/>
        </w:rPr>
        <w:instrText xml:space="preserve"> ADDIN EN.CITE &lt;EndNote&gt;&lt;Cite&gt;&lt;Author&gt;VEA&lt;/Author&gt;&lt;Year&gt;2019&lt;/Year&gt;&lt;RecNum&gt;393&lt;/RecNum&gt;&lt;DisplayText&gt;(VEA, 2019)&lt;/DisplayText&gt;&lt;record&gt;&lt;rec-number&gt;393&lt;/rec-number&gt;&lt;foreign-keys&gt;&lt;key app="EN" db-id="f0xextta1s0faae0wxppxxfl02dzrwvaesx5" timestamp="0"&gt;393&lt;/key&gt;&lt;/foreign-keys&gt;&lt;ref-type name="Government Document"&gt;46&lt;/ref-type&gt;&lt;contributors&gt;&lt;authors&gt;&lt;author&gt;VEA &lt;/author&gt;&lt;/authors&gt;&lt;/contributors&gt;&lt;titles&gt;&lt;title&gt;&lt;style face="normal" font="default" size="100%"&gt;Decision number 154/Q&lt;/style&gt;&lt;style face="normal" font="default" charset="238" size="100%"&gt;Đ-TCMT dated 15/2/2019 re. Issueing technical guideline on estimating Total maximal dialy load of rever water&lt;/style&gt;&lt;/title&gt;&lt;/titles&gt;&lt;dates&gt;&lt;year&gt;2019&lt;/year&gt;&lt;/dates&gt;&lt;publisher&gt;Vietnam Environment Administration (VEA)&lt;/publisher&gt;&lt;urls&gt;&lt;/urls&gt;&lt;/record&gt;&lt;/Cite&gt;&lt;/EndNote&gt;</w:instrText>
      </w:r>
      <w:r w:rsidRPr="00C20533">
        <w:rPr>
          <w:bCs/>
          <w:sz w:val="20"/>
          <w:szCs w:val="20"/>
        </w:rPr>
        <w:fldChar w:fldCharType="separate"/>
      </w:r>
      <w:r w:rsidRPr="00C20533">
        <w:rPr>
          <w:bCs/>
          <w:noProof/>
          <w:sz w:val="20"/>
          <w:szCs w:val="20"/>
        </w:rPr>
        <w:t>(VEA, 2019)</w:t>
      </w:r>
      <w:r w:rsidRPr="00C20533">
        <w:rPr>
          <w:bCs/>
          <w:sz w:val="20"/>
          <w:szCs w:val="20"/>
        </w:rPr>
        <w:fldChar w:fldCharType="end"/>
      </w:r>
      <w:r w:rsidRPr="00C20533">
        <w:rPr>
          <w:bCs/>
          <w:sz w:val="20"/>
          <w:szCs w:val="20"/>
        </w:rPr>
        <w:t>.</w:t>
      </w:r>
    </w:p>
    <w:p w14:paraId="5D12901B" w14:textId="77777777" w:rsidR="00E91F5C" w:rsidRPr="00C20533" w:rsidRDefault="00E91F5C" w:rsidP="00E91F5C">
      <w:pPr>
        <w:numPr>
          <w:ilvl w:val="0"/>
          <w:numId w:val="2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Calculate the manure reuse through behavioral prediction model</w:t>
      </w:r>
    </w:p>
    <w:p w14:paraId="2C2F42C3" w14:textId="77777777" w:rsidR="00E91F5C" w:rsidRPr="00C20533" w:rsidRDefault="00E91F5C" w:rsidP="00E91F5C">
      <w:pPr>
        <w:numPr>
          <w:ilvl w:val="0"/>
          <w:numId w:val="2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Calculation of manure treatment rate (biogas)</w:t>
      </w:r>
      <w:r>
        <w:rPr>
          <w:bCs/>
          <w:sz w:val="20"/>
          <w:szCs w:val="20"/>
        </w:rPr>
        <w:t>.</w:t>
      </w:r>
    </w:p>
    <w:p w14:paraId="2C20FC59" w14:textId="77777777" w:rsidR="00E91F5C" w:rsidRPr="00C20533" w:rsidRDefault="00E91F5C" w:rsidP="00E91F5C">
      <w:pPr>
        <w:numPr>
          <w:ilvl w:val="0"/>
          <w:numId w:val="2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Calculating discharge load into the sub-basins</w:t>
      </w:r>
      <w:r>
        <w:rPr>
          <w:bCs/>
          <w:sz w:val="20"/>
          <w:szCs w:val="20"/>
        </w:rPr>
        <w:t>.</w:t>
      </w:r>
    </w:p>
    <w:p w14:paraId="087D9D14" w14:textId="6F57B065" w:rsidR="00E91F5C" w:rsidRPr="00E91F5C" w:rsidRDefault="00E91F5C" w:rsidP="00E91F5C">
      <w:pPr>
        <w:pStyle w:val="ListParagraph"/>
        <w:numPr>
          <w:ilvl w:val="0"/>
          <w:numId w:val="5"/>
        </w:numPr>
        <w:spacing w:line="480" w:lineRule="auto"/>
        <w:jc w:val="both"/>
        <w:rPr>
          <w:bCs/>
          <w:sz w:val="20"/>
          <w:szCs w:val="20"/>
        </w:rPr>
      </w:pPr>
      <w:r w:rsidRPr="00E91F5C">
        <w:rPr>
          <w:bCs/>
          <w:sz w:val="20"/>
          <w:szCs w:val="20"/>
        </w:rPr>
        <w:t>UPDATE:</w:t>
      </w:r>
    </w:p>
    <w:p w14:paraId="55FFCB53" w14:textId="77777777" w:rsidR="00E91F5C" w:rsidRPr="00C20533" w:rsidRDefault="00E91F5C" w:rsidP="00E91F5C">
      <w:pPr>
        <w:numPr>
          <w:ilvl w:val="0"/>
          <w:numId w:val="3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Update parameters related to feedbacks </w:t>
      </w:r>
      <w:r w:rsidRPr="00C20533">
        <w:rPr>
          <w:bCs/>
          <w:i/>
          <w:sz w:val="20"/>
          <w:szCs w:val="20"/>
        </w:rPr>
        <w:t>r</w:t>
      </w:r>
      <w:r w:rsidRPr="00C20533">
        <w:rPr>
          <w:bCs/>
          <w:i/>
          <w:sz w:val="20"/>
          <w:szCs w:val="20"/>
          <w:vertAlign w:val="subscript"/>
        </w:rPr>
        <w:t>1</w:t>
      </w:r>
      <w:r w:rsidRPr="00C20533">
        <w:rPr>
          <w:bCs/>
          <w:sz w:val="20"/>
          <w:szCs w:val="20"/>
        </w:rPr>
        <w:t xml:space="preserve"> and </w:t>
      </w:r>
      <w:r w:rsidRPr="00C20533">
        <w:rPr>
          <w:bCs/>
          <w:i/>
          <w:sz w:val="20"/>
          <w:szCs w:val="20"/>
        </w:rPr>
        <w:t>r</w:t>
      </w:r>
      <w:r w:rsidRPr="00C20533">
        <w:rPr>
          <w:bCs/>
          <w:i/>
          <w:sz w:val="20"/>
          <w:szCs w:val="20"/>
          <w:vertAlign w:val="subscript"/>
        </w:rPr>
        <w:t>2</w:t>
      </w:r>
      <w:r w:rsidRPr="00C20533">
        <w:rPr>
          <w:bCs/>
          <w:sz w:val="20"/>
          <w:szCs w:val="20"/>
        </w:rPr>
        <w:t xml:space="preserve"> (Fig. 5). Where </w:t>
      </w:r>
      <w:r w:rsidRPr="00C20533">
        <w:rPr>
          <w:bCs/>
          <w:i/>
          <w:sz w:val="20"/>
          <w:szCs w:val="20"/>
        </w:rPr>
        <w:t>r</w:t>
      </w:r>
      <w:r w:rsidRPr="00C20533">
        <w:rPr>
          <w:bCs/>
          <w:i/>
          <w:sz w:val="20"/>
          <w:szCs w:val="20"/>
          <w:vertAlign w:val="subscript"/>
        </w:rPr>
        <w:t>1</w:t>
      </w:r>
      <w:r w:rsidRPr="00C20533">
        <w:rPr>
          <w:bCs/>
          <w:sz w:val="20"/>
          <w:szCs w:val="20"/>
        </w:rPr>
        <w:t xml:space="preserve"> is the distance and density between agents; </w:t>
      </w:r>
      <w:r w:rsidRPr="00C20533">
        <w:rPr>
          <w:bCs/>
          <w:i/>
          <w:sz w:val="20"/>
          <w:szCs w:val="20"/>
        </w:rPr>
        <w:t>r</w:t>
      </w:r>
      <w:r w:rsidRPr="00C20533">
        <w:rPr>
          <w:bCs/>
          <w:i/>
          <w:sz w:val="20"/>
          <w:szCs w:val="20"/>
          <w:vertAlign w:val="subscript"/>
        </w:rPr>
        <w:t>2</w:t>
      </w:r>
      <w:r w:rsidRPr="00C20533">
        <w:rPr>
          <w:bCs/>
          <w:sz w:val="20"/>
          <w:szCs w:val="20"/>
        </w:rPr>
        <w:t xml:space="preserve"> is the </w:t>
      </w:r>
      <w:r w:rsidRPr="00C20533">
        <w:rPr>
          <w:sz w:val="20"/>
          <w:szCs w:val="20"/>
        </w:rPr>
        <w:t>higher waste discharge rate compare</w:t>
      </w:r>
      <w:r>
        <w:rPr>
          <w:sz w:val="20"/>
          <w:szCs w:val="20"/>
        </w:rPr>
        <w:t>d</w:t>
      </w:r>
      <w:r w:rsidRPr="00C20533">
        <w:rPr>
          <w:sz w:val="20"/>
          <w:szCs w:val="20"/>
        </w:rPr>
        <w:t xml:space="preserve"> to neighbors.</w:t>
      </w:r>
    </w:p>
    <w:p w14:paraId="51281ECB" w14:textId="54671481" w:rsidR="00E91F5C" w:rsidRPr="00E91F5C" w:rsidRDefault="00E91F5C" w:rsidP="00E91F5C">
      <w:pPr>
        <w:pStyle w:val="ListParagraph"/>
        <w:numPr>
          <w:ilvl w:val="0"/>
          <w:numId w:val="5"/>
        </w:numPr>
        <w:spacing w:line="480" w:lineRule="auto"/>
        <w:jc w:val="both"/>
        <w:rPr>
          <w:bCs/>
          <w:sz w:val="20"/>
          <w:szCs w:val="20"/>
        </w:rPr>
      </w:pPr>
      <w:r w:rsidRPr="00E91F5C">
        <w:rPr>
          <w:bCs/>
          <w:sz w:val="20"/>
          <w:szCs w:val="20"/>
        </w:rPr>
        <w:t>MODEL VALIDATION:</w:t>
      </w:r>
    </w:p>
    <w:p w14:paraId="0B324451" w14:textId="77777777" w:rsidR="00E91F5C" w:rsidRPr="00C20533" w:rsidRDefault="00E91F5C" w:rsidP="00E91F5C">
      <w:pPr>
        <w:numPr>
          <w:ilvl w:val="0"/>
          <w:numId w:val="3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Sensitivity analysis </w:t>
      </w:r>
    </w:p>
    <w:p w14:paraId="2273807D" w14:textId="77777777" w:rsidR="00E91F5C" w:rsidRPr="00C20533" w:rsidRDefault="00E91F5C" w:rsidP="00E91F5C">
      <w:pPr>
        <w:numPr>
          <w:ilvl w:val="0"/>
          <w:numId w:val="3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Validate the response of agents with ROC statistic</w:t>
      </w:r>
    </w:p>
    <w:p w14:paraId="44150391" w14:textId="77777777" w:rsidR="00E91F5C" w:rsidRPr="00C20533" w:rsidRDefault="00E91F5C" w:rsidP="00E91F5C">
      <w:pPr>
        <w:numPr>
          <w:ilvl w:val="0"/>
          <w:numId w:val="3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Model output validation.</w:t>
      </w:r>
    </w:p>
    <w:p w14:paraId="7536A871" w14:textId="4946779B" w:rsidR="00E91F5C" w:rsidRPr="00E91F5C" w:rsidRDefault="00E91F5C" w:rsidP="00E91F5C">
      <w:pPr>
        <w:pStyle w:val="ListParagraph"/>
        <w:numPr>
          <w:ilvl w:val="0"/>
          <w:numId w:val="5"/>
        </w:numPr>
        <w:spacing w:line="480" w:lineRule="auto"/>
        <w:jc w:val="both"/>
        <w:rPr>
          <w:bCs/>
          <w:sz w:val="20"/>
          <w:szCs w:val="20"/>
        </w:rPr>
      </w:pPr>
      <w:r w:rsidRPr="00E91F5C">
        <w:rPr>
          <w:bCs/>
          <w:sz w:val="20"/>
          <w:szCs w:val="20"/>
        </w:rPr>
        <w:t>MAP LEGEND AND GRAPH:</w:t>
      </w:r>
    </w:p>
    <w:p w14:paraId="4CE8DDED" w14:textId="77777777" w:rsidR="00E91F5C" w:rsidRPr="00C20533" w:rsidRDefault="00E91F5C" w:rsidP="00E91F5C">
      <w:pPr>
        <w:numPr>
          <w:ilvl w:val="0"/>
          <w:numId w:val="4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Calculate color tones and brightness for pollutant load variation representation on the map and graph.</w:t>
      </w:r>
    </w:p>
    <w:p w14:paraId="1C96B613" w14:textId="459ADC7A" w:rsidR="00E91F5C" w:rsidRPr="00C20533" w:rsidRDefault="00E91F5C" w:rsidP="00E91F5C">
      <w:pPr>
        <w:numPr>
          <w:ilvl w:val="0"/>
          <w:numId w:val="4"/>
        </w:num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 xml:space="preserve">Model interface was designed as in Fig. </w:t>
      </w:r>
      <w:r>
        <w:rPr>
          <w:bCs/>
          <w:sz w:val="20"/>
          <w:szCs w:val="20"/>
        </w:rPr>
        <w:t>S</w:t>
      </w:r>
      <w:r w:rsidRPr="00C20533">
        <w:rPr>
          <w:bCs/>
          <w:sz w:val="20"/>
          <w:szCs w:val="20"/>
        </w:rPr>
        <w:t>1.</w:t>
      </w:r>
    </w:p>
    <w:p w14:paraId="5CD3BCBC" w14:textId="20D4F9A9" w:rsidR="00E91F5C" w:rsidRPr="00C20533" w:rsidRDefault="00E91F5C" w:rsidP="00E91F5C">
      <w:pPr>
        <w:spacing w:line="480" w:lineRule="auto"/>
        <w:jc w:val="center"/>
        <w:rPr>
          <w:sz w:val="20"/>
          <w:szCs w:val="20"/>
        </w:rPr>
      </w:pPr>
      <w:r w:rsidRPr="00C20533">
        <w:rPr>
          <w:noProof/>
          <w:sz w:val="20"/>
          <w:szCs w:val="20"/>
        </w:rPr>
        <w:lastRenderedPageBreak/>
        <w:drawing>
          <wp:inline distT="0" distB="0" distL="0" distR="0" wp14:anchorId="5C2E25D2" wp14:editId="58647478">
            <wp:extent cx="4962525" cy="3457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40" b="3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C5D3A" w14:textId="2D902D4F" w:rsidR="00E91F5C" w:rsidRPr="00C20533" w:rsidRDefault="00E91F5C" w:rsidP="00E91F5C">
      <w:pPr>
        <w:spacing w:line="480" w:lineRule="auto"/>
        <w:jc w:val="center"/>
        <w:rPr>
          <w:b/>
          <w:sz w:val="20"/>
          <w:szCs w:val="20"/>
        </w:rPr>
      </w:pPr>
      <w:r w:rsidRPr="00C20533">
        <w:rPr>
          <w:b/>
          <w:sz w:val="20"/>
          <w:szCs w:val="20"/>
        </w:rPr>
        <w:t xml:space="preserve">Fig. </w:t>
      </w:r>
      <w:r>
        <w:rPr>
          <w:b/>
          <w:sz w:val="20"/>
          <w:szCs w:val="20"/>
        </w:rPr>
        <w:t>S</w:t>
      </w:r>
      <w:r w:rsidR="00422AE7">
        <w:rPr>
          <w:b/>
          <w:sz w:val="20"/>
          <w:szCs w:val="20"/>
        </w:rPr>
        <w:t>2</w:t>
      </w:r>
      <w:r w:rsidRPr="00C20533">
        <w:rPr>
          <w:b/>
          <w:sz w:val="20"/>
          <w:szCs w:val="20"/>
          <w:lang w:val="vi-VN"/>
        </w:rPr>
        <w:t xml:space="preserve"> </w:t>
      </w:r>
      <w:r w:rsidRPr="00C20533">
        <w:rPr>
          <w:b/>
          <w:sz w:val="20"/>
          <w:szCs w:val="20"/>
        </w:rPr>
        <w:t xml:space="preserve">Model interface for simulating spatial pollutant loads from pig farming in </w:t>
      </w:r>
      <w:proofErr w:type="spellStart"/>
      <w:r w:rsidRPr="00C20533">
        <w:rPr>
          <w:b/>
          <w:sz w:val="20"/>
          <w:szCs w:val="20"/>
        </w:rPr>
        <w:t>NetLogo</w:t>
      </w:r>
      <w:proofErr w:type="spellEnd"/>
    </w:p>
    <w:p w14:paraId="563D9BF7" w14:textId="77777777" w:rsidR="00E91F5C" w:rsidRDefault="00E91F5C" w:rsidP="00E91F5C">
      <w:pPr>
        <w:spacing w:line="480" w:lineRule="auto"/>
        <w:jc w:val="both"/>
        <w:rPr>
          <w:bCs/>
          <w:sz w:val="20"/>
          <w:szCs w:val="20"/>
        </w:rPr>
      </w:pPr>
    </w:p>
    <w:p w14:paraId="09914740" w14:textId="725EB216" w:rsidR="00E91F5C" w:rsidRDefault="00E91F5C" w:rsidP="00E91F5C">
      <w:pPr>
        <w:spacing w:line="480" w:lineRule="auto"/>
        <w:jc w:val="both"/>
        <w:rPr>
          <w:bCs/>
          <w:sz w:val="20"/>
          <w:szCs w:val="20"/>
        </w:rPr>
      </w:pPr>
      <w:r w:rsidRPr="00C20533">
        <w:rPr>
          <w:bCs/>
          <w:sz w:val="20"/>
          <w:szCs w:val="20"/>
        </w:rPr>
        <w:t>The model interface includes some tabs and slider bars for user interaction</w:t>
      </w:r>
      <w:r>
        <w:rPr>
          <w:bCs/>
          <w:sz w:val="20"/>
          <w:szCs w:val="20"/>
        </w:rPr>
        <w:t>s</w:t>
      </w:r>
      <w:r w:rsidRPr="00C20533">
        <w:rPr>
          <w:bCs/>
          <w:sz w:val="20"/>
          <w:szCs w:val="20"/>
        </w:rPr>
        <w:t xml:space="preserve">. The setup tab </w:t>
      </w:r>
      <w:r>
        <w:rPr>
          <w:bCs/>
          <w:sz w:val="20"/>
          <w:szCs w:val="20"/>
        </w:rPr>
        <w:t xml:space="preserve">is used </w:t>
      </w:r>
      <w:r w:rsidRPr="00C20533">
        <w:rPr>
          <w:bCs/>
          <w:sz w:val="20"/>
          <w:szCs w:val="20"/>
        </w:rPr>
        <w:t xml:space="preserve">to import GIS data and assign other input variables. </w:t>
      </w:r>
      <w:r>
        <w:rPr>
          <w:bCs/>
          <w:sz w:val="20"/>
          <w:szCs w:val="20"/>
        </w:rPr>
        <w:t xml:space="preserve">The main part of the model </w:t>
      </w:r>
      <w:r w:rsidRPr="00C20533">
        <w:rPr>
          <w:bCs/>
          <w:sz w:val="20"/>
          <w:szCs w:val="20"/>
        </w:rPr>
        <w:t xml:space="preserve">interface </w:t>
      </w:r>
      <w:r>
        <w:rPr>
          <w:bCs/>
          <w:sz w:val="20"/>
          <w:szCs w:val="20"/>
        </w:rPr>
        <w:t xml:space="preserve">is where the maps </w:t>
      </w:r>
      <w:r w:rsidRPr="00C20533">
        <w:rPr>
          <w:bCs/>
          <w:sz w:val="20"/>
          <w:szCs w:val="20"/>
        </w:rPr>
        <w:t>(e.g.</w:t>
      </w:r>
      <w:r>
        <w:rPr>
          <w:bCs/>
          <w:sz w:val="20"/>
          <w:szCs w:val="20"/>
        </w:rPr>
        <w:t>,</w:t>
      </w:r>
      <w:r w:rsidRPr="00C20533">
        <w:rPr>
          <w:bCs/>
          <w:sz w:val="20"/>
          <w:szCs w:val="20"/>
        </w:rPr>
        <w:t xml:space="preserve"> pollution loads, locations of discharge points, boundaries of sub-basins and communes, etc.) are shown. In addition, the interface also has an option to display output results according to different input scenarios.</w:t>
      </w:r>
    </w:p>
    <w:p w14:paraId="2567192D" w14:textId="77777777" w:rsidR="00E91F5C" w:rsidRPr="00C20533" w:rsidRDefault="00E91F5C" w:rsidP="00E91F5C">
      <w:pPr>
        <w:spacing w:line="480" w:lineRule="auto"/>
        <w:jc w:val="both"/>
        <w:rPr>
          <w:bCs/>
          <w:sz w:val="20"/>
          <w:szCs w:val="20"/>
        </w:rPr>
      </w:pPr>
    </w:p>
    <w:p w14:paraId="4A0AC6DF" w14:textId="77777777" w:rsidR="00422AE7" w:rsidRDefault="00422AE7"/>
    <w:sectPr w:rsidR="00422A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F277D"/>
    <w:multiLevelType w:val="hybridMultilevel"/>
    <w:tmpl w:val="31CEF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06B14"/>
    <w:multiLevelType w:val="hybridMultilevel"/>
    <w:tmpl w:val="AE629B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F908C8"/>
    <w:multiLevelType w:val="hybridMultilevel"/>
    <w:tmpl w:val="0E4CE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455505"/>
    <w:multiLevelType w:val="hybridMultilevel"/>
    <w:tmpl w:val="0C14D3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100C9C"/>
    <w:multiLevelType w:val="hybridMultilevel"/>
    <w:tmpl w:val="EB1C5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F5C"/>
    <w:rsid w:val="000348F8"/>
    <w:rsid w:val="0027631B"/>
    <w:rsid w:val="00422AE7"/>
    <w:rsid w:val="00777A5F"/>
    <w:rsid w:val="00DF2B15"/>
    <w:rsid w:val="00E9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3190B"/>
  <w15:chartTrackingRefBased/>
  <w15:docId w15:val="{58D4AA33-B48A-474D-B515-CB99D58D9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1F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E91F5C"/>
    <w:pPr>
      <w:keepNext/>
      <w:widowControl w:val="0"/>
      <w:spacing w:before="120" w:after="120"/>
      <w:outlineLvl w:val="1"/>
    </w:pPr>
    <w:rPr>
      <w:rFonts w:eastAsia="Calibri"/>
      <w:b/>
      <w:snapToGrid w:val="0"/>
      <w:sz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91F5C"/>
    <w:rPr>
      <w:rFonts w:ascii="Times New Roman" w:eastAsia="Calibri" w:hAnsi="Times New Roman" w:cs="Times New Roman"/>
      <w:b/>
      <w:snapToGrid w:val="0"/>
      <w:sz w:val="24"/>
      <w:szCs w:val="28"/>
      <w:lang w:val="it-IT"/>
    </w:rPr>
  </w:style>
  <w:style w:type="paragraph" w:styleId="ListParagraph">
    <w:name w:val="List Paragraph"/>
    <w:basedOn w:val="Normal"/>
    <w:uiPriority w:val="34"/>
    <w:qFormat/>
    <w:rsid w:val="00E91F5C"/>
    <w:pPr>
      <w:ind w:left="720"/>
      <w:contextualSpacing/>
    </w:pPr>
  </w:style>
  <w:style w:type="paragraph" w:styleId="Caption">
    <w:name w:val="caption"/>
    <w:aliases w:val="Title_table,Caption Char1 Char,Caption Char Char Char,Caption Char Char Char Char Char Char Char Char,Caption Char Char Char Char Char Char1 Char,Caption Char"/>
    <w:basedOn w:val="Normal"/>
    <w:next w:val="Normal"/>
    <w:link w:val="CaptionChar1"/>
    <w:autoRedefine/>
    <w:uiPriority w:val="35"/>
    <w:qFormat/>
    <w:rsid w:val="00DF2B15"/>
    <w:pPr>
      <w:keepNext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eastAsia="Calibri"/>
      <w:color w:val="000000"/>
      <w:sz w:val="20"/>
      <w:szCs w:val="20"/>
      <w:lang w:val="cs-CZ"/>
    </w:rPr>
  </w:style>
  <w:style w:type="character" w:customStyle="1" w:styleId="CaptionChar1">
    <w:name w:val="Caption Char1"/>
    <w:aliases w:val="Title_table Char,Caption Char1 Char Char,Caption Char Char Char Char,Caption Char Char Char Char Char Char Char Char Char,Caption Char Char Char Char Char Char1 Char Char,Caption Char Char"/>
    <w:link w:val="Caption"/>
    <w:uiPriority w:val="35"/>
    <w:rsid w:val="00DF2B15"/>
    <w:rPr>
      <w:rFonts w:ascii="Times New Roman" w:eastAsia="Calibri" w:hAnsi="Times New Roman" w:cs="Times New Roman"/>
      <w:color w:val="000000"/>
      <w:sz w:val="20"/>
      <w:szCs w:val="20"/>
      <w:lang w:val="cs-CZ"/>
    </w:rPr>
  </w:style>
  <w:style w:type="paragraph" w:customStyle="1" w:styleId="Figure">
    <w:name w:val="Figure"/>
    <w:basedOn w:val="Caption"/>
    <w:autoRedefine/>
    <w:rsid w:val="00DF2B15"/>
    <w:pPr>
      <w:overflowPunct/>
      <w:autoSpaceDE/>
      <w:autoSpaceDN/>
      <w:adjustRightInd/>
      <w:textAlignment w:val="auto"/>
    </w:pPr>
    <w:rPr>
      <w:rFonts w:ascii="Arial" w:hAnsi="Arial" w:cs="Arial"/>
      <w:b/>
      <w:sz w:val="18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27631B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27631B"/>
    <w:rPr>
      <w:rFonts w:ascii="Times New Roman" w:eastAsia="Times New Roman" w:hAnsi="Times New Roman" w:cs="Times New Roman"/>
      <w:noProof/>
      <w:sz w:val="28"/>
      <w:szCs w:val="28"/>
    </w:rPr>
  </w:style>
  <w:style w:type="character" w:styleId="Hyperlink">
    <w:name w:val="Hyperlink"/>
    <w:uiPriority w:val="99"/>
    <w:rsid w:val="00422AE7"/>
    <w:rPr>
      <w:color w:val="0000FF"/>
      <w:u w:val="single"/>
    </w:rPr>
  </w:style>
  <w:style w:type="paragraph" w:customStyle="1" w:styleId="MDPI13authornames">
    <w:name w:val="MDPI_1.3_authornames"/>
    <w:basedOn w:val="Normal"/>
    <w:next w:val="MDPI14history"/>
    <w:qFormat/>
    <w:rsid w:val="00422AE7"/>
    <w:pPr>
      <w:adjustRightInd w:val="0"/>
      <w:snapToGrid w:val="0"/>
      <w:spacing w:after="120" w:line="260" w:lineRule="atLeast"/>
    </w:pPr>
    <w:rPr>
      <w:rFonts w:ascii="Palatino Linotype" w:hAnsi="Palatino Linotype"/>
      <w:b/>
      <w:color w:val="000000"/>
      <w:sz w:val="20"/>
      <w:szCs w:val="22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422AE7"/>
    <w:pPr>
      <w:adjustRightInd w:val="0"/>
      <w:snapToGrid w:val="0"/>
      <w:spacing w:before="120" w:line="200" w:lineRule="atLeast"/>
      <w:ind w:left="113"/>
    </w:pPr>
    <w:rPr>
      <w:rFonts w:ascii="Palatino Linotype" w:hAnsi="Palatino Linotype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422AE7"/>
    <w:pPr>
      <w:adjustRightInd w:val="0"/>
      <w:snapToGrid w:val="0"/>
      <w:spacing w:line="200" w:lineRule="atLeast"/>
      <w:ind w:left="311" w:hanging="198"/>
    </w:pPr>
    <w:rPr>
      <w:rFonts w:ascii="Palatino Linotype" w:hAnsi="Palatino Linotype"/>
      <w:color w:val="000000"/>
      <w:sz w:val="18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see@iiasa.ac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tan@vnua.edu.v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ntan@vnua.edu.v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664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 Linda</dc:creator>
  <cp:keywords/>
  <dc:description/>
  <cp:lastModifiedBy>ngoth</cp:lastModifiedBy>
  <cp:revision>5</cp:revision>
  <dcterms:created xsi:type="dcterms:W3CDTF">2021-05-26T08:09:00Z</dcterms:created>
  <dcterms:modified xsi:type="dcterms:W3CDTF">2021-05-28T10:31:00Z</dcterms:modified>
</cp:coreProperties>
</file>