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81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 Regular" w:hAnsi="Times New Roman Regular" w:eastAsia="ti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ti" w:cs="Times New Roman Regular"/>
          <w:sz w:val="28"/>
          <w:szCs w:val="28"/>
          <w:lang w:val="en-US" w:eastAsia="zh-CN"/>
        </w:rPr>
        <w:t>Supplementary Figures for</w:t>
      </w:r>
    </w:p>
    <w:p w14:paraId="4D06D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 Regular" w:hAnsi="Times New Roman Regular" w:eastAsia="ti" w:cs="Times New Roman Regular"/>
          <w:sz w:val="28"/>
          <w:szCs w:val="28"/>
          <w:lang w:val="en-US" w:eastAsia="zh-CN"/>
        </w:rPr>
      </w:pPr>
    </w:p>
    <w:p w14:paraId="5AAFD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 Bold" w:hAnsi="Times New Roman Bold" w:eastAsia="ti" w:cs="Times New Roman Bold"/>
          <w:b/>
          <w:bCs/>
          <w:sz w:val="30"/>
          <w:szCs w:val="30"/>
          <w:lang w:val="en-US" w:eastAsia="zh-CN"/>
        </w:rPr>
      </w:pPr>
      <w:r>
        <w:rPr>
          <w:rFonts w:hint="default" w:ascii="Times New Roman Bold" w:hAnsi="Times New Roman Bold" w:eastAsia="ti" w:cs="Times New Roman Bold"/>
          <w:b/>
          <w:bCs/>
          <w:sz w:val="30"/>
          <w:szCs w:val="30"/>
          <w:lang w:val="en-US" w:eastAsia="zh-CN"/>
        </w:rPr>
        <w:t>GeneBag: training a cell foundation model for broad-spectrum cancer diagnosis and prognosis with bulk RNA-seq data</w:t>
      </w:r>
    </w:p>
    <w:p w14:paraId="3AF0C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 Bold" w:hAnsi="Times New Roman Bold" w:eastAsia="ti" w:cs="Times New Roman Bold"/>
          <w:b/>
          <w:bCs/>
          <w:sz w:val="30"/>
          <w:szCs w:val="30"/>
          <w:lang w:val="en-US" w:eastAsia="zh-CN"/>
        </w:rPr>
      </w:pPr>
    </w:p>
    <w:p w14:paraId="5C1BB823">
      <w:pPr>
        <w:rPr>
          <w:rFonts w:hint="default"/>
          <w:lang w:val="en-US" w:eastAsia="zh-CN"/>
        </w:rPr>
      </w:pPr>
      <w:bookmarkStart w:id="0" w:name="_GoBack"/>
      <w:bookmarkEnd w:id="0"/>
    </w:p>
    <w:p w14:paraId="67B89A04">
      <w:pPr>
        <w:rPr>
          <w:rFonts w:hint="eastAsia" w:eastAsiaTheme="minorEastAsia"/>
          <w:lang w:eastAsia="zh-CN"/>
        </w:rPr>
      </w:pPr>
    </w:p>
    <w:p w14:paraId="296A1F49">
      <w:pP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</w:p>
    <w:p w14:paraId="59C7BA8E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116C2965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4EAAECC7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692512E1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5D420263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065F0485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58F8F86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5B30FCA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3443C19C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114E2B78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03C95DF2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71BD7A59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412081E5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45A7AC17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A381517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07C6EB92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4F8707C4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467FB8FF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E198262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1E6B66F3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6C83A7E6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563F4306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7C04863C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F2177FA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2AF5DAE7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22470" cy="3701415"/>
            <wp:effectExtent l="0" t="0" r="24130" b="0"/>
            <wp:wrapTopAndBottom/>
            <wp:docPr id="4" name="Picture 4" descr="figS1.Num_of_Each_Cell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figS1.Num_of_Each_CellTyp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247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966AF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</w:p>
    <w:p w14:paraId="07A41059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>Figure S1 The number of each cell type in the Zheng68K.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The dataset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consists of 11 cell types, totaling 68,450 cells.</w:t>
      </w:r>
    </w:p>
    <w:p w14:paraId="31527369">
      <w:pPr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-306070</wp:posOffset>
            </wp:positionH>
            <wp:positionV relativeFrom="paragraph">
              <wp:posOffset>133350</wp:posOffset>
            </wp:positionV>
            <wp:extent cx="5760720" cy="3170555"/>
            <wp:effectExtent l="0" t="0" r="5080" b="4445"/>
            <wp:wrapTopAndBottom/>
            <wp:docPr id="1" name="Picture 1" descr="figS1.GTEx-TCGA-C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S1.GTEx-TCGA-CL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DBF36">
      <w:pPr>
        <w:jc w:val="both"/>
        <w:rPr>
          <w:rFonts w:hint="default"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 w:eastAsia="zh-CN"/>
        </w:rPr>
        <w:t>Figure S2 Tissue classification.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I</w:t>
      </w:r>
      <w:r>
        <w:rPr>
          <w:rFonts w:hint="default" w:ascii="Times New Roman Regular" w:hAnsi="Times New Roman Regular" w:cs="Times New Roman Regular"/>
          <w:sz w:val="24"/>
          <w:szCs w:val="24"/>
        </w:rPr>
        <w:t>nference on normal and tumor samples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(GTEx and TCGA database)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was done with a classifier. The last layer of the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classifier was used for producing UMAP. Colors represent the ground truth of the sample types.</w:t>
      </w:r>
    </w:p>
    <w:p w14:paraId="4D6DB98D">
      <w:pPr>
        <w:rPr>
          <w:rFonts w:hint="default"/>
          <w:lang w:val="en-US" w:eastAsia="zh-CN"/>
        </w:rPr>
      </w:pPr>
    </w:p>
    <w:p w14:paraId="69A18A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" w:lineRule="atLeast"/>
        <w:ind w:left="0" w:firstLine="0" w:firstLineChars="0"/>
        <w:jc w:val="both"/>
        <w:textAlignment w:val="auto"/>
        <w:rPr>
          <w:rFonts w:hint="default" w:ascii="Times New Roman Bold" w:hAnsi="Times New Roman Bold" w:cs="Times New Roman Bold" w:eastAsiaTheme="minorEastAsia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30480</wp:posOffset>
            </wp:positionV>
            <wp:extent cx="4962525" cy="3291205"/>
            <wp:effectExtent l="0" t="0" r="15875" b="10795"/>
            <wp:wrapTopAndBottom/>
            <wp:docPr id="2" name="Picture 2" descr="figS2. GeneBag model vs. Previous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gS2. GeneBag model vs. Previous work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74C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" w:lineRule="atLeast"/>
        <w:ind w:left="0" w:firstLine="0" w:firstLineChars="0"/>
        <w:jc w:val="both"/>
        <w:textAlignment w:val="auto"/>
        <w:rPr>
          <w:rFonts w:hint="default" w:ascii="Times New Roman Regular" w:hAnsi="Times New Roman Regular" w:cs="Times New Roman Regular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 Bold" w:hAnsi="Times New Roman Bold" w:cs="Times New Roman Bold" w:eastAsiaTheme="minorEastAsia"/>
          <w:b/>
          <w:bCs/>
          <w:kern w:val="0"/>
          <w:sz w:val="24"/>
          <w:szCs w:val="24"/>
          <w:lang w:val="en-US" w:eastAsia="zh-CN" w:bidi="ar-SA"/>
        </w:rPr>
        <w:t xml:space="preserve">Figure S3 Comparison of identification accuracy of selected tumor types. </w:t>
      </w:r>
      <w:r>
        <w:rPr>
          <w:rFonts w:hint="default" w:ascii="Times New Roman Regular" w:hAnsi="Times New Roman Regular" w:cs="Times New Roman Regular" w:eastAsiaTheme="minorEastAsia"/>
          <w:kern w:val="0"/>
          <w:sz w:val="24"/>
          <w:szCs w:val="24"/>
          <w:lang w:val="en-US" w:eastAsia="zh-CN" w:bidi="ar-SA"/>
        </w:rPr>
        <w:t>Nine tumor types shared by our model and two previous studies are selected fo comparison.</w:t>
      </w:r>
    </w:p>
    <w:p w14:paraId="6ADE37E0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cs="Times New Roman Regular" w:eastAsiaTheme="minorEastAsia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cs="Times New Roman Regular" w:eastAsiaTheme="minorEastAsia"/>
          <w:kern w:val="0"/>
          <w:sz w:val="24"/>
          <w:szCs w:val="24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223520</wp:posOffset>
            </wp:positionV>
            <wp:extent cx="5510530" cy="2543810"/>
            <wp:effectExtent l="0" t="0" r="1270" b="21590"/>
            <wp:wrapTopAndBottom/>
            <wp:docPr id="6" name="Picture 6" descr="figS4.1-3-5_Years_Survival_PredictionTCGA-5years-Survival-CLS-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igS4.1-3-5_Years_Survival_PredictionTCGA-5years-Survival-CLS-ro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900B2">
      <w:pPr>
        <w:keepNext w:val="0"/>
        <w:keepLines w:val="0"/>
        <w:widowControl/>
        <w:suppressLineNumbers w:val="0"/>
        <w:jc w:val="both"/>
        <w:rPr>
          <w:rFonts w:hint="default"/>
          <w:lang w:val="en-US"/>
        </w:rPr>
      </w:pPr>
      <w:r>
        <w:rPr>
          <w:rFonts w:hint="default" w:ascii="Times New Roman Bold" w:hAnsi="Times New Roman Bold" w:cs="Times New Roman Bold" w:eastAsiaTheme="minorEastAsia"/>
          <w:b/>
          <w:bCs/>
          <w:kern w:val="0"/>
          <w:sz w:val="24"/>
          <w:szCs w:val="24"/>
          <w:lang w:val="en-US" w:eastAsia="zh-CN" w:bidi="ar-SA"/>
        </w:rPr>
        <w:t>Figure S</w:t>
      </w:r>
      <w:r>
        <w:rPr>
          <w:rFonts w:hint="default" w:ascii="Times New Roman Bold" w:hAnsi="Times New Roman Bold" w:cs="Times New Roman Bold"/>
          <w:b/>
          <w:bCs/>
          <w:kern w:val="0"/>
          <w:sz w:val="24"/>
          <w:szCs w:val="24"/>
          <w:lang w:val="en-US" w:eastAsia="zh-CN" w:bidi="ar-SA"/>
        </w:rPr>
        <w:t>4</w:t>
      </w:r>
      <w:r>
        <w:rPr>
          <w:rFonts w:hint="default" w:ascii="Times New Roman Bold" w:hAnsi="Times New Roman Bold" w:cs="Times New Roman Bold" w:eastAsiaTheme="minorEastAsia"/>
          <w:b/>
          <w:bCs/>
          <w:kern w:val="0"/>
          <w:sz w:val="24"/>
          <w:szCs w:val="24"/>
          <w:lang w:val="en-US" w:eastAsia="zh-CN" w:bidi="ar-SA"/>
        </w:rPr>
        <w:t xml:space="preserve"> Survival prediction of cancer patients. 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 w:bidi="ar-SA"/>
        </w:rPr>
        <w:t>A.</w:t>
      </w:r>
      <w:r>
        <w:rPr>
          <w:rFonts w:hint="default" w:ascii="Times New Roman Bold" w:hAnsi="Times New Roman Bold" w:cs="Times New Roman Bold" w:eastAsiaTheme="minorEastAsia"/>
          <w:b/>
          <w:bCs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4"/>
          <w:szCs w:val="24"/>
          <w:lang w:val="en-US" w:eastAsia="zh-CN" w:bidi="ar-SA"/>
        </w:rPr>
        <w:t xml:space="preserve">Blue, green and orange represent the ROC curves of the GeneBag model’s survival predictions at 1, 3 and 5 years, respectively. B. 5-year survival predictions for various tumor types. </w:t>
      </w:r>
      <w:r>
        <w:rPr>
          <w:rFonts w:ascii="Arial" w:hAnsi="Arial" w:eastAsia="宋体" w:cs="Arial"/>
          <w:i w:val="0"/>
          <w:iCs w:val="0"/>
          <w:color w:val="000000"/>
          <w:kern w:val="0"/>
          <w:sz w:val="22"/>
          <w:szCs w:val="22"/>
          <w:u w:val="none"/>
          <w:vertAlign w:val="baseline"/>
          <w:lang w:val="en-US" w:eastAsia="zh-CN" w:bidi="ar"/>
        </w:rPr>
        <w:t>Bar-plot shows the predicted accuracy of each tumor type, dash-line shows the sample number of each tumor type.</w:t>
      </w:r>
    </w:p>
    <w:p w14:paraId="11A0C1A5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cs="Times New Roman Regular" w:eastAsiaTheme="minorEastAsia"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F1FE0"/>
    <w:rsid w:val="26FD41C9"/>
    <w:rsid w:val="2FF6222E"/>
    <w:rsid w:val="5BED1D52"/>
    <w:rsid w:val="5FCB1757"/>
    <w:rsid w:val="5FFECB50"/>
    <w:rsid w:val="6EDFB6A8"/>
    <w:rsid w:val="77B30602"/>
    <w:rsid w:val="7B9DB10E"/>
    <w:rsid w:val="7BF74BC1"/>
    <w:rsid w:val="7F2BF631"/>
    <w:rsid w:val="7FD95323"/>
    <w:rsid w:val="7FFFB228"/>
    <w:rsid w:val="CBDF02E4"/>
    <w:rsid w:val="DF3FFB71"/>
    <w:rsid w:val="EB6D3AF9"/>
    <w:rsid w:val="EBBB7126"/>
    <w:rsid w:val="F6BF1FE0"/>
    <w:rsid w:val="FA7EAF9D"/>
    <w:rsid w:val="FB7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6">
    <w:name w:val="p1"/>
    <w:uiPriority w:val="0"/>
    <w:pPr>
      <w:spacing w:before="0" w:beforeAutospacing="0" w:after="0" w:afterAutospacing="0"/>
      <w:ind w:left="0" w:right="0"/>
      <w:jc w:val="left"/>
    </w:pPr>
    <w:rPr>
      <w:rFonts w:ascii="Arial" w:hAnsi="Arial" w:eastAsia="宋体" w:cs="Arial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1697</Characters>
  <Lines>0</Lines>
  <Paragraphs>0</Paragraphs>
  <TotalTime>330</TotalTime>
  <ScaleCrop>false</ScaleCrop>
  <LinksUpToDate>false</LinksUpToDate>
  <CharactersWithSpaces>1994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2024-12-14T22:19:00Z</dcterms:created>
  <dc:creator>yuhu.liang</dc:creator>
  <cp:lastModifiedBy>梁玉虎</cp:lastModifiedBy>
  <dcterms:modified xsi:type="dcterms:W3CDTF">2024-12-27T14:06:52Z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1033-6.13.2.8918</vt:lpwstr>
  </property>
  <property fmtid="{D5CDD505-2E9C-101B-9397-08002B2CF9AE}" pid="3" name="ICV">
    <vt:lpwstr>DB1ED7C9B7FBFA3474805A67CE254E75_41</vt:lpwstr>
  </property>
</Properties>
</file>