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5C4099" w14:textId="77777777" w:rsidR="002A30D1" w:rsidRDefault="002A30D1" w:rsidP="002A30D1">
      <w:pPr>
        <w:pStyle w:val="Title2"/>
        <w:spacing w:line="360" w:lineRule="auto"/>
        <w:rPr>
          <w:b w:val="0"/>
          <w:sz w:val="32"/>
          <w:szCs w:val="32"/>
        </w:rPr>
      </w:pPr>
      <w:r>
        <w:rPr>
          <w:b w:val="0"/>
          <w:sz w:val="32"/>
          <w:szCs w:val="32"/>
        </w:rPr>
        <w:t xml:space="preserve">Supporting Information </w:t>
      </w:r>
    </w:p>
    <w:p w14:paraId="5F26EC5F" w14:textId="77777777" w:rsidR="002A30D1" w:rsidRDefault="002A30D1" w:rsidP="002A30D1">
      <w:pPr>
        <w:pStyle w:val="Tableofcontents"/>
        <w:rPr>
          <w:lang w:eastAsia="zh-CN"/>
        </w:rPr>
      </w:pPr>
    </w:p>
    <w:p w14:paraId="7346F198" w14:textId="77777777" w:rsidR="002A30D1" w:rsidRDefault="002A30D1" w:rsidP="002A30D1">
      <w:pPr>
        <w:pStyle w:val="Title2"/>
        <w:spacing w:line="360" w:lineRule="auto"/>
        <w:rPr>
          <w:b w:val="0"/>
          <w:color w:val="FF0000"/>
        </w:rPr>
      </w:pPr>
      <w:r>
        <w:t>Molecular Engineering of Melanin for Enhanced Biological γ-ray Protection</w:t>
      </w:r>
    </w:p>
    <w:p w14:paraId="03AF4271" w14:textId="77777777" w:rsidR="002A30D1" w:rsidRDefault="002A30D1" w:rsidP="002A30D1">
      <w:pPr>
        <w:pStyle w:val="Title2"/>
        <w:spacing w:line="360" w:lineRule="auto"/>
        <w:rPr>
          <w:b w:val="0"/>
        </w:rPr>
      </w:pPr>
    </w:p>
    <w:p w14:paraId="7594A404" w14:textId="77777777" w:rsidR="002A30D1" w:rsidRPr="00FA07C9" w:rsidRDefault="002A30D1" w:rsidP="002A30D1">
      <w:pPr>
        <w:pStyle w:val="AuthorsFull"/>
        <w:spacing w:line="360" w:lineRule="auto"/>
        <w:jc w:val="both"/>
        <w:rPr>
          <w:rFonts w:eastAsiaTheme="minorEastAsia"/>
          <w:i w:val="0"/>
          <w:iCs/>
          <w:lang w:eastAsia="zh-CN"/>
        </w:rPr>
      </w:pPr>
      <w:r w:rsidRPr="00FA07C9">
        <w:rPr>
          <w:i w:val="0"/>
          <w:iCs/>
        </w:rPr>
        <w:t xml:space="preserve">Ruotong Deng, Wei Chen, Hanjie Zhu, Yuxi Li, Yining Ou, Jian Wang, Qing Ruan, </w:t>
      </w:r>
      <w:proofErr w:type="spellStart"/>
      <w:r w:rsidRPr="00FA07C9">
        <w:rPr>
          <w:i w:val="0"/>
          <w:iCs/>
        </w:rPr>
        <w:t>Xuanying</w:t>
      </w:r>
      <w:proofErr w:type="spellEnd"/>
      <w:r w:rsidRPr="00FA07C9">
        <w:rPr>
          <w:i w:val="0"/>
          <w:iCs/>
        </w:rPr>
        <w:t xml:space="preserve"> Zhang, </w:t>
      </w:r>
      <w:proofErr w:type="spellStart"/>
      <w:r w:rsidRPr="00FA07C9">
        <w:rPr>
          <w:i w:val="0"/>
          <w:iCs/>
        </w:rPr>
        <w:t>Junbo</w:t>
      </w:r>
      <w:proofErr w:type="spellEnd"/>
      <w:r w:rsidRPr="00FA07C9">
        <w:rPr>
          <w:i w:val="0"/>
          <w:iCs/>
        </w:rPr>
        <w:t xml:space="preserve"> Zhang, </w:t>
      </w:r>
      <w:proofErr w:type="spellStart"/>
      <w:r w:rsidRPr="00FA07C9">
        <w:rPr>
          <w:i w:val="0"/>
          <w:iCs/>
        </w:rPr>
        <w:t>Yongxian</w:t>
      </w:r>
      <w:proofErr w:type="spellEnd"/>
      <w:r w:rsidRPr="00FA07C9">
        <w:rPr>
          <w:i w:val="0"/>
          <w:iCs/>
        </w:rPr>
        <w:t xml:space="preserve"> Zhang, </w:t>
      </w:r>
      <w:proofErr w:type="spellStart"/>
      <w:r w:rsidRPr="00FA07C9">
        <w:rPr>
          <w:i w:val="0"/>
          <w:iCs/>
        </w:rPr>
        <w:t>Yantao</w:t>
      </w:r>
      <w:proofErr w:type="spellEnd"/>
      <w:r w:rsidRPr="00FA07C9">
        <w:rPr>
          <w:i w:val="0"/>
          <w:iCs/>
        </w:rPr>
        <w:t xml:space="preserve"> Niu, Zhubin Hu, </w:t>
      </w:r>
      <w:proofErr w:type="spellStart"/>
      <w:r w:rsidRPr="00FA07C9">
        <w:rPr>
          <w:i w:val="0"/>
          <w:iCs/>
        </w:rPr>
        <w:t>Chunlei</w:t>
      </w:r>
      <w:proofErr w:type="spellEnd"/>
      <w:r w:rsidRPr="00FA07C9">
        <w:rPr>
          <w:i w:val="0"/>
          <w:iCs/>
        </w:rPr>
        <w:t xml:space="preserve"> Zhang, </w:t>
      </w:r>
      <w:proofErr w:type="spellStart"/>
      <w:r w:rsidRPr="00FA07C9">
        <w:rPr>
          <w:i w:val="0"/>
          <w:iCs/>
        </w:rPr>
        <w:t>Huaping</w:t>
      </w:r>
      <w:proofErr w:type="spellEnd"/>
      <w:r w:rsidRPr="00FA07C9">
        <w:rPr>
          <w:i w:val="0"/>
          <w:iCs/>
        </w:rPr>
        <w:t xml:space="preserve"> Xu</w:t>
      </w:r>
      <w:r w:rsidRPr="00FA07C9">
        <w:rPr>
          <w:rFonts w:eastAsiaTheme="minorEastAsia"/>
          <w:i w:val="0"/>
          <w:iCs/>
          <w:lang w:eastAsia="zh-CN"/>
        </w:rPr>
        <w:t>,</w:t>
      </w:r>
      <w:r w:rsidRPr="00FA07C9">
        <w:rPr>
          <w:i w:val="0"/>
          <w:iCs/>
        </w:rPr>
        <w:t xml:space="preserve">* and Wei Cao* </w:t>
      </w:r>
    </w:p>
    <w:p w14:paraId="62652BC8" w14:textId="77777777" w:rsidR="002A30D1" w:rsidRDefault="002A30D1" w:rsidP="002A30D1">
      <w:pPr>
        <w:pStyle w:val="Maintext0"/>
        <w:spacing w:line="360" w:lineRule="auto"/>
      </w:pPr>
    </w:p>
    <w:p w14:paraId="5E4D7B16" w14:textId="77777777" w:rsidR="002A30D1" w:rsidRDefault="002A30D1" w:rsidP="002A30D1">
      <w:pPr>
        <w:spacing w:line="360" w:lineRule="auto"/>
        <w:jc w:val="both"/>
        <w:rPr>
          <w:b/>
          <w:bCs/>
          <w:lang w:val="en-US"/>
        </w:rPr>
      </w:pPr>
      <w:r>
        <w:rPr>
          <w:b/>
          <w:bCs/>
          <w:lang w:val="en-US"/>
        </w:rPr>
        <w:t>This PDF file includes:</w:t>
      </w:r>
    </w:p>
    <w:p w14:paraId="5D77D641" w14:textId="77777777" w:rsidR="002A30D1" w:rsidRDefault="002A30D1" w:rsidP="002A30D1">
      <w:pPr>
        <w:spacing w:line="360" w:lineRule="auto"/>
        <w:ind w:firstLineChars="200" w:firstLine="480"/>
        <w:jc w:val="both"/>
        <w:rPr>
          <w:lang w:val="en-US"/>
        </w:rPr>
      </w:pPr>
      <w:r>
        <w:rPr>
          <w:lang w:val="en-US"/>
        </w:rPr>
        <w:t>Reagents and materials</w:t>
      </w:r>
    </w:p>
    <w:p w14:paraId="59635E98" w14:textId="77777777" w:rsidR="002A30D1" w:rsidRDefault="002A30D1" w:rsidP="002A30D1">
      <w:pPr>
        <w:spacing w:line="360" w:lineRule="auto"/>
        <w:ind w:firstLineChars="200" w:firstLine="480"/>
        <w:rPr>
          <w:lang w:val="en-US"/>
        </w:rPr>
      </w:pPr>
      <w:r>
        <w:rPr>
          <w:lang w:val="en-US"/>
        </w:rPr>
        <w:t>Apparatus and characterization</w:t>
      </w:r>
    </w:p>
    <w:p w14:paraId="5430C509" w14:textId="77777777" w:rsidR="002A30D1" w:rsidRDefault="002A30D1" w:rsidP="002A30D1">
      <w:pPr>
        <w:spacing w:line="360" w:lineRule="auto"/>
        <w:ind w:firstLineChars="200" w:firstLine="480"/>
        <w:rPr>
          <w:rFonts w:eastAsiaTheme="minorEastAsia"/>
          <w:lang w:val="en-US" w:eastAsia="zh-CN"/>
        </w:rPr>
      </w:pPr>
      <w:r>
        <w:rPr>
          <w:lang w:val="en-US"/>
        </w:rPr>
        <w:t>Methods</w:t>
      </w:r>
    </w:p>
    <w:p w14:paraId="4CB77244" w14:textId="5AB1132A" w:rsidR="001B63BC" w:rsidRPr="001B63BC" w:rsidRDefault="001B63BC" w:rsidP="002A30D1">
      <w:pPr>
        <w:spacing w:line="360" w:lineRule="auto"/>
        <w:ind w:firstLineChars="200" w:firstLine="480"/>
        <w:rPr>
          <w:rFonts w:eastAsiaTheme="minorEastAsia" w:hint="eastAsia"/>
          <w:lang w:val="en-US" w:eastAsia="zh-CN"/>
        </w:rPr>
      </w:pPr>
      <w:r w:rsidRPr="001B63BC">
        <w:rPr>
          <w:rFonts w:eastAsiaTheme="minorEastAsia"/>
          <w:lang w:val="en-US" w:eastAsia="zh-CN"/>
        </w:rPr>
        <w:t>Additional discussion</w:t>
      </w:r>
    </w:p>
    <w:p w14:paraId="6E03BF9C" w14:textId="77777777" w:rsidR="002A30D1" w:rsidRPr="00BA4268" w:rsidRDefault="002A30D1" w:rsidP="002A30D1">
      <w:pPr>
        <w:spacing w:line="360" w:lineRule="auto"/>
        <w:ind w:firstLineChars="200" w:firstLine="480"/>
        <w:rPr>
          <w:rFonts w:eastAsiaTheme="minorEastAsia"/>
          <w:lang w:val="en-US" w:eastAsia="zh-CN"/>
        </w:rPr>
      </w:pPr>
      <w:bookmarkStart w:id="0" w:name="_Hlk185672937"/>
      <w:r>
        <w:rPr>
          <w:lang w:val="en-US"/>
        </w:rPr>
        <w:t>Supporting Figure</w:t>
      </w:r>
      <w:bookmarkEnd w:id="0"/>
      <w:r>
        <w:rPr>
          <w:lang w:val="en-US"/>
        </w:rPr>
        <w:t xml:space="preserve"> S1 to S4</w:t>
      </w:r>
      <w:r>
        <w:rPr>
          <w:rFonts w:eastAsiaTheme="minorEastAsia" w:hint="eastAsia"/>
          <w:lang w:val="en-US" w:eastAsia="zh-CN"/>
        </w:rPr>
        <w:t>2</w:t>
      </w:r>
    </w:p>
    <w:p w14:paraId="20DABF9B" w14:textId="77777777" w:rsidR="002A30D1" w:rsidRDefault="002A30D1" w:rsidP="002A30D1">
      <w:pPr>
        <w:spacing w:line="360" w:lineRule="auto"/>
        <w:ind w:firstLineChars="200" w:firstLine="480"/>
        <w:rPr>
          <w:rFonts w:eastAsiaTheme="minorEastAsia"/>
          <w:lang w:val="en-US" w:eastAsia="zh-CN"/>
        </w:rPr>
      </w:pPr>
      <w:r>
        <w:rPr>
          <w:lang w:val="en-US"/>
        </w:rPr>
        <w:t>Supporting Tables S1 to S3</w:t>
      </w:r>
    </w:p>
    <w:p w14:paraId="02F56193" w14:textId="77777777" w:rsidR="002A30D1" w:rsidRDefault="002A30D1" w:rsidP="002A30D1">
      <w:pPr>
        <w:spacing w:line="360" w:lineRule="auto"/>
        <w:ind w:firstLineChars="200" w:firstLine="480"/>
        <w:rPr>
          <w:lang w:val="en-US"/>
        </w:rPr>
      </w:pPr>
      <w:r>
        <w:rPr>
          <w:lang w:val="en-US"/>
        </w:rPr>
        <w:t>SI References</w:t>
      </w:r>
    </w:p>
    <w:p w14:paraId="1AACE3BA" w14:textId="77777777" w:rsidR="002A30D1" w:rsidRDefault="002A30D1" w:rsidP="002A30D1">
      <w:pPr>
        <w:ind w:firstLineChars="200" w:firstLine="482"/>
        <w:rPr>
          <w:b/>
          <w:bCs/>
          <w:lang w:val="en-US"/>
        </w:rPr>
      </w:pPr>
    </w:p>
    <w:p w14:paraId="75A90733" w14:textId="77777777" w:rsidR="002A30D1" w:rsidRDefault="002A30D1" w:rsidP="002A30D1">
      <w:pPr>
        <w:rPr>
          <w:lang w:val="en-US"/>
        </w:rPr>
      </w:pPr>
    </w:p>
    <w:p w14:paraId="70861BF2" w14:textId="77777777" w:rsidR="002A30D1" w:rsidRDefault="002A30D1" w:rsidP="002A30D1">
      <w:pPr>
        <w:rPr>
          <w:b/>
          <w:bCs/>
          <w:lang w:val="en-US"/>
        </w:rPr>
      </w:pPr>
    </w:p>
    <w:p w14:paraId="63EB0CD2" w14:textId="77777777" w:rsidR="002A30D1" w:rsidRDefault="002A30D1" w:rsidP="002A30D1">
      <w:pPr>
        <w:rPr>
          <w:lang w:val="en-US"/>
        </w:rPr>
      </w:pPr>
      <w:r>
        <w:rPr>
          <w:lang w:val="en-US"/>
        </w:rPr>
        <w:br w:type="page"/>
      </w:r>
    </w:p>
    <w:p w14:paraId="4B57C282" w14:textId="77777777" w:rsidR="002A30D1" w:rsidRDefault="002A30D1" w:rsidP="002A30D1">
      <w:pPr>
        <w:rPr>
          <w:b/>
          <w:bCs/>
          <w:lang w:val="en-US"/>
        </w:rPr>
      </w:pPr>
      <w:r>
        <w:rPr>
          <w:b/>
          <w:bCs/>
          <w:lang w:val="en-US"/>
        </w:rPr>
        <w:lastRenderedPageBreak/>
        <w:t>Reagents and materials</w:t>
      </w:r>
    </w:p>
    <w:p w14:paraId="00CDD67D" w14:textId="77777777" w:rsidR="002A30D1" w:rsidRPr="006D7A02" w:rsidRDefault="002A30D1" w:rsidP="002A30D1">
      <w:pPr>
        <w:jc w:val="both"/>
        <w:rPr>
          <w:rFonts w:eastAsiaTheme="minorEastAsia"/>
          <w:lang w:val="en-US" w:eastAsia="zh-CN"/>
        </w:rPr>
      </w:pPr>
      <w:r>
        <w:rPr>
          <w:i/>
          <w:iCs/>
          <w:lang w:val="en-US"/>
        </w:rPr>
        <w:t>L</w:t>
      </w:r>
      <w:r>
        <w:rPr>
          <w:lang w:val="en-US"/>
        </w:rPr>
        <w:t xml:space="preserve">-3,4-dihydroxyphenylalanine (L-DOPA) was purchased from </w:t>
      </w:r>
      <w:r w:rsidRPr="00B0290A">
        <w:rPr>
          <w:lang w:val="en-US"/>
        </w:rPr>
        <w:t>Leyan</w:t>
      </w:r>
      <w:r>
        <w:rPr>
          <w:rFonts w:eastAsiaTheme="minorEastAsia" w:hint="eastAsia"/>
          <w:lang w:val="en-US" w:eastAsia="zh-CN"/>
        </w:rPr>
        <w:t xml:space="preserve"> (Shanghai, China)</w:t>
      </w:r>
      <w:r>
        <w:rPr>
          <w:lang w:val="en-US"/>
        </w:rPr>
        <w:t>. Dopamine hydrochloride (</w:t>
      </w:r>
      <w:proofErr w:type="spellStart"/>
      <w:r>
        <w:rPr>
          <w:lang w:val="en-US"/>
        </w:rPr>
        <w:t>DA·HCl</w:t>
      </w:r>
      <w:proofErr w:type="spellEnd"/>
      <w:r>
        <w:rPr>
          <w:lang w:val="en-US"/>
        </w:rPr>
        <w:t xml:space="preserve">) was purchased form </w:t>
      </w:r>
      <w:r w:rsidRPr="00B0290A">
        <w:rPr>
          <w:lang w:val="en-US"/>
        </w:rPr>
        <w:t xml:space="preserve">Jiangsu </w:t>
      </w:r>
      <w:proofErr w:type="spellStart"/>
      <w:r w:rsidRPr="00B0290A">
        <w:rPr>
          <w:lang w:val="en-US"/>
        </w:rPr>
        <w:t>Aikon</w:t>
      </w:r>
      <w:proofErr w:type="spellEnd"/>
      <w:r w:rsidRPr="00B0290A">
        <w:rPr>
          <w:lang w:val="en-US"/>
        </w:rPr>
        <w:t>.</w:t>
      </w:r>
      <w:r>
        <w:rPr>
          <w:lang w:val="en-US"/>
        </w:rPr>
        <w:t xml:space="preserve"> </w:t>
      </w:r>
      <w:r>
        <w:rPr>
          <w:i/>
          <w:iCs/>
          <w:lang w:val="en-US"/>
        </w:rPr>
        <w:t>L</w:t>
      </w:r>
      <w:r>
        <w:rPr>
          <w:lang w:val="en-US"/>
        </w:rPr>
        <w:t xml:space="preserve">-Selenocystine, </w:t>
      </w:r>
      <w:bookmarkStart w:id="1" w:name="OLE_LINK1"/>
      <w:r>
        <w:rPr>
          <w:lang w:val="en-US"/>
        </w:rPr>
        <w:t>tris(2-carboxyethyl) phosphine hydrochloride (</w:t>
      </w:r>
      <w:proofErr w:type="spellStart"/>
      <w:r>
        <w:rPr>
          <w:lang w:val="en-US"/>
        </w:rPr>
        <w:t>TCEP·HCl</w:t>
      </w:r>
      <w:proofErr w:type="spellEnd"/>
      <w:r>
        <w:rPr>
          <w:lang w:val="en-US"/>
        </w:rPr>
        <w:t xml:space="preserve">) and 2-(2-Methoxy-4-nitrophenyl)-3-(4-nitrophenyl)-5-(2,4-disulfophenyl)-2H-tetrazolium sodium salt (WST-8) were purchased from </w:t>
      </w:r>
      <w:r w:rsidRPr="00B0290A">
        <w:rPr>
          <w:lang w:val="en-US"/>
        </w:rPr>
        <w:t>Aladdin</w:t>
      </w:r>
      <w:r>
        <w:rPr>
          <w:lang w:val="en-US"/>
        </w:rPr>
        <w:t>.</w:t>
      </w:r>
      <w:bookmarkEnd w:id="1"/>
      <w:r>
        <w:rPr>
          <w:lang w:val="en-US"/>
        </w:rPr>
        <w:t xml:space="preserve"> Selenocystamine dihydrochloride was purchased from </w:t>
      </w:r>
      <w:proofErr w:type="spellStart"/>
      <w:r w:rsidRPr="00E77C4E">
        <w:rPr>
          <w:lang w:val="en-US"/>
        </w:rPr>
        <w:t>Hwrk</w:t>
      </w:r>
      <w:proofErr w:type="spellEnd"/>
      <w:r w:rsidRPr="00E77C4E">
        <w:rPr>
          <w:lang w:val="en-US"/>
        </w:rPr>
        <w:t xml:space="preserve"> Chem</w:t>
      </w:r>
      <w:r>
        <w:rPr>
          <w:lang w:val="en-US"/>
        </w:rPr>
        <w:t>. Potassium permanganate (KMnO</w:t>
      </w:r>
      <w:r>
        <w:rPr>
          <w:vertAlign w:val="subscript"/>
          <w:lang w:val="en-US"/>
        </w:rPr>
        <w:t>4</w:t>
      </w:r>
      <w:r>
        <w:rPr>
          <w:lang w:val="en-US"/>
        </w:rPr>
        <w:t xml:space="preserve">) was purchased from Beijing </w:t>
      </w:r>
      <w:proofErr w:type="spellStart"/>
      <w:r>
        <w:rPr>
          <w:lang w:val="en-US"/>
        </w:rPr>
        <w:t>TongGuang</w:t>
      </w:r>
      <w:proofErr w:type="spellEnd"/>
      <w:r>
        <w:rPr>
          <w:lang w:val="en-US"/>
        </w:rPr>
        <w:t xml:space="preserve"> Fine Chemicals Company. </w:t>
      </w:r>
      <w:bookmarkStart w:id="2" w:name="OLE_LINK2"/>
      <w:r>
        <w:rPr>
          <w:lang w:val="en-US"/>
        </w:rPr>
        <w:t>Ammonium hydroxide</w:t>
      </w:r>
      <w:bookmarkEnd w:id="2"/>
      <w:r>
        <w:rPr>
          <w:lang w:val="en-US"/>
        </w:rPr>
        <w:t xml:space="preserve"> (NH</w:t>
      </w:r>
      <w:r>
        <w:rPr>
          <w:vertAlign w:val="subscript"/>
          <w:lang w:val="en-US"/>
        </w:rPr>
        <w:t>3</w:t>
      </w:r>
      <w:r>
        <w:rPr>
          <w:lang w:val="en-US"/>
        </w:rPr>
        <w:t>·H</w:t>
      </w:r>
      <w:r>
        <w:rPr>
          <w:vertAlign w:val="subscript"/>
          <w:lang w:val="en-US"/>
        </w:rPr>
        <w:t>2</w:t>
      </w:r>
      <w:r>
        <w:rPr>
          <w:lang w:val="en-US"/>
        </w:rPr>
        <w:t>O), 2′,7′-dichlorodihydrofluorescein diacetate (</w:t>
      </w:r>
      <w:bookmarkStart w:id="3" w:name="OLE_LINK4"/>
      <w:r>
        <w:rPr>
          <w:lang w:val="en-US"/>
        </w:rPr>
        <w:t>DCFH-DA</w:t>
      </w:r>
      <w:bookmarkEnd w:id="3"/>
      <w:r>
        <w:rPr>
          <w:lang w:val="en-US"/>
        </w:rPr>
        <w:t xml:space="preserve">, solid) and 2,2-diphenyl-1-(2,4,6-trinitrophenyl) </w:t>
      </w:r>
      <w:proofErr w:type="spellStart"/>
      <w:r>
        <w:rPr>
          <w:lang w:val="en-US"/>
        </w:rPr>
        <w:t>hydrazyl</w:t>
      </w:r>
      <w:proofErr w:type="spellEnd"/>
      <w:r>
        <w:rPr>
          <w:lang w:val="en-US"/>
        </w:rPr>
        <w:t xml:space="preserve"> (DPPH) were purchased from </w:t>
      </w:r>
      <w:r w:rsidRPr="00BF49F4">
        <w:rPr>
          <w:lang w:val="en-US"/>
        </w:rPr>
        <w:t>Macklin</w:t>
      </w:r>
      <w:r>
        <w:rPr>
          <w:lang w:val="en-US"/>
        </w:rPr>
        <w:t xml:space="preserve">. Ethanol absolute (99.5%), Xanthine (X) and sodium nitroferricyanide dihydrate were purchased from </w:t>
      </w:r>
      <w:proofErr w:type="spellStart"/>
      <w:r w:rsidRPr="00E77C4E">
        <w:rPr>
          <w:lang w:val="en-US"/>
        </w:rPr>
        <w:t>Innochem</w:t>
      </w:r>
      <w:proofErr w:type="spellEnd"/>
      <w:r>
        <w:rPr>
          <w:lang w:val="en-US"/>
        </w:rPr>
        <w:t xml:space="preserve">. Xanthine Oxidase (XO) was purchased from </w:t>
      </w:r>
      <w:r w:rsidRPr="00E77C4E">
        <w:rPr>
          <w:lang w:val="en-US"/>
        </w:rPr>
        <w:t>Sigma-Aldrich</w:t>
      </w:r>
      <w:r>
        <w:rPr>
          <w:lang w:val="en-US"/>
        </w:rPr>
        <w:t xml:space="preserve">. Griess reagent was purchased from </w:t>
      </w:r>
      <w:proofErr w:type="spellStart"/>
      <w:r>
        <w:rPr>
          <w:rFonts w:eastAsiaTheme="minorEastAsia" w:hint="eastAsia"/>
          <w:lang w:val="en-US" w:eastAsia="zh-CN"/>
        </w:rPr>
        <w:t>Yuanye</w:t>
      </w:r>
      <w:proofErr w:type="spellEnd"/>
      <w:r>
        <w:rPr>
          <w:lang w:val="en-US"/>
        </w:rPr>
        <w:t xml:space="preserve">. </w:t>
      </w:r>
      <w:proofErr w:type="spellStart"/>
      <w:r>
        <w:rPr>
          <w:lang w:val="en-US"/>
        </w:rPr>
        <w:t>CellTiter</w:t>
      </w:r>
      <w:proofErr w:type="spellEnd"/>
      <w:r>
        <w:rPr>
          <w:lang w:val="en-US"/>
        </w:rPr>
        <w:t>-Blue</w:t>
      </w:r>
      <w:r>
        <w:rPr>
          <w:vertAlign w:val="superscript"/>
          <w:lang w:val="en-US"/>
        </w:rPr>
        <w:t>®</w:t>
      </w:r>
      <w:r>
        <w:rPr>
          <w:lang w:val="en-US"/>
        </w:rPr>
        <w:t xml:space="preserve"> Reagent was purchased from </w:t>
      </w:r>
      <w:r w:rsidRPr="00E77C4E">
        <w:rPr>
          <w:lang w:val="en-US"/>
        </w:rPr>
        <w:t>Promega</w:t>
      </w:r>
      <w:r>
        <w:rPr>
          <w:lang w:val="en-US"/>
        </w:rPr>
        <w:t>.</w:t>
      </w:r>
      <w:r>
        <w:rPr>
          <w:rFonts w:eastAsiaTheme="minorEastAsia" w:hint="eastAsia"/>
          <w:lang w:val="en-US" w:eastAsia="zh-CN"/>
        </w:rPr>
        <w:t xml:space="preserve"> </w:t>
      </w:r>
      <w:r w:rsidRPr="005F3872">
        <w:rPr>
          <w:rFonts w:eastAsiaTheme="minorEastAsia" w:hint="eastAsia"/>
          <w:lang w:val="en-US" w:eastAsia="zh-CN"/>
        </w:rPr>
        <w:t>DAPI</w:t>
      </w:r>
      <w:r>
        <w:rPr>
          <w:rFonts w:eastAsiaTheme="minorEastAsia" w:hint="eastAsia"/>
          <w:lang w:val="en-US" w:eastAsia="zh-CN"/>
        </w:rPr>
        <w:t xml:space="preserve"> was</w:t>
      </w:r>
      <w:r>
        <w:rPr>
          <w:lang w:val="en-US"/>
        </w:rPr>
        <w:t xml:space="preserve"> purchased from</w:t>
      </w:r>
      <w:r>
        <w:rPr>
          <w:rFonts w:eastAsiaTheme="minorEastAsia" w:hint="eastAsia"/>
          <w:lang w:val="en-US" w:eastAsia="zh-CN"/>
        </w:rPr>
        <w:t xml:space="preserve"> </w:t>
      </w:r>
      <w:proofErr w:type="spellStart"/>
      <w:r>
        <w:rPr>
          <w:rFonts w:eastAsiaTheme="minorEastAsia" w:hint="eastAsia"/>
          <w:lang w:val="en-US" w:eastAsia="zh-CN"/>
        </w:rPr>
        <w:t>Solarbio</w:t>
      </w:r>
      <w:proofErr w:type="spellEnd"/>
      <w:r>
        <w:rPr>
          <w:rFonts w:eastAsiaTheme="minorEastAsia" w:hint="eastAsia"/>
          <w:lang w:val="en-US" w:eastAsia="zh-CN"/>
        </w:rPr>
        <w:t xml:space="preserve">. </w:t>
      </w:r>
      <w:r>
        <w:rPr>
          <w:lang w:val="en-US"/>
        </w:rPr>
        <w:t>Hoechst 33342</w:t>
      </w:r>
      <w:r w:rsidRPr="00932558">
        <w:rPr>
          <w:rFonts w:eastAsiaTheme="minorEastAsia" w:hint="eastAsia"/>
          <w:lang w:val="en-US" w:eastAsia="zh-CN"/>
        </w:rPr>
        <w:t xml:space="preserve"> </w:t>
      </w:r>
      <w:r>
        <w:rPr>
          <w:rFonts w:eastAsiaTheme="minorEastAsia" w:hint="eastAsia"/>
          <w:lang w:val="en-US" w:eastAsia="zh-CN"/>
        </w:rPr>
        <w:t>was</w:t>
      </w:r>
      <w:r>
        <w:rPr>
          <w:lang w:val="en-US"/>
        </w:rPr>
        <w:t xml:space="preserve"> purchased from</w:t>
      </w:r>
      <w:r w:rsidRPr="003B12D5">
        <w:rPr>
          <w:lang w:val="en-US"/>
        </w:rPr>
        <w:t xml:space="preserve"> </w:t>
      </w:r>
      <w:r w:rsidRPr="00932558">
        <w:rPr>
          <w:lang w:val="en-US"/>
        </w:rPr>
        <w:t>Beijing LABLEAD Inc</w:t>
      </w:r>
      <w:r w:rsidRPr="00932558">
        <w:rPr>
          <w:rFonts w:hint="eastAsia"/>
          <w:lang w:val="en-US"/>
        </w:rPr>
        <w:t>. C</w:t>
      </w:r>
      <w:r>
        <w:rPr>
          <w:lang w:val="en-US"/>
        </w:rPr>
        <w:t xml:space="preserve">ell cycle and apoptosis analysis kit, and reactive oxygen species assay kit (DCF-DA, for cell) were purchased from </w:t>
      </w:r>
      <w:proofErr w:type="spellStart"/>
      <w:r w:rsidRPr="00E77C4E">
        <w:rPr>
          <w:lang w:val="en-US"/>
        </w:rPr>
        <w:t>Beyotime</w:t>
      </w:r>
      <w:proofErr w:type="spellEnd"/>
      <w:r>
        <w:rPr>
          <w:lang w:val="en-US"/>
        </w:rPr>
        <w:t xml:space="preserve">. Wheat Germ Agglutinin (WGA) conjugated to Alexa Fluor 488 was purchased from </w:t>
      </w:r>
      <w:proofErr w:type="spellStart"/>
      <w:r w:rsidRPr="005F3872">
        <w:rPr>
          <w:lang w:val="en-US"/>
        </w:rPr>
        <w:t>Kaixin</w:t>
      </w:r>
      <w:proofErr w:type="spellEnd"/>
      <w:r w:rsidRPr="005F3872">
        <w:rPr>
          <w:lang w:val="en-US"/>
        </w:rPr>
        <w:t xml:space="preserve"> Tech.</w:t>
      </w:r>
      <w:r>
        <w:rPr>
          <w:lang w:val="en-US"/>
        </w:rPr>
        <w:t xml:space="preserve"> Lipid peroxidation probe BODIPY (581/599)-C11 was purchased from </w:t>
      </w:r>
      <w:r w:rsidRPr="00E77C4E">
        <w:rPr>
          <w:lang w:val="en-US"/>
        </w:rPr>
        <w:t>Dojindo</w:t>
      </w:r>
      <w:r>
        <w:rPr>
          <w:lang w:val="en-US"/>
        </w:rPr>
        <w:t xml:space="preserve">. All reagents and materials were used as received unless otherwise stated. </w:t>
      </w:r>
    </w:p>
    <w:p w14:paraId="73AA240B" w14:textId="77777777" w:rsidR="002A30D1" w:rsidRDefault="002A30D1" w:rsidP="002A30D1">
      <w:pPr>
        <w:rPr>
          <w:lang w:val="en-US"/>
        </w:rPr>
      </w:pPr>
    </w:p>
    <w:p w14:paraId="6135A166" w14:textId="77777777" w:rsidR="002A30D1" w:rsidRDefault="002A30D1" w:rsidP="002A30D1">
      <w:pPr>
        <w:rPr>
          <w:b/>
          <w:bCs/>
          <w:lang w:val="en-US"/>
        </w:rPr>
      </w:pPr>
      <w:r>
        <w:rPr>
          <w:b/>
          <w:bCs/>
          <w:lang w:val="en-US"/>
        </w:rPr>
        <w:t>Apparatus and characterization</w:t>
      </w:r>
    </w:p>
    <w:p w14:paraId="617D9E8B" w14:textId="77777777" w:rsidR="002A30D1" w:rsidRDefault="002A30D1" w:rsidP="002A30D1">
      <w:pPr>
        <w:jc w:val="both"/>
        <w:rPr>
          <w:lang w:val="en-US"/>
        </w:rPr>
      </w:pPr>
      <w:r>
        <w:rPr>
          <w:lang w:val="en-US"/>
        </w:rPr>
        <w:t xml:space="preserve">Transmission electron microscopic (TEM) images were recorded using a FEI </w:t>
      </w:r>
      <w:proofErr w:type="spellStart"/>
      <w:r>
        <w:rPr>
          <w:lang w:val="en-US"/>
        </w:rPr>
        <w:t>Tecnai</w:t>
      </w:r>
      <w:proofErr w:type="spellEnd"/>
      <w:r>
        <w:rPr>
          <w:lang w:val="en-US"/>
        </w:rPr>
        <w:t xml:space="preserve"> Spirit 120kV TEM at Tsinghua University. The zeta potential and dynamic light scattering (DLS) size of the nanoparticles in water was obtained on a </w:t>
      </w:r>
      <w:proofErr w:type="spellStart"/>
      <w:r>
        <w:rPr>
          <w:lang w:val="en-US"/>
        </w:rPr>
        <w:t>Zetasizer</w:t>
      </w:r>
      <w:proofErr w:type="spellEnd"/>
      <w:r>
        <w:rPr>
          <w:lang w:val="en-US"/>
        </w:rPr>
        <w:t xml:space="preserve"> Lab (Malvern </w:t>
      </w:r>
      <w:proofErr w:type="spellStart"/>
      <w:r>
        <w:rPr>
          <w:lang w:val="en-US"/>
        </w:rPr>
        <w:t>Panalytical</w:t>
      </w:r>
      <w:proofErr w:type="spellEnd"/>
      <w:r>
        <w:rPr>
          <w:lang w:val="en-US"/>
        </w:rPr>
        <w:t xml:space="preserve">). Energy dispersive X-ray spectroscopy (EDS) mapping images were captured with a FEI Talos F200S. UV-Vis absorbance measurement was carried out on a Cary 60 UV-Vis Spectrophotometer (Agilent Technologies). Fluorescence spectra were collected on a Cary Eclipse Fluorescence Spectrophotometer (Agilent Technologies). X-ray photoelectron spectroscopy (XPS) spectra were analyzed by a </w:t>
      </w:r>
      <w:proofErr w:type="spellStart"/>
      <w:r>
        <w:rPr>
          <w:lang w:val="en-US"/>
        </w:rPr>
        <w:t>Thermo</w:t>
      </w:r>
      <w:proofErr w:type="spellEnd"/>
      <w:r>
        <w:rPr>
          <w:lang w:val="en-US"/>
        </w:rPr>
        <w:t xml:space="preserve"> Scientific K-Alpha. Electron paramagnetic resonance (EPR) spectra were measured on a Bruker EMXplus-6/1.</w:t>
      </w:r>
      <w:r>
        <w:rPr>
          <w:vertAlign w:val="superscript"/>
          <w:lang w:val="en-US"/>
        </w:rPr>
        <w:t xml:space="preserve"> </w:t>
      </w:r>
      <w:r>
        <w:rPr>
          <w:lang w:val="en-US"/>
        </w:rPr>
        <w:t xml:space="preserve">Fourier transform infrared spectroscopy (FTIR) spectra were carried out on a </w:t>
      </w:r>
      <w:proofErr w:type="spellStart"/>
      <w:r>
        <w:rPr>
          <w:lang w:val="en-US"/>
        </w:rPr>
        <w:t>Thermo</w:t>
      </w:r>
      <w:proofErr w:type="spellEnd"/>
      <w:r>
        <w:rPr>
          <w:lang w:val="en-US"/>
        </w:rPr>
        <w:t xml:space="preserve"> Scientific Nicolet iS20 FTIR spectrophotometer. </w:t>
      </w:r>
      <w:r>
        <w:rPr>
          <w:vertAlign w:val="superscript"/>
          <w:lang w:val="en-US"/>
        </w:rPr>
        <w:t>13</w:t>
      </w:r>
      <w:r>
        <w:rPr>
          <w:lang w:val="en-US"/>
        </w:rPr>
        <w:t xml:space="preserve">C solid-state nuclear magnetic resonance (ssNMR) spectra were measured on a JNM-ECA600 JEOL. Inductively coupled plasma optical emission spectrometry (ICP-OES) was performed on an Agilent 5110 ICP-OES and a </w:t>
      </w:r>
      <w:proofErr w:type="spellStart"/>
      <w:r>
        <w:rPr>
          <w:lang w:val="en-US"/>
        </w:rPr>
        <w:t>Thermo</w:t>
      </w:r>
      <w:proofErr w:type="spellEnd"/>
      <w:r>
        <w:rPr>
          <w:lang w:val="en-US"/>
        </w:rPr>
        <w:t xml:space="preserve"> </w:t>
      </w:r>
      <w:proofErr w:type="spellStart"/>
      <w:r>
        <w:rPr>
          <w:lang w:val="en-US"/>
        </w:rPr>
        <w:t>iCAP</w:t>
      </w:r>
      <w:proofErr w:type="spellEnd"/>
      <w:r>
        <w:rPr>
          <w:lang w:val="en-US"/>
        </w:rPr>
        <w:t xml:space="preserve"> 7400 ICP-OES at Tsinghua University. Computed tomography (CT) images and Hounsfield Unit values were detected by a Philips </w:t>
      </w:r>
      <w:proofErr w:type="spellStart"/>
      <w:r>
        <w:rPr>
          <w:lang w:val="en-US"/>
        </w:rPr>
        <w:t>IQon</w:t>
      </w:r>
      <w:proofErr w:type="spellEnd"/>
      <w:r>
        <w:rPr>
          <w:lang w:val="en-US"/>
        </w:rPr>
        <w:t xml:space="preserve"> Spectral CT in Beijing Tongren Hospital. </w:t>
      </w:r>
      <w:bookmarkStart w:id="4" w:name="_Hlk163376188"/>
      <w:r>
        <w:rPr>
          <w:lang w:val="en-US"/>
        </w:rPr>
        <w:t xml:space="preserve">Confocal laser scanning microscopy </w:t>
      </w:r>
      <w:bookmarkEnd w:id="4"/>
      <w:r>
        <w:rPr>
          <w:lang w:val="en-US"/>
        </w:rPr>
        <w:t xml:space="preserve">(CLSM) images were acquired using a Nikon A1R microscopy system at Beijing Normal University and a </w:t>
      </w:r>
      <w:bookmarkStart w:id="5" w:name="OLE_LINK9"/>
      <w:r>
        <w:rPr>
          <w:lang w:val="en-US"/>
        </w:rPr>
        <w:t>Multi-SIM AXR multimodal super-resolution confocal microscope</w:t>
      </w:r>
      <w:bookmarkEnd w:id="5"/>
      <w:r>
        <w:rPr>
          <w:lang w:val="en-US"/>
        </w:rPr>
        <w:t xml:space="preserve"> at Tsinghua University. Flow cytometry data was recorded via a BD </w:t>
      </w:r>
      <w:proofErr w:type="spellStart"/>
      <w:r>
        <w:rPr>
          <w:lang w:val="en-US"/>
        </w:rPr>
        <w:t>Accuri</w:t>
      </w:r>
      <w:r>
        <w:rPr>
          <w:vertAlign w:val="superscript"/>
          <w:lang w:val="en-US"/>
        </w:rPr>
        <w:t>TM</w:t>
      </w:r>
      <w:proofErr w:type="spellEnd"/>
      <w:r>
        <w:rPr>
          <w:lang w:val="en-US"/>
        </w:rPr>
        <w:t xml:space="preserve"> C6 Plus Flow cytometer. The fluorescence intensity of 96-well plates was monitored with the fluorescence microplate reader Tecan Infinite M200 PRO. Cells were irradiated by </w:t>
      </w:r>
      <w:r>
        <w:rPr>
          <w:vertAlign w:val="superscript"/>
          <w:lang w:val="en-US"/>
        </w:rPr>
        <w:t>60</w:t>
      </w:r>
      <w:r>
        <w:rPr>
          <w:lang w:val="en-US"/>
        </w:rPr>
        <w:t xml:space="preserve">Co gamma irradiator (GM-11-03-A, Beijing Gamma high-tech Co., Ltd) in Beijing Normal University. </w:t>
      </w:r>
      <w:bookmarkStart w:id="6" w:name="OLE_LINK24"/>
      <w:r>
        <w:rPr>
          <w:lang w:val="en-US"/>
        </w:rPr>
        <w:t>Na</w:t>
      </w:r>
      <w:r>
        <w:rPr>
          <w:vertAlign w:val="superscript"/>
          <w:lang w:val="en-US"/>
        </w:rPr>
        <w:t>99m</w:t>
      </w:r>
      <w:r>
        <w:rPr>
          <w:lang w:val="en-US"/>
        </w:rPr>
        <w:t>TcO</w:t>
      </w:r>
      <w:r>
        <w:rPr>
          <w:vertAlign w:val="subscript"/>
          <w:lang w:val="en-US"/>
        </w:rPr>
        <w:t>4</w:t>
      </w:r>
      <w:bookmarkEnd w:id="6"/>
      <w:r>
        <w:rPr>
          <w:lang w:val="en-US"/>
        </w:rPr>
        <w:t xml:space="preserve"> was obtained from a </w:t>
      </w:r>
      <w:r>
        <w:rPr>
          <w:vertAlign w:val="superscript"/>
          <w:lang w:val="en-US"/>
        </w:rPr>
        <w:t>99</w:t>
      </w:r>
      <w:r>
        <w:rPr>
          <w:lang w:val="en-US"/>
        </w:rPr>
        <w:t>Mo/</w:t>
      </w:r>
      <w:r>
        <w:rPr>
          <w:vertAlign w:val="superscript"/>
          <w:lang w:val="en-US"/>
        </w:rPr>
        <w:t>99m</w:t>
      </w:r>
      <w:r>
        <w:rPr>
          <w:lang w:val="en-US"/>
        </w:rPr>
        <w:t xml:space="preserve">Tc generator provided by Beijing </w:t>
      </w:r>
      <w:proofErr w:type="spellStart"/>
      <w:r>
        <w:rPr>
          <w:lang w:val="en-US"/>
        </w:rPr>
        <w:t>Senke</w:t>
      </w:r>
      <w:proofErr w:type="spellEnd"/>
      <w:r>
        <w:rPr>
          <w:lang w:val="en-US"/>
        </w:rPr>
        <w:t xml:space="preserve"> Pharmaceutical Co., Ltd. </w:t>
      </w:r>
      <w:proofErr w:type="spellStart"/>
      <w:r>
        <w:rPr>
          <w:lang w:val="en-US"/>
        </w:rPr>
        <w:t>TriFoil</w:t>
      </w:r>
      <w:proofErr w:type="spellEnd"/>
      <w:r>
        <w:rPr>
          <w:lang w:val="en-US"/>
        </w:rPr>
        <w:t xml:space="preserve"> Triumph II </w:t>
      </w:r>
      <w:proofErr w:type="spellStart"/>
      <w:r>
        <w:rPr>
          <w:lang w:val="en-US"/>
        </w:rPr>
        <w:t>mciroSPECT</w:t>
      </w:r>
      <w:proofErr w:type="spellEnd"/>
      <w:r>
        <w:rPr>
          <w:lang w:val="en-US"/>
        </w:rPr>
        <w:t>/CT equipment (</w:t>
      </w:r>
      <w:proofErr w:type="spellStart"/>
      <w:r>
        <w:rPr>
          <w:lang w:val="en-US"/>
        </w:rPr>
        <w:t>Trifoil</w:t>
      </w:r>
      <w:proofErr w:type="spellEnd"/>
      <w:r>
        <w:rPr>
          <w:lang w:val="en-US"/>
        </w:rPr>
        <w:t>) was used for imaging studies. Radioactivity was determined on a PerkinElmer system (WIZARD</w:t>
      </w:r>
      <w:r>
        <w:rPr>
          <w:vertAlign w:val="superscript"/>
          <w:lang w:val="en-US"/>
        </w:rPr>
        <w:t>2</w:t>
      </w:r>
      <w:r>
        <w:rPr>
          <w:lang w:val="en-US"/>
        </w:rPr>
        <w:t xml:space="preserve"> 2480 Automatic </w:t>
      </w:r>
      <w:r>
        <w:t>γ</w:t>
      </w:r>
      <w:r>
        <w:rPr>
          <w:lang w:val="en-US"/>
        </w:rPr>
        <w:t>-Counter).</w:t>
      </w:r>
    </w:p>
    <w:p w14:paraId="2B382831" w14:textId="77777777" w:rsidR="002A30D1" w:rsidRDefault="002A30D1" w:rsidP="002A30D1">
      <w:pPr>
        <w:rPr>
          <w:lang w:val="en-US"/>
        </w:rPr>
      </w:pPr>
    </w:p>
    <w:p w14:paraId="246AB6A5" w14:textId="77777777" w:rsidR="002A30D1" w:rsidRDefault="002A30D1" w:rsidP="002A30D1">
      <w:pPr>
        <w:rPr>
          <w:b/>
          <w:bCs/>
          <w:lang w:val="en-US"/>
        </w:rPr>
      </w:pPr>
      <w:r>
        <w:rPr>
          <w:b/>
          <w:bCs/>
          <w:lang w:val="en-US"/>
        </w:rPr>
        <w:t>Methods</w:t>
      </w:r>
    </w:p>
    <w:p w14:paraId="794EDC85" w14:textId="77777777" w:rsidR="002A30D1" w:rsidRDefault="002A30D1" w:rsidP="002A30D1">
      <w:pPr>
        <w:rPr>
          <w:b/>
          <w:bCs/>
          <w:lang w:val="en-US"/>
        </w:rPr>
      </w:pPr>
      <w:r>
        <w:rPr>
          <w:b/>
          <w:bCs/>
          <w:lang w:val="en-US"/>
        </w:rPr>
        <w:t>Preparations of eumelanin nanoparticles</w:t>
      </w:r>
    </w:p>
    <w:p w14:paraId="616ED0A0" w14:textId="4C9A34C9" w:rsidR="002A30D1" w:rsidRDefault="002A30D1" w:rsidP="002A30D1">
      <w:pPr>
        <w:jc w:val="both"/>
        <w:rPr>
          <w:lang w:val="en-US"/>
        </w:rPr>
      </w:pPr>
      <w:r>
        <w:rPr>
          <w:b/>
          <w:bCs/>
          <w:lang w:val="en-US"/>
        </w:rPr>
        <w:t>L-DOPA NPs</w:t>
      </w:r>
      <w:r w:rsidR="00734B02">
        <w:rPr>
          <w:rFonts w:eastAsiaTheme="minorEastAsia" w:hint="eastAsia"/>
          <w:vertAlign w:val="superscript"/>
          <w:lang w:val="en-US" w:eastAsia="zh-CN"/>
        </w:rPr>
        <w:t>1, 2</w:t>
      </w:r>
      <w:r>
        <w:rPr>
          <w:b/>
          <w:bCs/>
          <w:lang w:val="en-US"/>
        </w:rPr>
        <w:t>:</w:t>
      </w:r>
      <w:r>
        <w:rPr>
          <w:lang w:val="en-US"/>
        </w:rPr>
        <w:t xml:space="preserve"> L-DOPA solution was mixed with 0.2 M KMnO</w:t>
      </w:r>
      <w:r>
        <w:rPr>
          <w:vertAlign w:val="subscript"/>
          <w:lang w:val="en-US"/>
        </w:rPr>
        <w:t>4</w:t>
      </w:r>
      <w:r>
        <w:rPr>
          <w:lang w:val="en-US"/>
        </w:rPr>
        <w:t xml:space="preserve"> overnight. The product was purified by centrifugation and washed in HCl solution to exchange the Mn</w:t>
      </w:r>
      <w:r>
        <w:rPr>
          <w:vertAlign w:val="superscript"/>
          <w:lang w:val="en-US"/>
        </w:rPr>
        <w:t xml:space="preserve">2+ </w:t>
      </w:r>
      <w:r>
        <w:rPr>
          <w:lang w:val="en-US"/>
        </w:rPr>
        <w:t xml:space="preserve">ions, and three more cycles of washing and centrifugation with ultrapure water. </w:t>
      </w:r>
    </w:p>
    <w:p w14:paraId="73468322" w14:textId="77777777" w:rsidR="002A30D1" w:rsidRDefault="002A30D1" w:rsidP="002A30D1">
      <w:pPr>
        <w:jc w:val="both"/>
        <w:rPr>
          <w:lang w:val="en-US"/>
        </w:rPr>
      </w:pPr>
      <w:r>
        <w:rPr>
          <w:b/>
          <w:bCs/>
          <w:lang w:val="en-US"/>
        </w:rPr>
        <w:lastRenderedPageBreak/>
        <w:t>DA NPs</w:t>
      </w:r>
      <w:r>
        <w:rPr>
          <w:vertAlign w:val="superscript"/>
          <w:lang w:val="en-US"/>
        </w:rPr>
        <w:t>3</w:t>
      </w:r>
      <w:r>
        <w:rPr>
          <w:b/>
          <w:bCs/>
          <w:lang w:val="en-US"/>
        </w:rPr>
        <w:t>:</w:t>
      </w:r>
      <w:r>
        <w:rPr>
          <w:lang w:val="en-US"/>
        </w:rPr>
        <w:t xml:space="preserve"> 99.5% ethanol absolute, ultrapure water and 28-30% NH</w:t>
      </w:r>
      <w:r>
        <w:rPr>
          <w:vertAlign w:val="subscript"/>
          <w:lang w:val="en-US"/>
        </w:rPr>
        <w:t>3</w:t>
      </w:r>
      <w:r>
        <w:rPr>
          <w:lang w:val="en-US"/>
        </w:rPr>
        <w:t>·H</w:t>
      </w:r>
      <w:r>
        <w:rPr>
          <w:vertAlign w:val="subscript"/>
          <w:lang w:val="en-US"/>
        </w:rPr>
        <w:t>2</w:t>
      </w:r>
      <w:r>
        <w:rPr>
          <w:lang w:val="en-US"/>
        </w:rPr>
        <w:t xml:space="preserve">O solution were added to the flask and stirred vigorously. </w:t>
      </w:r>
      <w:proofErr w:type="spellStart"/>
      <w:r>
        <w:rPr>
          <w:lang w:val="en-US"/>
        </w:rPr>
        <w:t>DA·HCl</w:t>
      </w:r>
      <w:proofErr w:type="spellEnd"/>
      <w:r>
        <w:rPr>
          <w:lang w:val="en-US"/>
        </w:rPr>
        <w:t xml:space="preserve"> solution was added to the mixture overnight. The product was collected by centrifugation and washed with ultrapure water three times.</w:t>
      </w:r>
    </w:p>
    <w:p w14:paraId="7321969A" w14:textId="77777777" w:rsidR="002A30D1" w:rsidRDefault="002A30D1" w:rsidP="002A30D1">
      <w:pPr>
        <w:rPr>
          <w:lang w:val="en-US"/>
        </w:rPr>
      </w:pPr>
    </w:p>
    <w:p w14:paraId="6A9B7779" w14:textId="77777777" w:rsidR="002A30D1" w:rsidRDefault="002A30D1" w:rsidP="002A30D1">
      <w:pPr>
        <w:rPr>
          <w:b/>
          <w:bCs/>
          <w:lang w:val="en-US"/>
        </w:rPr>
      </w:pPr>
      <w:r>
        <w:rPr>
          <w:b/>
          <w:bCs/>
          <w:lang w:val="en-US"/>
        </w:rPr>
        <w:t>Computational methods</w:t>
      </w:r>
    </w:p>
    <w:p w14:paraId="69433B97" w14:textId="77777777" w:rsidR="002A30D1" w:rsidRDefault="002A30D1" w:rsidP="002A30D1">
      <w:pPr>
        <w:jc w:val="both"/>
        <w:rPr>
          <w:lang w:val="en-US"/>
        </w:rPr>
      </w:pPr>
      <w:r>
        <w:rPr>
          <w:lang w:val="en-US"/>
        </w:rPr>
        <w:t xml:space="preserve">The density functional theory (DFT) </w:t>
      </w:r>
      <w:bookmarkStart w:id="7" w:name="_Hlk167869076"/>
      <w:r>
        <w:rPr>
          <w:lang w:val="en-US"/>
        </w:rPr>
        <w:t>calculations</w:t>
      </w:r>
      <w:bookmarkEnd w:id="7"/>
      <w:r>
        <w:rPr>
          <w:lang w:val="en-US"/>
        </w:rPr>
        <w:t xml:space="preserve"> were carried out to study the configurational stability and rotation barrier.  All </w:t>
      </w:r>
      <w:bookmarkStart w:id="8" w:name="OLE_LINK18"/>
      <w:r>
        <w:rPr>
          <w:lang w:val="en-US"/>
        </w:rPr>
        <w:t>geometry optimizations</w:t>
      </w:r>
      <w:bookmarkEnd w:id="8"/>
      <w:r>
        <w:rPr>
          <w:lang w:val="en-US"/>
        </w:rPr>
        <w:t xml:space="preserve"> were performed using B3LYP</w:t>
      </w:r>
      <w:r>
        <w:rPr>
          <w:vertAlign w:val="superscript"/>
          <w:lang w:val="en-US"/>
        </w:rPr>
        <w:t>4</w:t>
      </w:r>
      <w:r>
        <w:rPr>
          <w:lang w:val="en-US"/>
        </w:rPr>
        <w:t xml:space="preserve"> functional with DFT-D3(BJ)</w:t>
      </w:r>
      <w:r>
        <w:rPr>
          <w:vertAlign w:val="superscript"/>
          <w:lang w:val="en-US"/>
        </w:rPr>
        <w:t>5-6</w:t>
      </w:r>
      <w:r>
        <w:rPr>
          <w:lang w:val="en-US"/>
        </w:rPr>
        <w:t xml:space="preserve"> dispersion correction and 6-31G(d)</w:t>
      </w:r>
      <w:r>
        <w:rPr>
          <w:vertAlign w:val="superscript"/>
          <w:lang w:val="en-US"/>
        </w:rPr>
        <w:t>7-9</w:t>
      </w:r>
      <w:r>
        <w:rPr>
          <w:lang w:val="en-US"/>
        </w:rPr>
        <w:t xml:space="preserve"> basis set by Gaussian 16 program</w:t>
      </w:r>
      <w:r>
        <w:rPr>
          <w:vertAlign w:val="superscript"/>
          <w:lang w:val="en-US"/>
        </w:rPr>
        <w:t>10</w:t>
      </w:r>
      <w:r>
        <w:rPr>
          <w:lang w:val="en-US"/>
        </w:rPr>
        <w:t xml:space="preserve">. The </w:t>
      </w:r>
      <w:bookmarkStart w:id="9" w:name="OLE_LINK19"/>
      <w:r>
        <w:rPr>
          <w:lang w:val="en-US"/>
        </w:rPr>
        <w:t>vibrational frequencies</w:t>
      </w:r>
      <w:bookmarkEnd w:id="9"/>
      <w:r>
        <w:rPr>
          <w:lang w:val="en-US"/>
        </w:rPr>
        <w:t xml:space="preserve"> were computed at the same level of theory as for the geometry optimizations, and to evaluate the thermal corrections at 298.15 K with a zero-point-energy scale factor of 0.9813</w:t>
      </w:r>
      <w:r>
        <w:rPr>
          <w:vertAlign w:val="superscript"/>
          <w:lang w:val="en-US"/>
        </w:rPr>
        <w:t>11</w:t>
      </w:r>
      <w:r>
        <w:rPr>
          <w:lang w:val="en-US"/>
        </w:rPr>
        <w:t xml:space="preserve"> by </w:t>
      </w:r>
      <w:proofErr w:type="spellStart"/>
      <w:r>
        <w:rPr>
          <w:lang w:val="en-US"/>
        </w:rPr>
        <w:t>Shermo</w:t>
      </w:r>
      <w:proofErr w:type="spellEnd"/>
      <w:r>
        <w:rPr>
          <w:lang w:val="en-US"/>
        </w:rPr>
        <w:t xml:space="preserve"> code</w:t>
      </w:r>
      <w:r>
        <w:rPr>
          <w:vertAlign w:val="superscript"/>
          <w:lang w:val="en-US"/>
        </w:rPr>
        <w:t>12</w:t>
      </w:r>
      <w:r>
        <w:rPr>
          <w:lang w:val="en-US"/>
        </w:rPr>
        <w:t xml:space="preserve">. </w:t>
      </w:r>
      <w:bookmarkStart w:id="10" w:name="_Hlk168671009"/>
      <w:r>
        <w:rPr>
          <w:lang w:val="en-US"/>
        </w:rPr>
        <w:t>The high-level single-point energies</w:t>
      </w:r>
      <w:bookmarkEnd w:id="10"/>
      <w:r>
        <w:rPr>
          <w:lang w:val="en-US"/>
        </w:rPr>
        <w:t xml:space="preserve"> were computed based on the optimized structures using the PWPB95</w:t>
      </w:r>
      <w:r>
        <w:rPr>
          <w:vertAlign w:val="superscript"/>
          <w:lang w:val="en-US"/>
        </w:rPr>
        <w:t>13</w:t>
      </w:r>
      <w:r>
        <w:rPr>
          <w:lang w:val="en-US"/>
        </w:rPr>
        <w:t xml:space="preserve"> double-hybrid functional with DFT-D4</w:t>
      </w:r>
      <w:r>
        <w:rPr>
          <w:vertAlign w:val="superscript"/>
          <w:lang w:val="en-US"/>
        </w:rPr>
        <w:t>14</w:t>
      </w:r>
      <w:r>
        <w:rPr>
          <w:lang w:val="en-US"/>
        </w:rPr>
        <w:t xml:space="preserve"> </w:t>
      </w:r>
      <w:bookmarkStart w:id="11" w:name="OLE_LINK13"/>
      <w:r>
        <w:rPr>
          <w:lang w:val="en-US"/>
        </w:rPr>
        <w:t>dispersion correction</w:t>
      </w:r>
      <w:bookmarkEnd w:id="11"/>
      <w:r>
        <w:rPr>
          <w:lang w:val="en-US"/>
        </w:rPr>
        <w:t xml:space="preserve"> and def2-QZVPP</w:t>
      </w:r>
      <w:r>
        <w:rPr>
          <w:vertAlign w:val="superscript"/>
          <w:lang w:val="en-US"/>
        </w:rPr>
        <w:t>15</w:t>
      </w:r>
      <w:r>
        <w:rPr>
          <w:lang w:val="en-US"/>
        </w:rPr>
        <w:t xml:space="preserve"> basis set with the RIJCOSX</w:t>
      </w:r>
      <w:r>
        <w:rPr>
          <w:vertAlign w:val="superscript"/>
          <w:lang w:val="en-US"/>
        </w:rPr>
        <w:t>16-17</w:t>
      </w:r>
      <w:r>
        <w:rPr>
          <w:lang w:val="en-US"/>
        </w:rPr>
        <w:t xml:space="preserve"> approximation by ORCA 5.0.4 program</w:t>
      </w:r>
      <w:r>
        <w:rPr>
          <w:vertAlign w:val="superscript"/>
          <w:lang w:val="en-US"/>
        </w:rPr>
        <w:t>18</w:t>
      </w:r>
      <w:r>
        <w:rPr>
          <w:lang w:val="en-US"/>
        </w:rPr>
        <w:t xml:space="preserve">. </w:t>
      </w:r>
      <w:bookmarkStart w:id="12" w:name="OLE_LINK14"/>
      <w:r>
        <w:rPr>
          <w:lang w:val="en-US"/>
        </w:rPr>
        <w:t xml:space="preserve">The </w:t>
      </w:r>
      <w:bookmarkStart w:id="13" w:name="OLE_LINK15"/>
      <w:r>
        <w:rPr>
          <w:lang w:val="en-US"/>
        </w:rPr>
        <w:t>Gibbs free energie</w:t>
      </w:r>
      <w:bookmarkEnd w:id="13"/>
      <w:r>
        <w:rPr>
          <w:lang w:val="en-US"/>
        </w:rPr>
        <w:t xml:space="preserve">s were obtained by </w:t>
      </w:r>
      <w:bookmarkEnd w:id="12"/>
      <w:r>
        <w:rPr>
          <w:lang w:val="en-US"/>
        </w:rPr>
        <w:t>summing the high-level single-point energies and thermal free energy corrections. The rotation barrier was defined as the difference of Gibbs free energies between the equilibrium structure and transition-state structure.</w:t>
      </w:r>
    </w:p>
    <w:p w14:paraId="5351F981" w14:textId="77777777" w:rsidR="002A30D1" w:rsidRDefault="002A30D1" w:rsidP="002A30D1">
      <w:pPr>
        <w:rPr>
          <w:b/>
          <w:bCs/>
          <w:lang w:val="en-US"/>
        </w:rPr>
      </w:pPr>
    </w:p>
    <w:p w14:paraId="0ADDA80D" w14:textId="77777777" w:rsidR="002A30D1" w:rsidRDefault="002A30D1" w:rsidP="002A30D1">
      <w:pPr>
        <w:rPr>
          <w:b/>
          <w:bCs/>
          <w:lang w:val="en-US"/>
        </w:rPr>
      </w:pPr>
      <w:bookmarkStart w:id="14" w:name="OLE_LINK6"/>
      <w:r>
        <w:rPr>
          <w:b/>
          <w:bCs/>
          <w:lang w:val="en-US"/>
        </w:rPr>
        <w:t>O</w:t>
      </w:r>
      <w:r>
        <w:rPr>
          <w:b/>
          <w:bCs/>
          <w:vertAlign w:val="subscript"/>
          <w:lang w:val="en-US"/>
        </w:rPr>
        <w:t>2</w:t>
      </w:r>
      <w:r>
        <w:rPr>
          <w:b/>
          <w:bCs/>
          <w:vertAlign w:val="superscript"/>
          <w:lang w:val="en-US"/>
        </w:rPr>
        <w:t>• −</w:t>
      </w:r>
      <w:bookmarkEnd w:id="14"/>
      <w:r>
        <w:rPr>
          <w:b/>
          <w:bCs/>
          <w:vertAlign w:val="superscript"/>
          <w:lang w:val="en-US"/>
        </w:rPr>
        <w:t xml:space="preserve"> </w:t>
      </w:r>
      <w:bookmarkStart w:id="15" w:name="_Hlk163393857"/>
      <w:r>
        <w:rPr>
          <w:b/>
          <w:bCs/>
          <w:lang w:val="en-US"/>
        </w:rPr>
        <w:t>scavenging</w:t>
      </w:r>
      <w:bookmarkEnd w:id="15"/>
      <w:r>
        <w:rPr>
          <w:b/>
          <w:bCs/>
          <w:lang w:val="en-US"/>
        </w:rPr>
        <w:t xml:space="preserve"> assay</w:t>
      </w:r>
    </w:p>
    <w:p w14:paraId="7484BA8F" w14:textId="77777777" w:rsidR="002A30D1" w:rsidRDefault="002A30D1" w:rsidP="002A30D1">
      <w:pPr>
        <w:jc w:val="both"/>
        <w:rPr>
          <w:lang w:val="en-US"/>
        </w:rPr>
      </w:pPr>
      <w:r>
        <w:rPr>
          <w:lang w:val="en-US"/>
        </w:rPr>
        <w:t>WST-8, a highly water-soluble tetrazolium salts, was applied to this assay. The superoxide anion generated by X/XO reduced WST-8 to water-soluble formazans which exhibited absorbance maxima at 460 nm. Therefore, the lower absorption at 460 nm means the better O</w:t>
      </w:r>
      <w:r>
        <w:rPr>
          <w:vertAlign w:val="subscript"/>
          <w:lang w:val="en-US"/>
        </w:rPr>
        <w:t>2</w:t>
      </w:r>
      <w:r>
        <w:rPr>
          <w:vertAlign w:val="superscript"/>
          <w:lang w:val="en-US"/>
        </w:rPr>
        <w:t>• −</w:t>
      </w:r>
      <w:r>
        <w:rPr>
          <w:lang w:val="en-US"/>
        </w:rPr>
        <w:t xml:space="preserve"> scavenging ability of the material. Briefly, into 0.5 mL of a 10 mM PBS buffer (pH 7.0-8.0), 20 </w:t>
      </w:r>
      <w:r>
        <w:t>μ</w:t>
      </w:r>
      <w:r>
        <w:rPr>
          <w:lang w:val="en-US"/>
        </w:rPr>
        <w:t xml:space="preserve">L of 3 mM X solution, 20 </w:t>
      </w:r>
      <w:r>
        <w:t>μ</w:t>
      </w:r>
      <w:r>
        <w:rPr>
          <w:lang w:val="en-US"/>
        </w:rPr>
        <w:t xml:space="preserve">L of 3 mM EDTA, 20 </w:t>
      </w:r>
      <w:r>
        <w:t>μ</w:t>
      </w:r>
      <w:r>
        <w:rPr>
          <w:lang w:val="en-US"/>
        </w:rPr>
        <w:t xml:space="preserve">L of 1mM WST-8, and 100 </w:t>
      </w:r>
      <w:r>
        <w:t>μ</w:t>
      </w:r>
      <w:r>
        <w:rPr>
          <w:lang w:val="en-US"/>
        </w:rPr>
        <w:t>L of 0.5 mg mL</w:t>
      </w:r>
      <w:r>
        <w:rPr>
          <w:vertAlign w:val="superscript"/>
          <w:lang w:val="en-US"/>
        </w:rPr>
        <w:t>-1</w:t>
      </w:r>
      <w:r>
        <w:rPr>
          <w:lang w:val="en-US"/>
        </w:rPr>
        <w:t xml:space="preserve"> melanin or 100 </w:t>
      </w:r>
      <w:r>
        <w:t>μ</w:t>
      </w:r>
      <w:r>
        <w:rPr>
          <w:lang w:val="en-US"/>
        </w:rPr>
        <w:t xml:space="preserve">L of water were added. The reaction was initiated by adding 6 </w:t>
      </w:r>
      <w:r>
        <w:t>μ</w:t>
      </w:r>
      <w:r>
        <w:rPr>
          <w:lang w:val="en-US"/>
        </w:rPr>
        <w:t xml:space="preserve">L of 0.83 </w:t>
      </w:r>
      <w:proofErr w:type="spellStart"/>
      <w:r>
        <w:rPr>
          <w:lang w:val="en-US"/>
        </w:rPr>
        <w:t>mU</w:t>
      </w:r>
      <w:proofErr w:type="spellEnd"/>
      <w:r>
        <w:rPr>
          <w:lang w:val="en-US"/>
        </w:rPr>
        <w:t xml:space="preserve"> mL</w:t>
      </w:r>
      <w:r>
        <w:rPr>
          <w:vertAlign w:val="superscript"/>
          <w:lang w:val="en-US"/>
        </w:rPr>
        <w:t>−1</w:t>
      </w:r>
      <w:r>
        <w:rPr>
          <w:lang w:val="en-US"/>
        </w:rPr>
        <w:t xml:space="preserve"> XO solution. The absorbance change at 460 nm (WST-8) after 1 h was monitored with the Cary 50/60 UV-Vis Spectrophotometer maintained at 25 °C. O</w:t>
      </w:r>
      <w:r>
        <w:rPr>
          <w:vertAlign w:val="subscript"/>
          <w:lang w:val="en-US"/>
        </w:rPr>
        <w:t>2</w:t>
      </w:r>
      <w:r>
        <w:rPr>
          <w:vertAlign w:val="superscript"/>
          <w:lang w:val="en-US"/>
        </w:rPr>
        <w:t>• −</w:t>
      </w:r>
      <w:r>
        <w:rPr>
          <w:lang w:val="en-US"/>
        </w:rPr>
        <w:t xml:space="preserve"> radical scavenging activity was calculated as </w:t>
      </w:r>
    </w:p>
    <w:p w14:paraId="22F5F6DD" w14:textId="77777777" w:rsidR="002A30D1" w:rsidRDefault="002A30D1" w:rsidP="002A30D1">
      <w:pPr>
        <w:jc w:val="center"/>
        <w:rPr>
          <w:lang w:val="en-US"/>
        </w:rPr>
      </w:pPr>
      <w:r>
        <w:rPr>
          <w:lang w:val="en-US"/>
        </w:rPr>
        <w:t>I=[1-(</w:t>
      </w:r>
      <w:r>
        <w:rPr>
          <w:i/>
          <w:iCs/>
          <w:lang w:val="en-US"/>
        </w:rPr>
        <w:t>A</w:t>
      </w:r>
      <w:r>
        <w:rPr>
          <w:i/>
          <w:iCs/>
          <w:vertAlign w:val="subscript"/>
          <w:lang w:val="en-US"/>
        </w:rPr>
        <w:t>i</w:t>
      </w:r>
      <w:r>
        <w:rPr>
          <w:lang w:val="en-US"/>
        </w:rPr>
        <w:t>-</w:t>
      </w:r>
      <w:r>
        <w:rPr>
          <w:i/>
          <w:iCs/>
          <w:lang w:val="en-US"/>
        </w:rPr>
        <w:t>A</w:t>
      </w:r>
      <w:r>
        <w:rPr>
          <w:i/>
          <w:iCs/>
          <w:vertAlign w:val="subscript"/>
          <w:lang w:val="en-US"/>
        </w:rPr>
        <w:t>j</w:t>
      </w:r>
      <w:r>
        <w:rPr>
          <w:lang w:val="en-US"/>
        </w:rPr>
        <w:t>)/</w:t>
      </w:r>
      <w:r>
        <w:rPr>
          <w:i/>
          <w:iCs/>
          <w:lang w:val="en-US"/>
        </w:rPr>
        <w:t>A</w:t>
      </w:r>
      <w:r>
        <w:rPr>
          <w:i/>
          <w:iCs/>
          <w:vertAlign w:val="subscript"/>
          <w:lang w:val="en-US"/>
        </w:rPr>
        <w:t>c</w:t>
      </w:r>
      <w:r>
        <w:rPr>
          <w:lang w:val="en-US"/>
        </w:rPr>
        <w:t>] * 100%</w:t>
      </w:r>
    </w:p>
    <w:p w14:paraId="510C39F3" w14:textId="77777777" w:rsidR="002A30D1" w:rsidRDefault="002A30D1" w:rsidP="002A30D1">
      <w:pPr>
        <w:jc w:val="both"/>
        <w:rPr>
          <w:lang w:val="en-US"/>
        </w:rPr>
      </w:pPr>
      <w:r>
        <w:rPr>
          <w:lang w:val="en-US"/>
        </w:rPr>
        <w:t xml:space="preserve">where </w:t>
      </w:r>
      <w:r>
        <w:rPr>
          <w:i/>
          <w:iCs/>
          <w:lang w:val="en-US"/>
        </w:rPr>
        <w:t>A</w:t>
      </w:r>
      <w:r>
        <w:rPr>
          <w:i/>
          <w:iCs/>
          <w:vertAlign w:val="subscript"/>
          <w:lang w:val="en-US"/>
        </w:rPr>
        <w:t>c</w:t>
      </w:r>
      <w:r>
        <w:rPr>
          <w:lang w:val="en-US"/>
        </w:rPr>
        <w:t xml:space="preserve"> is the absorbance of WST-8 solution without melanin, </w:t>
      </w:r>
      <w:r>
        <w:rPr>
          <w:i/>
          <w:iCs/>
          <w:lang w:val="en-US"/>
        </w:rPr>
        <w:t>A</w:t>
      </w:r>
      <w:r>
        <w:rPr>
          <w:i/>
          <w:iCs/>
          <w:vertAlign w:val="subscript"/>
          <w:lang w:val="en-US"/>
        </w:rPr>
        <w:t>i</w:t>
      </w:r>
      <w:r>
        <w:rPr>
          <w:i/>
          <w:iCs/>
          <w:lang w:val="en-US"/>
        </w:rPr>
        <w:t xml:space="preserve"> </w:t>
      </w:r>
      <w:r>
        <w:rPr>
          <w:lang w:val="en-US"/>
        </w:rPr>
        <w:t xml:space="preserve">is the absorbance of melanin mixed with the WST-8 solution, and </w:t>
      </w:r>
      <w:r>
        <w:rPr>
          <w:i/>
          <w:iCs/>
          <w:lang w:val="en-US"/>
        </w:rPr>
        <w:t>A</w:t>
      </w:r>
      <w:r>
        <w:rPr>
          <w:i/>
          <w:iCs/>
          <w:vertAlign w:val="subscript"/>
          <w:lang w:val="en-US"/>
        </w:rPr>
        <w:t>j</w:t>
      </w:r>
      <w:r>
        <w:rPr>
          <w:lang w:val="en-US"/>
        </w:rPr>
        <w:t xml:space="preserve"> is the absorbance of melanin without WST-8 solution. Experiments were run in ≥ three times.</w:t>
      </w:r>
    </w:p>
    <w:p w14:paraId="5D180BEC" w14:textId="77777777" w:rsidR="002A30D1" w:rsidRDefault="002A30D1" w:rsidP="002A30D1">
      <w:pPr>
        <w:rPr>
          <w:b/>
          <w:bCs/>
          <w:lang w:val="en-US"/>
        </w:rPr>
      </w:pPr>
      <w:bookmarkStart w:id="16" w:name="_Hlk163459220"/>
    </w:p>
    <w:p w14:paraId="7E8E451B" w14:textId="77777777" w:rsidR="002A30D1" w:rsidRDefault="002A30D1" w:rsidP="002A30D1">
      <w:pPr>
        <w:rPr>
          <w:b/>
          <w:bCs/>
          <w:lang w:val="en-US"/>
        </w:rPr>
      </w:pPr>
      <w:r>
        <w:rPr>
          <w:b/>
          <w:bCs/>
          <w:lang w:val="en-US"/>
        </w:rPr>
        <w:t>H</w:t>
      </w:r>
      <w:r>
        <w:rPr>
          <w:b/>
          <w:bCs/>
          <w:vertAlign w:val="subscript"/>
          <w:lang w:val="en-US"/>
        </w:rPr>
        <w:t>2</w:t>
      </w:r>
      <w:r>
        <w:rPr>
          <w:b/>
          <w:bCs/>
          <w:lang w:val="en-US"/>
        </w:rPr>
        <w:t>O</w:t>
      </w:r>
      <w:r>
        <w:rPr>
          <w:b/>
          <w:bCs/>
          <w:vertAlign w:val="subscript"/>
          <w:lang w:val="en-US"/>
        </w:rPr>
        <w:t>2</w:t>
      </w:r>
      <w:bookmarkEnd w:id="16"/>
      <w:r>
        <w:rPr>
          <w:b/>
          <w:bCs/>
          <w:lang w:val="en-US"/>
        </w:rPr>
        <w:t xml:space="preserve"> scavenging assay</w:t>
      </w:r>
    </w:p>
    <w:p w14:paraId="32FE1DFC" w14:textId="77777777" w:rsidR="002A30D1" w:rsidRDefault="002A30D1" w:rsidP="002A30D1">
      <w:pPr>
        <w:jc w:val="both"/>
        <w:rPr>
          <w:lang w:val="en-US"/>
        </w:rPr>
      </w:pPr>
      <w:r>
        <w:rPr>
          <w:lang w:val="en-US"/>
        </w:rPr>
        <w:t>DCFH solution was prepared by mixing 0.5 mL of 1 mM DCFH-DA in ethanol with 2 mL of 0.01 M NaOH.</w:t>
      </w:r>
      <w:r>
        <w:rPr>
          <w:vertAlign w:val="superscript"/>
          <w:lang w:val="en-US"/>
        </w:rPr>
        <w:t>19-20</w:t>
      </w:r>
      <w:r>
        <w:rPr>
          <w:lang w:val="en-US"/>
        </w:rPr>
        <w:t xml:space="preserve"> 100 </w:t>
      </w:r>
      <w:r>
        <w:t>μ</w:t>
      </w:r>
      <w:r>
        <w:rPr>
          <w:lang w:val="en-US"/>
        </w:rPr>
        <w:t>L of 0.04 mg mL</w:t>
      </w:r>
      <w:r>
        <w:rPr>
          <w:vertAlign w:val="superscript"/>
          <w:lang w:val="en-US"/>
        </w:rPr>
        <w:t>-1</w:t>
      </w:r>
      <w:r>
        <w:rPr>
          <w:lang w:val="en-US"/>
        </w:rPr>
        <w:t xml:space="preserve"> melanin suspension in ultrapure water or 100 </w:t>
      </w:r>
      <w:r>
        <w:t>μ</w:t>
      </w:r>
      <w:r>
        <w:rPr>
          <w:lang w:val="en-US"/>
        </w:rPr>
        <w:t>L ultrapure water was added to 1.8 mL of freshly prepared 10 mM H</w:t>
      </w:r>
      <w:r>
        <w:rPr>
          <w:vertAlign w:val="subscript"/>
          <w:lang w:val="en-US"/>
        </w:rPr>
        <w:t>2</w:t>
      </w:r>
      <w:r>
        <w:rPr>
          <w:lang w:val="en-US"/>
        </w:rPr>
        <w:t>O</w:t>
      </w:r>
      <w:r>
        <w:rPr>
          <w:vertAlign w:val="subscript"/>
          <w:lang w:val="en-US"/>
        </w:rPr>
        <w:t>2</w:t>
      </w:r>
      <w:r>
        <w:rPr>
          <w:lang w:val="en-US"/>
        </w:rPr>
        <w:t xml:space="preserve"> and 20 </w:t>
      </w:r>
      <w:r>
        <w:t>μ</w:t>
      </w:r>
      <w:r>
        <w:rPr>
          <w:lang w:val="en-US"/>
        </w:rPr>
        <w:t>L of freshly prepared DCF</w:t>
      </w:r>
      <w:r>
        <w:rPr>
          <w:rFonts w:eastAsiaTheme="minorEastAsia" w:hint="eastAsia"/>
          <w:lang w:val="en-US" w:eastAsia="zh-CN"/>
        </w:rPr>
        <w:t>H</w:t>
      </w:r>
      <w:r>
        <w:rPr>
          <w:lang w:val="en-US"/>
        </w:rPr>
        <w:t xml:space="preserve"> solution. The H</w:t>
      </w:r>
      <w:r>
        <w:rPr>
          <w:vertAlign w:val="subscript"/>
          <w:lang w:val="en-US"/>
        </w:rPr>
        <w:t>2</w:t>
      </w:r>
      <w:r>
        <w:rPr>
          <w:lang w:val="en-US"/>
        </w:rPr>
        <w:t>O</w:t>
      </w:r>
      <w:r>
        <w:rPr>
          <w:vertAlign w:val="subscript"/>
          <w:lang w:val="en-US"/>
        </w:rPr>
        <w:t>2</w:t>
      </w:r>
      <w:r>
        <w:rPr>
          <w:lang w:val="en-US"/>
        </w:rPr>
        <w:t xml:space="preserve"> scavenging activity was evaluated by monitoring the fluorescence intensity decrease at </w:t>
      </w:r>
      <w:r>
        <w:rPr>
          <w:rFonts w:eastAsiaTheme="minorEastAsia" w:hint="eastAsia"/>
          <w:lang w:val="en-US" w:eastAsia="zh-CN"/>
        </w:rPr>
        <w:t>522</w:t>
      </w:r>
      <w:r>
        <w:rPr>
          <w:lang w:val="en-US"/>
        </w:rPr>
        <w:t xml:space="preserve"> nm over 90 min. Excitation wavelength: 505 nm. Detection Wavelength: 510-660 nm. Slit: 2.5 nm. H</w:t>
      </w:r>
      <w:r>
        <w:rPr>
          <w:vertAlign w:val="subscript"/>
          <w:lang w:val="en-US"/>
        </w:rPr>
        <w:t>2</w:t>
      </w:r>
      <w:r>
        <w:rPr>
          <w:lang w:val="en-US"/>
        </w:rPr>
        <w:t>O</w:t>
      </w:r>
      <w:r>
        <w:rPr>
          <w:vertAlign w:val="subscript"/>
          <w:lang w:val="en-US"/>
        </w:rPr>
        <w:t>2</w:t>
      </w:r>
      <w:r>
        <w:rPr>
          <w:lang w:val="en-US"/>
        </w:rPr>
        <w:t xml:space="preserve"> radical scavenging activity was calculated as </w:t>
      </w:r>
    </w:p>
    <w:p w14:paraId="59D12C14" w14:textId="77777777" w:rsidR="002A30D1" w:rsidRDefault="002A30D1" w:rsidP="002A30D1">
      <w:pPr>
        <w:jc w:val="center"/>
        <w:rPr>
          <w:lang w:val="en-US"/>
        </w:rPr>
      </w:pPr>
      <w:r>
        <w:rPr>
          <w:lang w:val="en-US"/>
        </w:rPr>
        <w:t>I= [1-</w:t>
      </w:r>
      <w:r>
        <w:rPr>
          <w:rFonts w:eastAsiaTheme="minorEastAsia" w:hint="eastAsia"/>
          <w:lang w:val="en-US" w:eastAsia="zh-CN"/>
        </w:rPr>
        <w:t>(</w:t>
      </w:r>
      <w:proofErr w:type="spellStart"/>
      <w:r>
        <w:rPr>
          <w:i/>
          <w:iCs/>
          <w:lang w:val="en-US"/>
        </w:rPr>
        <w:t>I</w:t>
      </w:r>
      <w:r>
        <w:rPr>
          <w:i/>
          <w:iCs/>
          <w:vertAlign w:val="subscript"/>
          <w:lang w:val="en-US"/>
        </w:rPr>
        <w:t>i</w:t>
      </w:r>
      <w:proofErr w:type="spellEnd"/>
      <w:r>
        <w:rPr>
          <w:i/>
          <w:iCs/>
          <w:lang w:val="en-US"/>
        </w:rPr>
        <w:t xml:space="preserve"> </w:t>
      </w:r>
      <w:r w:rsidRPr="00BA4268">
        <w:rPr>
          <w:rFonts w:eastAsiaTheme="minorEastAsia"/>
          <w:lang w:val="en-US" w:eastAsia="zh-CN"/>
        </w:rPr>
        <w:t>−</w:t>
      </w:r>
      <w:proofErr w:type="spellStart"/>
      <w:r>
        <w:rPr>
          <w:i/>
          <w:iCs/>
          <w:lang w:val="en-US"/>
        </w:rPr>
        <w:t>I</w:t>
      </w:r>
      <w:r>
        <w:rPr>
          <w:rFonts w:eastAsiaTheme="minorEastAsia" w:hint="eastAsia"/>
          <w:i/>
          <w:iCs/>
          <w:vertAlign w:val="subscript"/>
          <w:lang w:val="en-US" w:eastAsia="zh-CN"/>
        </w:rPr>
        <w:t>j</w:t>
      </w:r>
      <w:proofErr w:type="spellEnd"/>
      <w:r>
        <w:rPr>
          <w:rFonts w:eastAsiaTheme="minorEastAsia" w:hint="eastAsia"/>
          <w:lang w:val="en-US" w:eastAsia="zh-CN"/>
        </w:rPr>
        <w:t>)</w:t>
      </w:r>
      <w:r>
        <w:rPr>
          <w:lang w:val="en-US"/>
        </w:rPr>
        <w:t>/</w:t>
      </w:r>
      <w:proofErr w:type="spellStart"/>
      <w:r>
        <w:rPr>
          <w:i/>
          <w:iCs/>
          <w:lang w:val="en-US"/>
        </w:rPr>
        <w:t>I</w:t>
      </w:r>
      <w:r>
        <w:rPr>
          <w:i/>
          <w:iCs/>
          <w:vertAlign w:val="subscript"/>
          <w:lang w:val="en-US"/>
        </w:rPr>
        <w:t>c</w:t>
      </w:r>
      <w:proofErr w:type="spellEnd"/>
      <w:r>
        <w:rPr>
          <w:lang w:val="en-US"/>
        </w:rPr>
        <w:t>] * 100%</w:t>
      </w:r>
    </w:p>
    <w:p w14:paraId="4894EBCF" w14:textId="77777777" w:rsidR="002A30D1" w:rsidRDefault="002A30D1" w:rsidP="002A30D1">
      <w:pPr>
        <w:jc w:val="both"/>
        <w:rPr>
          <w:b/>
          <w:bCs/>
          <w:lang w:val="en-US"/>
        </w:rPr>
      </w:pPr>
      <w:r>
        <w:rPr>
          <w:lang w:val="en-US"/>
        </w:rPr>
        <w:t xml:space="preserve">where </w:t>
      </w:r>
      <w:proofErr w:type="spellStart"/>
      <w:r>
        <w:rPr>
          <w:i/>
          <w:iCs/>
          <w:lang w:val="en-US"/>
        </w:rPr>
        <w:t>I</w:t>
      </w:r>
      <w:r>
        <w:rPr>
          <w:i/>
          <w:iCs/>
          <w:vertAlign w:val="subscript"/>
          <w:lang w:val="en-US"/>
        </w:rPr>
        <w:t>c</w:t>
      </w:r>
      <w:proofErr w:type="spellEnd"/>
      <w:r>
        <w:rPr>
          <w:lang w:val="en-US"/>
        </w:rPr>
        <w:t xml:space="preserve"> is the fluorescence intensity of</w:t>
      </w:r>
      <w:r>
        <w:rPr>
          <w:b/>
          <w:bCs/>
          <w:lang w:val="en-US"/>
        </w:rPr>
        <w:t xml:space="preserve"> </w:t>
      </w:r>
      <w:r>
        <w:rPr>
          <w:lang w:val="en-US"/>
        </w:rPr>
        <w:t>H</w:t>
      </w:r>
      <w:r>
        <w:rPr>
          <w:vertAlign w:val="subscript"/>
          <w:lang w:val="en-US"/>
        </w:rPr>
        <w:t>2</w:t>
      </w:r>
      <w:r>
        <w:rPr>
          <w:lang w:val="en-US"/>
        </w:rPr>
        <w:t>O</w:t>
      </w:r>
      <w:r>
        <w:rPr>
          <w:vertAlign w:val="subscript"/>
          <w:lang w:val="en-US"/>
        </w:rPr>
        <w:t>2</w:t>
      </w:r>
      <w:r>
        <w:rPr>
          <w:lang w:val="en-US"/>
        </w:rPr>
        <w:t xml:space="preserve"> solution</w:t>
      </w:r>
      <w:r>
        <w:rPr>
          <w:rFonts w:eastAsiaTheme="minorEastAsia" w:hint="eastAsia"/>
          <w:lang w:val="en-US" w:eastAsia="zh-CN"/>
        </w:rPr>
        <w:t xml:space="preserve"> mixed with DCFH solution</w:t>
      </w:r>
      <w:r>
        <w:rPr>
          <w:lang w:val="en-US"/>
        </w:rPr>
        <w:t xml:space="preserve"> without melanin, </w:t>
      </w:r>
      <w:proofErr w:type="spellStart"/>
      <w:r>
        <w:rPr>
          <w:i/>
          <w:iCs/>
          <w:lang w:val="en-US"/>
        </w:rPr>
        <w:t>I</w:t>
      </w:r>
      <w:r>
        <w:rPr>
          <w:i/>
          <w:iCs/>
          <w:vertAlign w:val="subscript"/>
          <w:lang w:val="en-US"/>
        </w:rPr>
        <w:t>i</w:t>
      </w:r>
      <w:proofErr w:type="spellEnd"/>
      <w:r>
        <w:rPr>
          <w:lang w:val="en-US"/>
        </w:rPr>
        <w:t xml:space="preserve"> is the fluorescence intensity of melanin mixed with the H</w:t>
      </w:r>
      <w:r>
        <w:rPr>
          <w:vertAlign w:val="subscript"/>
          <w:lang w:val="en-US"/>
        </w:rPr>
        <w:t>2</w:t>
      </w:r>
      <w:r>
        <w:rPr>
          <w:lang w:val="en-US"/>
        </w:rPr>
        <w:t>O</w:t>
      </w:r>
      <w:r>
        <w:rPr>
          <w:vertAlign w:val="subscript"/>
          <w:lang w:val="en-US"/>
        </w:rPr>
        <w:t>2</w:t>
      </w:r>
      <w:r>
        <w:rPr>
          <w:lang w:val="en-US"/>
        </w:rPr>
        <w:t xml:space="preserve"> </w:t>
      </w:r>
      <w:r>
        <w:rPr>
          <w:rFonts w:eastAsiaTheme="minorEastAsia" w:hint="eastAsia"/>
          <w:lang w:val="en-US" w:eastAsia="zh-CN"/>
        </w:rPr>
        <w:t>and</w:t>
      </w:r>
      <w:r w:rsidRPr="00BA4268">
        <w:rPr>
          <w:rFonts w:eastAsiaTheme="minorEastAsia" w:hint="eastAsia"/>
          <w:lang w:val="en-US" w:eastAsia="zh-CN"/>
        </w:rPr>
        <w:t xml:space="preserve"> </w:t>
      </w:r>
      <w:r>
        <w:rPr>
          <w:rFonts w:eastAsiaTheme="minorEastAsia" w:hint="eastAsia"/>
          <w:lang w:val="en-US" w:eastAsia="zh-CN"/>
        </w:rPr>
        <w:t>DCFH solution,</w:t>
      </w:r>
      <w:r w:rsidRPr="00BA4268">
        <w:rPr>
          <w:i/>
          <w:iCs/>
          <w:lang w:val="en-US"/>
        </w:rPr>
        <w:t xml:space="preserve"> </w:t>
      </w:r>
      <w:proofErr w:type="spellStart"/>
      <w:r>
        <w:rPr>
          <w:i/>
          <w:iCs/>
          <w:lang w:val="en-US"/>
        </w:rPr>
        <w:t>I</w:t>
      </w:r>
      <w:r>
        <w:rPr>
          <w:rFonts w:eastAsiaTheme="minorEastAsia" w:hint="eastAsia"/>
          <w:i/>
          <w:iCs/>
          <w:vertAlign w:val="subscript"/>
          <w:lang w:val="en-US" w:eastAsia="zh-CN"/>
        </w:rPr>
        <w:t>j</w:t>
      </w:r>
      <w:proofErr w:type="spellEnd"/>
      <w:r>
        <w:rPr>
          <w:lang w:val="en-US"/>
        </w:rPr>
        <w:t xml:space="preserve"> is the fluorescence intensity of</w:t>
      </w:r>
      <w:r>
        <w:rPr>
          <w:b/>
          <w:bCs/>
          <w:lang w:val="en-US"/>
        </w:rPr>
        <w:t xml:space="preserve"> </w:t>
      </w:r>
      <w:r>
        <w:rPr>
          <w:lang w:val="en-US"/>
        </w:rPr>
        <w:t>H</w:t>
      </w:r>
      <w:r>
        <w:rPr>
          <w:vertAlign w:val="subscript"/>
          <w:lang w:val="en-US"/>
        </w:rPr>
        <w:t>2</w:t>
      </w:r>
      <w:r>
        <w:rPr>
          <w:lang w:val="en-US"/>
        </w:rPr>
        <w:t>O</w:t>
      </w:r>
      <w:r>
        <w:rPr>
          <w:vertAlign w:val="subscript"/>
          <w:lang w:val="en-US"/>
        </w:rPr>
        <w:t>2</w:t>
      </w:r>
      <w:r>
        <w:rPr>
          <w:lang w:val="en-US"/>
        </w:rPr>
        <w:t xml:space="preserve"> solution</w:t>
      </w:r>
      <w:r>
        <w:rPr>
          <w:rFonts w:eastAsiaTheme="minorEastAsia" w:hint="eastAsia"/>
          <w:lang w:val="en-US" w:eastAsia="zh-CN"/>
        </w:rPr>
        <w:t xml:space="preserve"> mixed with </w:t>
      </w:r>
      <w:r>
        <w:rPr>
          <w:lang w:val="en-US"/>
        </w:rPr>
        <w:t xml:space="preserve">melanin without </w:t>
      </w:r>
      <w:r>
        <w:rPr>
          <w:rFonts w:eastAsiaTheme="minorEastAsia" w:hint="eastAsia"/>
          <w:lang w:val="en-US" w:eastAsia="zh-CN"/>
        </w:rPr>
        <w:t xml:space="preserve">DCFH </w:t>
      </w:r>
      <w:r>
        <w:rPr>
          <w:rFonts w:eastAsiaTheme="minorEastAsia"/>
          <w:lang w:val="en-US" w:eastAsia="zh-CN"/>
        </w:rPr>
        <w:t>solution</w:t>
      </w:r>
      <w:r>
        <w:rPr>
          <w:lang w:val="en-US"/>
        </w:rPr>
        <w:t xml:space="preserve">. Experiments were run in ≥ three times. </w:t>
      </w:r>
    </w:p>
    <w:p w14:paraId="1427374C" w14:textId="77777777" w:rsidR="002A30D1" w:rsidRDefault="002A30D1" w:rsidP="002A30D1">
      <w:pPr>
        <w:rPr>
          <w:b/>
          <w:bCs/>
          <w:lang w:val="en-US"/>
        </w:rPr>
      </w:pPr>
    </w:p>
    <w:p w14:paraId="3F8122F2" w14:textId="77777777" w:rsidR="002A30D1" w:rsidRDefault="002A30D1" w:rsidP="002A30D1">
      <w:pPr>
        <w:rPr>
          <w:b/>
          <w:bCs/>
          <w:lang w:val="en-US"/>
        </w:rPr>
      </w:pPr>
      <w:bookmarkStart w:id="17" w:name="_Hlk163417800"/>
      <w:r>
        <w:rPr>
          <w:b/>
          <w:bCs/>
          <w:lang w:val="en-US"/>
        </w:rPr>
        <w:t>·OH</w:t>
      </w:r>
      <w:bookmarkEnd w:id="17"/>
      <w:r>
        <w:rPr>
          <w:b/>
          <w:bCs/>
          <w:lang w:val="en-US"/>
        </w:rPr>
        <w:t xml:space="preserve"> scavenging assay</w:t>
      </w:r>
    </w:p>
    <w:p w14:paraId="58266A91" w14:textId="77777777" w:rsidR="002A30D1" w:rsidRDefault="002A30D1" w:rsidP="002A30D1">
      <w:pPr>
        <w:jc w:val="both"/>
        <w:rPr>
          <w:lang w:val="en-US"/>
        </w:rPr>
      </w:pPr>
      <w:r>
        <w:rPr>
          <w:lang w:val="en-US"/>
        </w:rPr>
        <w:t>DCFH solution was prepared by mixing 0.5 mL of 1 mM DCF</w:t>
      </w:r>
      <w:r>
        <w:rPr>
          <w:rFonts w:eastAsiaTheme="minorEastAsia" w:hint="eastAsia"/>
          <w:lang w:val="en-US" w:eastAsia="zh-CN"/>
        </w:rPr>
        <w:t>H</w:t>
      </w:r>
      <w:r>
        <w:rPr>
          <w:lang w:val="en-US"/>
        </w:rPr>
        <w:t>-DA in ethanol with 2 mL of 0.01 M NaOH.</w:t>
      </w:r>
      <w:r>
        <w:rPr>
          <w:vertAlign w:val="superscript"/>
          <w:lang w:val="en-US"/>
        </w:rPr>
        <w:t>19-20</w:t>
      </w:r>
      <w:r>
        <w:rPr>
          <w:lang w:val="en-US"/>
        </w:rPr>
        <w:t xml:space="preserve"> 100 </w:t>
      </w:r>
      <w:r>
        <w:t>μ</w:t>
      </w:r>
      <w:r>
        <w:rPr>
          <w:lang w:val="en-US"/>
        </w:rPr>
        <w:t>L of 0.04 mg mL</w:t>
      </w:r>
      <w:r>
        <w:rPr>
          <w:vertAlign w:val="superscript"/>
          <w:lang w:val="en-US"/>
        </w:rPr>
        <w:t>-1</w:t>
      </w:r>
      <w:r>
        <w:rPr>
          <w:lang w:val="en-US"/>
        </w:rPr>
        <w:t xml:space="preserve"> melanin suspension in ultrapure water or 100 </w:t>
      </w:r>
      <w:r>
        <w:t>μ</w:t>
      </w:r>
      <w:r>
        <w:rPr>
          <w:lang w:val="en-US"/>
        </w:rPr>
        <w:t>L ultrapure water was added to 1.8 mL of freshly prepared 10 mM H</w:t>
      </w:r>
      <w:r>
        <w:rPr>
          <w:vertAlign w:val="subscript"/>
          <w:lang w:val="en-US"/>
        </w:rPr>
        <w:t>2</w:t>
      </w:r>
      <w:r>
        <w:rPr>
          <w:lang w:val="en-US"/>
        </w:rPr>
        <w:t>O</w:t>
      </w:r>
      <w:r>
        <w:rPr>
          <w:vertAlign w:val="subscript"/>
          <w:lang w:val="en-US"/>
        </w:rPr>
        <w:t>2</w:t>
      </w:r>
      <w:r>
        <w:rPr>
          <w:lang w:val="en-US"/>
        </w:rPr>
        <w:t xml:space="preserve"> and 20 </w:t>
      </w:r>
      <w:r>
        <w:t>μ</w:t>
      </w:r>
      <w:r>
        <w:rPr>
          <w:lang w:val="en-US"/>
        </w:rPr>
        <w:t xml:space="preserve">L of freshly </w:t>
      </w:r>
      <w:r>
        <w:rPr>
          <w:lang w:val="en-US"/>
        </w:rPr>
        <w:lastRenderedPageBreak/>
        <w:t xml:space="preserve">prepared DCFH solution. Next, the mixture was irradiated 5 Gy </w:t>
      </w:r>
      <w:r>
        <w:t>γ</w:t>
      </w:r>
      <w:r>
        <w:rPr>
          <w:lang w:val="en-US"/>
        </w:rPr>
        <w:t>-ray at the dose rate of 5 Gy·min</w:t>
      </w:r>
      <w:r>
        <w:rPr>
          <w:vertAlign w:val="superscript"/>
          <w:lang w:val="en-US"/>
        </w:rPr>
        <w:t>-1</w:t>
      </w:r>
      <w:r>
        <w:rPr>
          <w:lang w:val="en-US"/>
        </w:rPr>
        <w:t>. The ·OH scavenging activity was evaluated by monitoring the fluorescence intensity decrease at 5</w:t>
      </w:r>
      <w:r>
        <w:rPr>
          <w:rFonts w:eastAsiaTheme="minorEastAsia" w:hint="eastAsia"/>
          <w:lang w:val="en-US" w:eastAsia="zh-CN"/>
        </w:rPr>
        <w:t>27</w:t>
      </w:r>
      <w:r>
        <w:rPr>
          <w:lang w:val="en-US"/>
        </w:rPr>
        <w:t xml:space="preserve"> nm. Excitation wavelength: 505 nm. Detection Wavelength: 510-660 nm. Slit: 2.5 nm. ·OH radical scavenging activity was calculated as </w:t>
      </w:r>
    </w:p>
    <w:p w14:paraId="54D30F8C" w14:textId="77777777" w:rsidR="002A30D1" w:rsidRDefault="002A30D1" w:rsidP="002A30D1">
      <w:pPr>
        <w:jc w:val="center"/>
        <w:rPr>
          <w:lang w:val="en-US"/>
        </w:rPr>
      </w:pPr>
      <w:r>
        <w:rPr>
          <w:lang w:val="en-US"/>
        </w:rPr>
        <w:t>I= [1-</w:t>
      </w:r>
      <w:r>
        <w:rPr>
          <w:rFonts w:eastAsiaTheme="minorEastAsia" w:hint="eastAsia"/>
          <w:lang w:val="en-US" w:eastAsia="zh-CN"/>
        </w:rPr>
        <w:t>(</w:t>
      </w:r>
      <w:proofErr w:type="spellStart"/>
      <w:r>
        <w:rPr>
          <w:i/>
          <w:iCs/>
          <w:lang w:val="en-US"/>
        </w:rPr>
        <w:t>I</w:t>
      </w:r>
      <w:r>
        <w:rPr>
          <w:i/>
          <w:iCs/>
          <w:vertAlign w:val="subscript"/>
          <w:lang w:val="en-US"/>
        </w:rPr>
        <w:t>i</w:t>
      </w:r>
      <w:proofErr w:type="spellEnd"/>
      <w:r>
        <w:rPr>
          <w:i/>
          <w:iCs/>
          <w:lang w:val="en-US"/>
        </w:rPr>
        <w:t xml:space="preserve"> </w:t>
      </w:r>
      <w:r w:rsidRPr="00BA4268">
        <w:rPr>
          <w:rFonts w:eastAsiaTheme="minorEastAsia"/>
          <w:lang w:val="en-US" w:eastAsia="zh-CN"/>
        </w:rPr>
        <w:t>−</w:t>
      </w:r>
      <w:proofErr w:type="spellStart"/>
      <w:r>
        <w:rPr>
          <w:i/>
          <w:iCs/>
          <w:lang w:val="en-US"/>
        </w:rPr>
        <w:t>I</w:t>
      </w:r>
      <w:r>
        <w:rPr>
          <w:rFonts w:eastAsiaTheme="minorEastAsia" w:hint="eastAsia"/>
          <w:i/>
          <w:iCs/>
          <w:vertAlign w:val="subscript"/>
          <w:lang w:val="en-US" w:eastAsia="zh-CN"/>
        </w:rPr>
        <w:t>j</w:t>
      </w:r>
      <w:proofErr w:type="spellEnd"/>
      <w:r>
        <w:rPr>
          <w:rFonts w:eastAsiaTheme="minorEastAsia" w:hint="eastAsia"/>
          <w:lang w:val="en-US" w:eastAsia="zh-CN"/>
        </w:rPr>
        <w:t>)</w:t>
      </w:r>
      <w:r>
        <w:rPr>
          <w:lang w:val="en-US"/>
        </w:rPr>
        <w:t>/</w:t>
      </w:r>
      <w:proofErr w:type="spellStart"/>
      <w:r>
        <w:rPr>
          <w:i/>
          <w:iCs/>
          <w:lang w:val="en-US"/>
        </w:rPr>
        <w:t>I</w:t>
      </w:r>
      <w:r>
        <w:rPr>
          <w:i/>
          <w:iCs/>
          <w:vertAlign w:val="subscript"/>
          <w:lang w:val="en-US"/>
        </w:rPr>
        <w:t>c</w:t>
      </w:r>
      <w:proofErr w:type="spellEnd"/>
      <w:r>
        <w:rPr>
          <w:lang w:val="en-US"/>
        </w:rPr>
        <w:t>] * 100%</w:t>
      </w:r>
    </w:p>
    <w:p w14:paraId="400843A7" w14:textId="77777777" w:rsidR="002A30D1" w:rsidRDefault="002A30D1" w:rsidP="002A30D1">
      <w:pPr>
        <w:jc w:val="both"/>
        <w:rPr>
          <w:lang w:val="en-US"/>
        </w:rPr>
      </w:pPr>
      <w:r>
        <w:rPr>
          <w:lang w:val="en-US"/>
        </w:rPr>
        <w:t xml:space="preserve">where </w:t>
      </w:r>
      <w:proofErr w:type="spellStart"/>
      <w:r>
        <w:rPr>
          <w:i/>
          <w:iCs/>
          <w:lang w:val="en-US"/>
        </w:rPr>
        <w:t>I</w:t>
      </w:r>
      <w:r>
        <w:rPr>
          <w:i/>
          <w:iCs/>
          <w:vertAlign w:val="subscript"/>
          <w:lang w:val="en-US"/>
        </w:rPr>
        <w:t>c</w:t>
      </w:r>
      <w:proofErr w:type="spellEnd"/>
      <w:r>
        <w:rPr>
          <w:lang w:val="en-US"/>
        </w:rPr>
        <w:t xml:space="preserve"> is the fluorescence intensity of H</w:t>
      </w:r>
      <w:r>
        <w:rPr>
          <w:vertAlign w:val="subscript"/>
          <w:lang w:val="en-US"/>
        </w:rPr>
        <w:t>2</w:t>
      </w:r>
      <w:r>
        <w:rPr>
          <w:lang w:val="en-US"/>
        </w:rPr>
        <w:t>O</w:t>
      </w:r>
      <w:r>
        <w:rPr>
          <w:vertAlign w:val="subscript"/>
          <w:lang w:val="en-US"/>
        </w:rPr>
        <w:t>2</w:t>
      </w:r>
      <w:r>
        <w:rPr>
          <w:lang w:val="en-US"/>
        </w:rPr>
        <w:t xml:space="preserve"> solution without melanin, </w:t>
      </w:r>
      <w:proofErr w:type="spellStart"/>
      <w:r>
        <w:rPr>
          <w:i/>
          <w:iCs/>
          <w:lang w:val="en-US"/>
        </w:rPr>
        <w:t>I</w:t>
      </w:r>
      <w:r>
        <w:rPr>
          <w:i/>
          <w:iCs/>
          <w:vertAlign w:val="subscript"/>
          <w:lang w:val="en-US"/>
        </w:rPr>
        <w:t>i</w:t>
      </w:r>
      <w:proofErr w:type="spellEnd"/>
      <w:r>
        <w:rPr>
          <w:lang w:val="en-US"/>
        </w:rPr>
        <w:t xml:space="preserve"> is the fluorescence intensity of melanin mixed with the H</w:t>
      </w:r>
      <w:r>
        <w:rPr>
          <w:vertAlign w:val="subscript"/>
          <w:lang w:val="en-US"/>
        </w:rPr>
        <w:t>2</w:t>
      </w:r>
      <w:r>
        <w:rPr>
          <w:lang w:val="en-US"/>
        </w:rPr>
        <w:t>O</w:t>
      </w:r>
      <w:r>
        <w:rPr>
          <w:vertAlign w:val="subscript"/>
          <w:lang w:val="en-US"/>
        </w:rPr>
        <w:t>2</w:t>
      </w:r>
      <w:r>
        <w:rPr>
          <w:lang w:val="en-US"/>
        </w:rPr>
        <w:t xml:space="preserve"> solution</w:t>
      </w:r>
      <w:r>
        <w:rPr>
          <w:rFonts w:eastAsiaTheme="minorEastAsia" w:hint="eastAsia"/>
          <w:lang w:val="en-US" w:eastAsia="zh-CN"/>
        </w:rPr>
        <w:t>,</w:t>
      </w:r>
      <w:r w:rsidRPr="00BA4268">
        <w:rPr>
          <w:i/>
          <w:iCs/>
          <w:lang w:val="en-US"/>
        </w:rPr>
        <w:t xml:space="preserve"> </w:t>
      </w:r>
      <w:proofErr w:type="spellStart"/>
      <w:r>
        <w:rPr>
          <w:i/>
          <w:iCs/>
          <w:lang w:val="en-US"/>
        </w:rPr>
        <w:t>I</w:t>
      </w:r>
      <w:r>
        <w:rPr>
          <w:rFonts w:eastAsiaTheme="minorEastAsia" w:hint="eastAsia"/>
          <w:i/>
          <w:iCs/>
          <w:vertAlign w:val="subscript"/>
          <w:lang w:val="en-US" w:eastAsia="zh-CN"/>
        </w:rPr>
        <w:t>j</w:t>
      </w:r>
      <w:proofErr w:type="spellEnd"/>
      <w:r>
        <w:rPr>
          <w:lang w:val="en-US"/>
        </w:rPr>
        <w:t xml:space="preserve"> is the fluorescence intensity of</w:t>
      </w:r>
      <w:r>
        <w:rPr>
          <w:b/>
          <w:bCs/>
          <w:lang w:val="en-US"/>
        </w:rPr>
        <w:t xml:space="preserve"> </w:t>
      </w:r>
      <w:r>
        <w:rPr>
          <w:lang w:val="en-US"/>
        </w:rPr>
        <w:t>H</w:t>
      </w:r>
      <w:r>
        <w:rPr>
          <w:vertAlign w:val="subscript"/>
          <w:lang w:val="en-US"/>
        </w:rPr>
        <w:t>2</w:t>
      </w:r>
      <w:r>
        <w:rPr>
          <w:lang w:val="en-US"/>
        </w:rPr>
        <w:t>O</w:t>
      </w:r>
      <w:r>
        <w:rPr>
          <w:vertAlign w:val="subscript"/>
          <w:lang w:val="en-US"/>
        </w:rPr>
        <w:t>2</w:t>
      </w:r>
      <w:r>
        <w:rPr>
          <w:lang w:val="en-US"/>
        </w:rPr>
        <w:t xml:space="preserve"> solution</w:t>
      </w:r>
      <w:r>
        <w:rPr>
          <w:rFonts w:eastAsiaTheme="minorEastAsia" w:hint="eastAsia"/>
          <w:lang w:val="en-US" w:eastAsia="zh-CN"/>
        </w:rPr>
        <w:t xml:space="preserve"> mixed with </w:t>
      </w:r>
      <w:r>
        <w:rPr>
          <w:lang w:val="en-US"/>
        </w:rPr>
        <w:t xml:space="preserve">melanin without </w:t>
      </w:r>
      <w:r>
        <w:rPr>
          <w:rFonts w:eastAsiaTheme="minorEastAsia" w:hint="eastAsia"/>
          <w:lang w:val="en-US" w:eastAsia="zh-CN"/>
        </w:rPr>
        <w:t xml:space="preserve">DCFH </w:t>
      </w:r>
      <w:r>
        <w:rPr>
          <w:rFonts w:eastAsiaTheme="minorEastAsia"/>
          <w:lang w:val="en-US" w:eastAsia="zh-CN"/>
        </w:rPr>
        <w:t>solution</w:t>
      </w:r>
      <w:r>
        <w:rPr>
          <w:lang w:val="en-US"/>
        </w:rPr>
        <w:t>. Experiments were run in ≥ three times.</w:t>
      </w:r>
    </w:p>
    <w:p w14:paraId="181836AF" w14:textId="77777777" w:rsidR="002A30D1" w:rsidRDefault="002A30D1" w:rsidP="002A30D1">
      <w:pPr>
        <w:rPr>
          <w:b/>
          <w:bCs/>
          <w:lang w:val="en-US"/>
        </w:rPr>
      </w:pPr>
    </w:p>
    <w:p w14:paraId="73F6A951" w14:textId="77777777" w:rsidR="002A30D1" w:rsidRDefault="002A30D1" w:rsidP="002A30D1">
      <w:pPr>
        <w:rPr>
          <w:b/>
          <w:bCs/>
          <w:lang w:val="en-US"/>
        </w:rPr>
      </w:pPr>
      <w:r>
        <w:rPr>
          <w:b/>
          <w:bCs/>
          <w:lang w:val="en-US"/>
        </w:rPr>
        <w:t>NO· scavenging assay</w:t>
      </w:r>
      <w:r>
        <w:rPr>
          <w:vertAlign w:val="superscript"/>
          <w:lang w:val="en-US"/>
        </w:rPr>
        <w:t>21</w:t>
      </w:r>
    </w:p>
    <w:p w14:paraId="58CA8F25" w14:textId="77777777" w:rsidR="002A30D1" w:rsidRDefault="002A30D1" w:rsidP="002A30D1">
      <w:pPr>
        <w:jc w:val="both"/>
        <w:rPr>
          <w:lang w:val="en-US"/>
        </w:rPr>
      </w:pPr>
      <w:r>
        <w:rPr>
          <w:lang w:val="en-US"/>
        </w:rPr>
        <w:t xml:space="preserve">100 </w:t>
      </w:r>
      <w:r>
        <w:t>μ</w:t>
      </w:r>
      <w:r>
        <w:rPr>
          <w:lang w:val="en-US"/>
        </w:rPr>
        <w:t>L of 0.5 mg mL</w:t>
      </w:r>
      <w:r>
        <w:rPr>
          <w:vertAlign w:val="superscript"/>
          <w:lang w:val="en-US"/>
        </w:rPr>
        <w:t>-1</w:t>
      </w:r>
      <w:r>
        <w:rPr>
          <w:lang w:val="en-US"/>
        </w:rPr>
        <w:t xml:space="preserve"> melanin suspension in ultrapure water or 100 </w:t>
      </w:r>
      <w:r>
        <w:t>μ</w:t>
      </w:r>
      <w:r>
        <w:rPr>
          <w:lang w:val="en-US"/>
        </w:rPr>
        <w:t xml:space="preserve">L ultrapure water was added to 150 </w:t>
      </w:r>
      <w:r>
        <w:t>μ</w:t>
      </w:r>
      <w:r>
        <w:rPr>
          <w:lang w:val="en-US"/>
        </w:rPr>
        <w:t xml:space="preserve">L of a freshly prepared 10 mM solution of sodium nitroferricyanide dihydrate in 0.2 M PBS buffer (pH 7.4) and the mixture was taken under vigorous stirring at room temperature. After 2 h, 500 </w:t>
      </w:r>
      <w:r>
        <w:t>μ</w:t>
      </w:r>
      <w:r>
        <w:rPr>
          <w:lang w:val="en-US"/>
        </w:rPr>
        <w:t xml:space="preserve">L of Griess reagent (0.5% sulfanilamide and 0.05% </w:t>
      </w:r>
      <w:proofErr w:type="spellStart"/>
      <w:r>
        <w:rPr>
          <w:lang w:val="en-US"/>
        </w:rPr>
        <w:t>naphthylethylenediamine</w:t>
      </w:r>
      <w:proofErr w:type="spellEnd"/>
      <w:r>
        <w:rPr>
          <w:lang w:val="en-US"/>
        </w:rPr>
        <w:t xml:space="preserve"> dihydrochloride in 2.5% phosphoric acid) was added to the above mixture and the absorbance at 540 nm was measured. NO· radical scavenging activity was calculated as </w:t>
      </w:r>
    </w:p>
    <w:p w14:paraId="6DE26F0E" w14:textId="77777777" w:rsidR="002A30D1" w:rsidRDefault="002A30D1" w:rsidP="002A30D1">
      <w:pPr>
        <w:jc w:val="center"/>
        <w:rPr>
          <w:lang w:val="en-US"/>
        </w:rPr>
      </w:pPr>
      <w:r>
        <w:rPr>
          <w:lang w:val="en-US"/>
        </w:rPr>
        <w:t>I= [1-(</w:t>
      </w:r>
      <w:r>
        <w:rPr>
          <w:i/>
          <w:iCs/>
          <w:lang w:val="en-US"/>
        </w:rPr>
        <w:t>A</w:t>
      </w:r>
      <w:r>
        <w:rPr>
          <w:i/>
          <w:iCs/>
          <w:vertAlign w:val="subscript"/>
          <w:lang w:val="en-US"/>
        </w:rPr>
        <w:t>i</w:t>
      </w:r>
      <w:r>
        <w:rPr>
          <w:lang w:val="en-US"/>
        </w:rPr>
        <w:t>-</w:t>
      </w:r>
      <w:r>
        <w:rPr>
          <w:i/>
          <w:iCs/>
          <w:lang w:val="en-US"/>
        </w:rPr>
        <w:t>A</w:t>
      </w:r>
      <w:r>
        <w:rPr>
          <w:i/>
          <w:iCs/>
          <w:vertAlign w:val="subscript"/>
          <w:lang w:val="en-US"/>
        </w:rPr>
        <w:t>j</w:t>
      </w:r>
      <w:r>
        <w:rPr>
          <w:lang w:val="en-US"/>
        </w:rPr>
        <w:t>)/</w:t>
      </w:r>
      <w:r>
        <w:rPr>
          <w:i/>
          <w:iCs/>
          <w:lang w:val="en-US"/>
        </w:rPr>
        <w:t>A</w:t>
      </w:r>
      <w:r>
        <w:rPr>
          <w:i/>
          <w:iCs/>
          <w:vertAlign w:val="subscript"/>
          <w:lang w:val="en-US"/>
        </w:rPr>
        <w:t>c</w:t>
      </w:r>
      <w:r>
        <w:rPr>
          <w:lang w:val="en-US"/>
        </w:rPr>
        <w:t>] * 100%</w:t>
      </w:r>
    </w:p>
    <w:p w14:paraId="22CB6C84" w14:textId="77777777" w:rsidR="002A30D1" w:rsidRDefault="002A30D1" w:rsidP="002A30D1">
      <w:pPr>
        <w:jc w:val="both"/>
        <w:rPr>
          <w:b/>
          <w:bCs/>
          <w:lang w:val="en-US"/>
        </w:rPr>
      </w:pPr>
      <w:r>
        <w:rPr>
          <w:lang w:val="en-US"/>
        </w:rPr>
        <w:t xml:space="preserve">where </w:t>
      </w:r>
      <w:r>
        <w:rPr>
          <w:i/>
          <w:iCs/>
          <w:lang w:val="en-US"/>
        </w:rPr>
        <w:t>A</w:t>
      </w:r>
      <w:r>
        <w:rPr>
          <w:i/>
          <w:iCs/>
          <w:vertAlign w:val="subscript"/>
          <w:lang w:val="en-US"/>
        </w:rPr>
        <w:t>c</w:t>
      </w:r>
      <w:r>
        <w:rPr>
          <w:lang w:val="en-US"/>
        </w:rPr>
        <w:t xml:space="preserve"> is the absorbance of NO· solution without melanin, </w:t>
      </w:r>
      <w:r>
        <w:rPr>
          <w:i/>
          <w:iCs/>
          <w:lang w:val="en-US"/>
        </w:rPr>
        <w:t>A</w:t>
      </w:r>
      <w:r>
        <w:rPr>
          <w:i/>
          <w:iCs/>
          <w:vertAlign w:val="subscript"/>
          <w:lang w:val="en-US"/>
        </w:rPr>
        <w:t>i</w:t>
      </w:r>
      <w:r>
        <w:rPr>
          <w:lang w:val="en-US"/>
        </w:rPr>
        <w:t xml:space="preserve"> is the absorbance of melanin mixed with the NO· solution, and </w:t>
      </w:r>
      <w:r>
        <w:rPr>
          <w:i/>
          <w:iCs/>
          <w:lang w:val="en-US"/>
        </w:rPr>
        <w:t>A</w:t>
      </w:r>
      <w:r>
        <w:rPr>
          <w:i/>
          <w:iCs/>
          <w:vertAlign w:val="subscript"/>
          <w:lang w:val="en-US"/>
        </w:rPr>
        <w:t>j</w:t>
      </w:r>
      <w:r>
        <w:rPr>
          <w:i/>
          <w:iCs/>
          <w:lang w:val="en-US"/>
        </w:rPr>
        <w:t xml:space="preserve"> </w:t>
      </w:r>
      <w:r>
        <w:rPr>
          <w:lang w:val="en-US"/>
        </w:rPr>
        <w:t>is the absorbance of melanin without NO· solution. Experiments were run in ≥ three times.</w:t>
      </w:r>
    </w:p>
    <w:p w14:paraId="710EC450" w14:textId="77777777" w:rsidR="002A30D1" w:rsidRDefault="002A30D1" w:rsidP="002A30D1">
      <w:pPr>
        <w:rPr>
          <w:lang w:val="en-US"/>
        </w:rPr>
      </w:pPr>
    </w:p>
    <w:p w14:paraId="5E8E3263" w14:textId="77777777" w:rsidR="002A30D1" w:rsidRDefault="002A30D1" w:rsidP="002A30D1">
      <w:pPr>
        <w:rPr>
          <w:lang w:val="en-US"/>
        </w:rPr>
      </w:pPr>
      <w:r>
        <w:rPr>
          <w:b/>
          <w:bCs/>
          <w:lang w:val="en-US"/>
        </w:rPr>
        <w:t>DPPH scavenging assay</w:t>
      </w:r>
      <w:r>
        <w:rPr>
          <w:vertAlign w:val="superscript"/>
          <w:lang w:val="en-US"/>
        </w:rPr>
        <w:t>1, 22-23</w:t>
      </w:r>
      <w:r>
        <w:rPr>
          <w:lang w:val="en-US"/>
        </w:rPr>
        <w:t xml:space="preserve"> </w:t>
      </w:r>
    </w:p>
    <w:p w14:paraId="102FED97" w14:textId="77777777" w:rsidR="002A30D1" w:rsidRDefault="002A30D1" w:rsidP="002A30D1">
      <w:pPr>
        <w:jc w:val="both"/>
        <w:rPr>
          <w:lang w:val="en-US"/>
        </w:rPr>
      </w:pPr>
      <w:r>
        <w:rPr>
          <w:lang w:val="en-US"/>
        </w:rPr>
        <w:t xml:space="preserve">Briefly, 100 </w:t>
      </w:r>
      <w:r>
        <w:t>μ</w:t>
      </w:r>
      <w:r>
        <w:rPr>
          <w:lang w:val="en-US"/>
        </w:rPr>
        <w:t>L of 0.5 mg mL</w:t>
      </w:r>
      <w:r>
        <w:rPr>
          <w:vertAlign w:val="superscript"/>
          <w:lang w:val="en-US"/>
        </w:rPr>
        <w:t>-1</w:t>
      </w:r>
      <w:r>
        <w:rPr>
          <w:lang w:val="en-US"/>
        </w:rPr>
        <w:t xml:space="preserve"> melanin suspension in ultrapure water or 100 </w:t>
      </w:r>
      <w:r>
        <w:t>μ</w:t>
      </w:r>
      <w:r>
        <w:rPr>
          <w:lang w:val="en-US"/>
        </w:rPr>
        <w:t xml:space="preserve">L ultrapure water was mixed with 1.8 mL of a 0.2 mM DPPH solution in 95% ethanol. The scavenging activity was evaluated by monitoring the absorbance decrease at 516 nm over 20 min. DPPH radical scavenging activity was calculated as </w:t>
      </w:r>
    </w:p>
    <w:p w14:paraId="19BA635E" w14:textId="77777777" w:rsidR="002A30D1" w:rsidRDefault="002A30D1" w:rsidP="002A30D1">
      <w:pPr>
        <w:jc w:val="center"/>
        <w:rPr>
          <w:lang w:val="en-US"/>
        </w:rPr>
      </w:pPr>
      <w:r>
        <w:rPr>
          <w:lang w:val="en-US"/>
        </w:rPr>
        <w:t>I= [1-(</w:t>
      </w:r>
      <w:r>
        <w:rPr>
          <w:i/>
          <w:iCs/>
          <w:lang w:val="en-US"/>
        </w:rPr>
        <w:t>A</w:t>
      </w:r>
      <w:r>
        <w:rPr>
          <w:i/>
          <w:iCs/>
          <w:vertAlign w:val="subscript"/>
          <w:lang w:val="en-US"/>
        </w:rPr>
        <w:t>i</w:t>
      </w:r>
      <w:r>
        <w:rPr>
          <w:lang w:val="en-US"/>
        </w:rPr>
        <w:t>-</w:t>
      </w:r>
      <w:r>
        <w:rPr>
          <w:i/>
          <w:iCs/>
          <w:lang w:val="en-US"/>
        </w:rPr>
        <w:t>A</w:t>
      </w:r>
      <w:r>
        <w:rPr>
          <w:i/>
          <w:iCs/>
          <w:vertAlign w:val="subscript"/>
          <w:lang w:val="en-US"/>
        </w:rPr>
        <w:t>j</w:t>
      </w:r>
      <w:r>
        <w:rPr>
          <w:lang w:val="en-US"/>
        </w:rPr>
        <w:t>)/</w:t>
      </w:r>
      <w:r>
        <w:rPr>
          <w:i/>
          <w:iCs/>
          <w:lang w:val="en-US"/>
        </w:rPr>
        <w:t>A</w:t>
      </w:r>
      <w:r>
        <w:rPr>
          <w:i/>
          <w:iCs/>
          <w:vertAlign w:val="subscript"/>
          <w:lang w:val="en-US"/>
        </w:rPr>
        <w:t>c</w:t>
      </w:r>
      <w:r>
        <w:rPr>
          <w:lang w:val="en-US"/>
        </w:rPr>
        <w:t>] * 100%</w:t>
      </w:r>
    </w:p>
    <w:p w14:paraId="1E82D8C1" w14:textId="77777777" w:rsidR="002A30D1" w:rsidRDefault="002A30D1" w:rsidP="002A30D1">
      <w:pPr>
        <w:jc w:val="both"/>
        <w:rPr>
          <w:b/>
          <w:bCs/>
          <w:lang w:val="en-US"/>
        </w:rPr>
      </w:pPr>
      <w:r>
        <w:rPr>
          <w:lang w:val="en-US"/>
        </w:rPr>
        <w:t xml:space="preserve">where </w:t>
      </w:r>
      <w:r>
        <w:rPr>
          <w:i/>
          <w:iCs/>
          <w:lang w:val="en-US"/>
        </w:rPr>
        <w:t>A</w:t>
      </w:r>
      <w:r>
        <w:rPr>
          <w:i/>
          <w:iCs/>
          <w:vertAlign w:val="subscript"/>
          <w:lang w:val="en-US"/>
        </w:rPr>
        <w:t>c</w:t>
      </w:r>
      <w:r>
        <w:rPr>
          <w:lang w:val="en-US"/>
        </w:rPr>
        <w:t xml:space="preserve"> is the absorbance of DPPH solution without melanin, </w:t>
      </w:r>
      <w:r>
        <w:rPr>
          <w:i/>
          <w:iCs/>
          <w:lang w:val="en-US"/>
        </w:rPr>
        <w:t>A</w:t>
      </w:r>
      <w:r>
        <w:rPr>
          <w:i/>
          <w:iCs/>
          <w:vertAlign w:val="subscript"/>
          <w:lang w:val="en-US"/>
        </w:rPr>
        <w:t>i</w:t>
      </w:r>
      <w:r>
        <w:rPr>
          <w:lang w:val="en-US"/>
        </w:rPr>
        <w:t xml:space="preserve"> is the absorbance of melanin mixed with the DPPH solution, and</w:t>
      </w:r>
      <w:r>
        <w:rPr>
          <w:i/>
          <w:iCs/>
          <w:lang w:val="en-US"/>
        </w:rPr>
        <w:t xml:space="preserve"> A</w:t>
      </w:r>
      <w:r>
        <w:rPr>
          <w:i/>
          <w:iCs/>
          <w:vertAlign w:val="subscript"/>
          <w:lang w:val="en-US"/>
        </w:rPr>
        <w:t>j</w:t>
      </w:r>
      <w:r>
        <w:rPr>
          <w:lang w:val="en-US"/>
        </w:rPr>
        <w:t xml:space="preserve"> is the absorbance of melanin without DPPH. Experiments were run in ≥ three times.</w:t>
      </w:r>
    </w:p>
    <w:p w14:paraId="5EE2D623" w14:textId="77777777" w:rsidR="002A30D1" w:rsidRPr="00FA07C9" w:rsidRDefault="002A30D1" w:rsidP="002A30D1">
      <w:pPr>
        <w:rPr>
          <w:rFonts w:eastAsiaTheme="minorEastAsia"/>
          <w:lang w:val="en-US" w:eastAsia="zh-CN"/>
        </w:rPr>
      </w:pPr>
    </w:p>
    <w:p w14:paraId="3F3DF114" w14:textId="77777777" w:rsidR="002A30D1" w:rsidRDefault="002A30D1" w:rsidP="002A30D1">
      <w:pPr>
        <w:rPr>
          <w:b/>
          <w:bCs/>
          <w:lang w:val="en-US"/>
        </w:rPr>
      </w:pPr>
      <w:r>
        <w:rPr>
          <w:b/>
          <w:bCs/>
          <w:lang w:val="en-US"/>
        </w:rPr>
        <w:t>Cell culture</w:t>
      </w:r>
    </w:p>
    <w:p w14:paraId="4656697A" w14:textId="77777777" w:rsidR="002A30D1" w:rsidRDefault="002A30D1" w:rsidP="002A30D1">
      <w:pPr>
        <w:jc w:val="both"/>
        <w:rPr>
          <w:lang w:val="en-US"/>
        </w:rPr>
      </w:pPr>
      <w:r>
        <w:rPr>
          <w:lang w:val="en-US"/>
        </w:rPr>
        <w:t xml:space="preserve">Human keratinocyte (HaCaT) cells were purchased from </w:t>
      </w:r>
      <w:r w:rsidRPr="00B0290A">
        <w:rPr>
          <w:lang w:val="en-US"/>
        </w:rPr>
        <w:t xml:space="preserve">Wuhan </w:t>
      </w:r>
      <w:proofErr w:type="spellStart"/>
      <w:r w:rsidRPr="00B0290A">
        <w:rPr>
          <w:lang w:val="en-US"/>
        </w:rPr>
        <w:t>Sunncell</w:t>
      </w:r>
      <w:proofErr w:type="spellEnd"/>
      <w:r w:rsidRPr="00B0290A">
        <w:rPr>
          <w:lang w:val="en-US"/>
        </w:rPr>
        <w:t xml:space="preserve"> Biotechnology Co., Ltd</w:t>
      </w:r>
      <w:r>
        <w:rPr>
          <w:lang w:val="en-US"/>
        </w:rPr>
        <w:t>, and cultured in Dulbecco's Modified Eagle Medium (DMEM) (</w:t>
      </w:r>
      <w:proofErr w:type="spellStart"/>
      <w:r>
        <w:rPr>
          <w:lang w:val="en-US"/>
        </w:rPr>
        <w:t>VivaCell</w:t>
      </w:r>
      <w:proofErr w:type="spellEnd"/>
      <w:r>
        <w:rPr>
          <w:lang w:val="en-US"/>
        </w:rPr>
        <w:t>) containing 10% (v/v) FBS and 1% antibiotics (penicillin-streptomycin) with high glucose, and maintained at 37 °C in 5% CO</w:t>
      </w:r>
      <w:r>
        <w:rPr>
          <w:vertAlign w:val="subscript"/>
          <w:lang w:val="en-US"/>
        </w:rPr>
        <w:t>2</w:t>
      </w:r>
      <w:r>
        <w:rPr>
          <w:lang w:val="en-US"/>
        </w:rPr>
        <w:t xml:space="preserve"> with a relative humidity of 95%.</w:t>
      </w:r>
    </w:p>
    <w:p w14:paraId="7C1945A8" w14:textId="77777777" w:rsidR="002A30D1" w:rsidRDefault="002A30D1" w:rsidP="002A30D1">
      <w:pPr>
        <w:rPr>
          <w:b/>
          <w:bCs/>
          <w:color w:val="000000"/>
          <w:lang w:val="en-US"/>
        </w:rPr>
      </w:pPr>
    </w:p>
    <w:p w14:paraId="70924426" w14:textId="77777777" w:rsidR="002A30D1" w:rsidRDefault="002A30D1" w:rsidP="002A30D1">
      <w:pPr>
        <w:rPr>
          <w:b/>
          <w:bCs/>
          <w:color w:val="000000"/>
          <w:lang w:val="en-US"/>
        </w:rPr>
      </w:pPr>
      <w:r>
        <w:rPr>
          <w:b/>
          <w:bCs/>
          <w:color w:val="000000"/>
          <w:lang w:val="en-US"/>
        </w:rPr>
        <w:t xml:space="preserve">Biocompatibility of synthesized </w:t>
      </w:r>
      <w:bookmarkStart w:id="18" w:name="_Hlk163237888"/>
      <w:r>
        <w:rPr>
          <w:b/>
          <w:bCs/>
          <w:color w:val="000000"/>
          <w:lang w:val="en-US"/>
        </w:rPr>
        <w:t>SeMNPs and eumelanin NPs</w:t>
      </w:r>
      <w:bookmarkEnd w:id="18"/>
    </w:p>
    <w:p w14:paraId="364D6B67" w14:textId="77777777" w:rsidR="002A30D1" w:rsidRDefault="002A30D1" w:rsidP="002A30D1">
      <w:pPr>
        <w:jc w:val="both"/>
        <w:rPr>
          <w:lang w:val="en-US"/>
        </w:rPr>
      </w:pPr>
      <w:r>
        <w:rPr>
          <w:lang w:val="en-US"/>
        </w:rPr>
        <w:t xml:space="preserve">Briefly, HaCaT cells were seeded in 96-well plates at a density of 10,000 cells per well for 24 h. The cells were then treated with SeMNPs and eumelanin NPs at different concentrations for another 24 h. After the incubation period, the cells were washed 3 times with PBS, and then </w:t>
      </w:r>
      <w:proofErr w:type="spellStart"/>
      <w:r>
        <w:rPr>
          <w:lang w:val="en-US"/>
        </w:rPr>
        <w:t>CellTiter</w:t>
      </w:r>
      <w:proofErr w:type="spellEnd"/>
      <w:r>
        <w:rPr>
          <w:lang w:val="en-US"/>
        </w:rPr>
        <w:t xml:space="preserve">-Blue® at 10% (v/v) in complete media was added to each well and incubated for 2 h at 37 °C to allow the live cells to convert resazurin to fluorescent resorufin. </w:t>
      </w:r>
      <w:bookmarkStart w:id="19" w:name="_Hlk163295282"/>
      <w:r>
        <w:rPr>
          <w:lang w:val="en-US"/>
        </w:rPr>
        <w:t>The fluorescent signal was then analyzed with excitation wavelength at 560 nm and emission wavelength at 600 nm by a plate reader.</w:t>
      </w:r>
      <w:bookmarkEnd w:id="19"/>
      <w:r>
        <w:rPr>
          <w:lang w:val="en-US"/>
        </w:rPr>
        <w:t xml:space="preserve"> Untreated cells in complete medium were used as a blank control. Viability is reported as a percentage of untreated cells, averaged over three biological repeats.</w:t>
      </w:r>
    </w:p>
    <w:p w14:paraId="531E2329" w14:textId="77777777" w:rsidR="002A30D1" w:rsidRDefault="002A30D1" w:rsidP="002A30D1">
      <w:pPr>
        <w:rPr>
          <w:lang w:val="en-US"/>
        </w:rPr>
      </w:pPr>
    </w:p>
    <w:p w14:paraId="4637C671" w14:textId="77777777" w:rsidR="002A30D1" w:rsidRDefault="002A30D1" w:rsidP="002A30D1">
      <w:pPr>
        <w:rPr>
          <w:b/>
          <w:bCs/>
          <w:lang w:val="en-US"/>
        </w:rPr>
      </w:pPr>
      <w:r>
        <w:rPr>
          <w:b/>
          <w:bCs/>
          <w:lang w:val="en-US"/>
        </w:rPr>
        <w:t>Cellular distribution of SeMNPs in HaCaT cells</w:t>
      </w:r>
    </w:p>
    <w:p w14:paraId="64C4C221" w14:textId="77777777" w:rsidR="002A30D1" w:rsidRDefault="002A30D1" w:rsidP="002A30D1">
      <w:pPr>
        <w:jc w:val="both"/>
        <w:rPr>
          <w:lang w:val="en-US"/>
        </w:rPr>
      </w:pPr>
      <w:r>
        <w:rPr>
          <w:lang w:val="en-US"/>
        </w:rPr>
        <w:t>HaCaT cells were plated in glass bottom dishes at 20,000 cells per well and seeded for 24 h before treatment with 0.004 mg mL</w:t>
      </w:r>
      <w:r>
        <w:rPr>
          <w:vertAlign w:val="superscript"/>
          <w:lang w:val="en-US"/>
        </w:rPr>
        <w:t>-1</w:t>
      </w:r>
      <w:r>
        <w:rPr>
          <w:lang w:val="en-US"/>
        </w:rPr>
        <w:t xml:space="preserve"> SeMNPs for another 24 h. The cells were washed twice </w:t>
      </w:r>
      <w:r>
        <w:rPr>
          <w:lang w:val="en-US"/>
        </w:rPr>
        <w:lastRenderedPageBreak/>
        <w:t xml:space="preserve">with PBS and stained with 5 </w:t>
      </w:r>
      <w:r>
        <w:t>μ</w:t>
      </w:r>
      <w:r>
        <w:rPr>
          <w:lang w:val="en-US"/>
        </w:rPr>
        <w:t>g mL</w:t>
      </w:r>
      <w:r>
        <w:rPr>
          <w:vertAlign w:val="superscript"/>
          <w:lang w:val="en-US"/>
        </w:rPr>
        <w:t>-1</w:t>
      </w:r>
      <w:r>
        <w:rPr>
          <w:lang w:val="en-US"/>
        </w:rPr>
        <w:t xml:space="preserve"> of WGA conjugated to Alexa Fluor 488 in PBS for 10 minutes at room temperature, washed twice with PBS, and returned to complete growth medium. Before imaging by CLSM, 1 drop of Hoechst 33342 dye was added to stain the nuclei. WGA 488 scan excitation wavelength: 486 nm. Detection wavelength: 510-550 nm. Hoechst 33342 scan excitation wavelength: 405 nm. Detection wavelength: 420-480 nm. </w:t>
      </w:r>
    </w:p>
    <w:p w14:paraId="6B584719" w14:textId="77777777" w:rsidR="002A30D1" w:rsidRDefault="002A30D1" w:rsidP="002A30D1">
      <w:pPr>
        <w:rPr>
          <w:lang w:val="en-US"/>
        </w:rPr>
      </w:pPr>
    </w:p>
    <w:p w14:paraId="34AC857D" w14:textId="77777777" w:rsidR="002A30D1" w:rsidRDefault="002A30D1" w:rsidP="002A30D1">
      <w:pPr>
        <w:rPr>
          <w:b/>
          <w:bCs/>
          <w:lang w:val="en-US"/>
        </w:rPr>
      </w:pPr>
      <w:r>
        <w:rPr>
          <w:b/>
          <w:bCs/>
          <w:lang w:val="en-US"/>
        </w:rPr>
        <w:t>ROS scavenging experiments on HaCaT cells</w:t>
      </w:r>
    </w:p>
    <w:p w14:paraId="5989EC8B" w14:textId="77777777" w:rsidR="002A30D1" w:rsidRDefault="002A30D1" w:rsidP="002A30D1">
      <w:pPr>
        <w:jc w:val="both"/>
        <w:rPr>
          <w:lang w:val="en-US"/>
        </w:rPr>
      </w:pPr>
      <w:r>
        <w:rPr>
          <w:b/>
          <w:bCs/>
          <w:lang w:val="en-US"/>
        </w:rPr>
        <w:t>Confocal laser scanning microscopy:</w:t>
      </w:r>
      <w:r>
        <w:rPr>
          <w:lang w:val="en-US"/>
        </w:rPr>
        <w:t xml:space="preserve"> HaCaT cells were plated at 50,000 cells per well in glass bottom dishes and seeded for 24 h before treatment with 0.004 mg mL</w:t>
      </w:r>
      <w:r>
        <w:rPr>
          <w:vertAlign w:val="superscript"/>
          <w:lang w:val="en-US"/>
        </w:rPr>
        <w:t>-1</w:t>
      </w:r>
      <w:r>
        <w:rPr>
          <w:lang w:val="en-US"/>
        </w:rPr>
        <w:t xml:space="preserve"> SeMNPs for another 24 h. The cells were washed 2 times with PBS and then treated with 10 </w:t>
      </w:r>
      <w:r>
        <w:t>μ</w:t>
      </w:r>
      <w:r>
        <w:rPr>
          <w:lang w:val="en-US"/>
        </w:rPr>
        <w:t xml:space="preserve">M of the ROS probe DCF-DA, incubated at 37 °C for 20 min. Next, the loading buffer was removed, and cells were returned to the growth medium. Then, the cells were treated with 6 Gy </w:t>
      </w:r>
      <w:r>
        <w:t>γ</w:t>
      </w:r>
      <w:r>
        <w:rPr>
          <w:lang w:val="en-US"/>
        </w:rPr>
        <w:t>-ray irradiation. A drop of Hoechst 33342 dye was added to 0.5 mL media for the nucleus staining before imaging by CLSM. Live-cell imaging was performed on a multi-SIM AXR multimodal super-resolution confocal microscope. ROS probe scan excitation wavelength: 486 nm. Detection wavelength: 510-550 nm. Hoechst 33342 scan excitation wavelength: 405 nm. Detection wavelength: 420-480 nm. The quantitative analysis of fluorescence intensity was performed by ImageJ software.</w:t>
      </w:r>
    </w:p>
    <w:p w14:paraId="1B446C10" w14:textId="77777777" w:rsidR="002A30D1" w:rsidRDefault="002A30D1" w:rsidP="002A30D1">
      <w:pPr>
        <w:jc w:val="both"/>
        <w:rPr>
          <w:lang w:val="en-US"/>
        </w:rPr>
      </w:pPr>
      <w:r>
        <w:rPr>
          <w:b/>
          <w:bCs/>
          <w:lang w:val="en-US"/>
        </w:rPr>
        <w:t>Plate reader:</w:t>
      </w:r>
      <w:r>
        <w:rPr>
          <w:lang w:val="en-US"/>
        </w:rPr>
        <w:t xml:space="preserve"> HaCaT cells were plated at a density of 10,000 cells per well in 96-well plates and cultured for 24 h. Then 0.004 mg mL</w:t>
      </w:r>
      <w:r>
        <w:rPr>
          <w:vertAlign w:val="superscript"/>
          <w:lang w:val="en-US"/>
        </w:rPr>
        <w:t>-1</w:t>
      </w:r>
      <w:r>
        <w:rPr>
          <w:lang w:val="en-US"/>
        </w:rPr>
        <w:t xml:space="preserve"> SeMNPs were added to each well for 24 h. The cells were washed 2 times with PBS and then treated with 10 </w:t>
      </w:r>
      <w:r>
        <w:t>μ</w:t>
      </w:r>
      <w:r>
        <w:rPr>
          <w:lang w:val="en-US"/>
        </w:rPr>
        <w:t xml:space="preserve">M of the ROS probe DCF-DA, incubated at 37 °C for 20 min. Next, the cells were treated with 4 Gy and 6 Gy </w:t>
      </w:r>
      <w:r>
        <w:t>γ</w:t>
      </w:r>
      <w:r>
        <w:rPr>
          <w:lang w:val="en-US"/>
        </w:rPr>
        <w:t xml:space="preserve">-ray irradiation, and 50 </w:t>
      </w:r>
      <w:r>
        <w:t>μ</w:t>
      </w:r>
      <w:r>
        <w:rPr>
          <w:lang w:val="en-US"/>
        </w:rPr>
        <w:t>M H</w:t>
      </w:r>
      <w:r>
        <w:rPr>
          <w:vertAlign w:val="subscript"/>
          <w:lang w:val="en-US"/>
        </w:rPr>
        <w:t>2</w:t>
      </w:r>
      <w:r>
        <w:rPr>
          <w:lang w:val="en-US"/>
        </w:rPr>
        <w:t>O</w:t>
      </w:r>
      <w:r>
        <w:rPr>
          <w:vertAlign w:val="subscript"/>
          <w:lang w:val="en-US"/>
        </w:rPr>
        <w:t>2</w:t>
      </w:r>
      <w:r>
        <w:rPr>
          <w:lang w:val="en-US"/>
        </w:rPr>
        <w:t xml:space="preserve"> for 90 min, respectively. The fluorescence intensity of cells was monitored by a plate reader with excitation wavelength at 488 nm and emission wavelength at 525 nm.</w:t>
      </w:r>
    </w:p>
    <w:p w14:paraId="2AF253F1" w14:textId="77777777" w:rsidR="002A30D1" w:rsidRDefault="002A30D1" w:rsidP="002A30D1">
      <w:pPr>
        <w:jc w:val="both"/>
        <w:rPr>
          <w:lang w:val="en-US"/>
        </w:rPr>
      </w:pPr>
      <w:r>
        <w:rPr>
          <w:b/>
          <w:bCs/>
          <w:lang w:val="en-US"/>
        </w:rPr>
        <w:t>Flow cytometry:</w:t>
      </w:r>
      <w:r>
        <w:rPr>
          <w:lang w:val="en-US"/>
        </w:rPr>
        <w:t xml:space="preserve"> HaCaT cells were seeded in 12-well plates at a density of 50,000 cells per well for 24 h, and then treated with 0.004 mg mL</w:t>
      </w:r>
      <w:r>
        <w:rPr>
          <w:vertAlign w:val="superscript"/>
          <w:lang w:val="en-US"/>
        </w:rPr>
        <w:t xml:space="preserve">-1 </w:t>
      </w:r>
      <w:r>
        <w:rPr>
          <w:lang w:val="en-US"/>
        </w:rPr>
        <w:t xml:space="preserve">SeMNPs for another 24 h. After the incubation period, the cells were washed 3 times with PBS and then treated with 10 </w:t>
      </w:r>
      <w:r>
        <w:t>μ</w:t>
      </w:r>
      <w:r>
        <w:rPr>
          <w:lang w:val="en-US"/>
        </w:rPr>
        <w:t xml:space="preserve">M of the ROS probe DCF-DA, incubated at 37 °C for 20 min. Then, the cells were treated with 6 Gy </w:t>
      </w:r>
      <w:r>
        <w:t>γ</w:t>
      </w:r>
      <w:r>
        <w:rPr>
          <w:lang w:val="en-US"/>
        </w:rPr>
        <w:t xml:space="preserve">-ray irradiation. Next, the cells were harvested for flow cytometry. </w:t>
      </w:r>
    </w:p>
    <w:p w14:paraId="2D8B0BE2" w14:textId="77777777" w:rsidR="002A30D1" w:rsidRDefault="002A30D1" w:rsidP="002A30D1">
      <w:pPr>
        <w:rPr>
          <w:lang w:val="en-US"/>
        </w:rPr>
      </w:pPr>
    </w:p>
    <w:p w14:paraId="4A53B3F1" w14:textId="77777777" w:rsidR="002A30D1" w:rsidRDefault="002A30D1" w:rsidP="002A30D1">
      <w:pPr>
        <w:rPr>
          <w:b/>
          <w:bCs/>
          <w:lang w:val="en-US"/>
        </w:rPr>
      </w:pPr>
      <w:r>
        <w:rPr>
          <w:b/>
          <w:bCs/>
          <w:lang w:val="en-US"/>
        </w:rPr>
        <w:t>Lipid peroxidation scavenging experiments on HaCaT cells</w:t>
      </w:r>
    </w:p>
    <w:p w14:paraId="082B1266" w14:textId="77777777" w:rsidR="002A30D1" w:rsidRDefault="002A30D1" w:rsidP="002A30D1">
      <w:pPr>
        <w:jc w:val="both"/>
        <w:rPr>
          <w:lang w:val="en-US"/>
        </w:rPr>
      </w:pPr>
      <w:r>
        <w:rPr>
          <w:b/>
          <w:bCs/>
          <w:lang w:val="en-US"/>
        </w:rPr>
        <w:t>Confocal laser scanning microscopy:</w:t>
      </w:r>
      <w:r>
        <w:rPr>
          <w:lang w:val="en-US"/>
        </w:rPr>
        <w:t xml:space="preserve"> HaCaT cells were plated at 50,000 cells per well in glass bottom dishes and seeded for 24 h before treatment with 0.004 mg mL</w:t>
      </w:r>
      <w:r>
        <w:rPr>
          <w:vertAlign w:val="superscript"/>
          <w:lang w:val="en-US"/>
        </w:rPr>
        <w:t>-1</w:t>
      </w:r>
      <w:r>
        <w:rPr>
          <w:lang w:val="en-US"/>
        </w:rPr>
        <w:t xml:space="preserve"> SeMNPs for another 24 h. The cells were washed 2 times with PBS and then treated with the lipid peroxidation probe BODIPY (581/599)-C11 at 0.1% (v/v) in media according to the technical manual, incubated at 37 °C for 30 min. Next, the loading buffer was removed, and cells were returned to the growth medium. Then, the cells were treated with 6 Gy </w:t>
      </w:r>
      <w:r>
        <w:t>γ</w:t>
      </w:r>
      <w:r>
        <w:rPr>
          <w:lang w:val="en-US"/>
        </w:rPr>
        <w:t xml:space="preserve">-ray irradiation. A drop of Hoechst 33342 dye was added to 0.5 mL media for the nucleus staining before imaging by CLSM. Live-cell imaging was performed on a multi-SIM AXR multimodal super-resolution confocal microscope. Lipid peroxidation probe scan </w:t>
      </w:r>
      <w:bookmarkStart w:id="20" w:name="_Hlk163418542"/>
      <w:r>
        <w:rPr>
          <w:lang w:val="en-US"/>
        </w:rPr>
        <w:t>excitation wavelength: 488 nm. Detection wavelength: 510-550 nm.</w:t>
      </w:r>
      <w:bookmarkEnd w:id="20"/>
      <w:r>
        <w:rPr>
          <w:lang w:val="en-US"/>
        </w:rPr>
        <w:t xml:space="preserve"> Hoechst 33342 scan excitation wavelength: 405 nm. Detection wavelength: 420-480 nm. The quantitative analysis of fluorescence intensity was performed by ImageJ software.</w:t>
      </w:r>
    </w:p>
    <w:p w14:paraId="776D9178" w14:textId="77777777" w:rsidR="002A30D1" w:rsidRDefault="002A30D1" w:rsidP="002A30D1">
      <w:pPr>
        <w:jc w:val="both"/>
        <w:rPr>
          <w:lang w:val="en-US"/>
        </w:rPr>
      </w:pPr>
      <w:r>
        <w:rPr>
          <w:b/>
          <w:bCs/>
          <w:lang w:val="en-US"/>
        </w:rPr>
        <w:t>Flow cytometry:</w:t>
      </w:r>
      <w:r>
        <w:rPr>
          <w:lang w:val="en-US"/>
        </w:rPr>
        <w:t xml:space="preserve"> HaCaT cells were seeded in 12-well plates at a density of 50,000 cells per well for 24 h, and then treated with 0.004 mg mL</w:t>
      </w:r>
      <w:r>
        <w:rPr>
          <w:vertAlign w:val="superscript"/>
          <w:lang w:val="en-US"/>
        </w:rPr>
        <w:t xml:space="preserve">-1 </w:t>
      </w:r>
      <w:r>
        <w:rPr>
          <w:lang w:val="en-US"/>
        </w:rPr>
        <w:t xml:space="preserve">SeMNPs for another 24 h. After the incubation period, the cells were washed 2 times with PBS and then treated with the lipid peroxidation probe BODIPY (581/599)-C11 at 0.1% (v/v) in media according to the technical manual, incubated at 37 °C for 30 min. Then, the cells were treated with 6 Gy </w:t>
      </w:r>
      <w:r>
        <w:t>γ</w:t>
      </w:r>
      <w:r>
        <w:rPr>
          <w:lang w:val="en-US"/>
        </w:rPr>
        <w:t xml:space="preserve">-ray irradiation. Next, the cells were harvested for flow cytometry. </w:t>
      </w:r>
    </w:p>
    <w:p w14:paraId="4E9AAF9A" w14:textId="77777777" w:rsidR="002A30D1" w:rsidRPr="00FA07C9" w:rsidRDefault="002A30D1" w:rsidP="002A30D1">
      <w:pPr>
        <w:rPr>
          <w:rFonts w:eastAsiaTheme="minorEastAsia"/>
          <w:lang w:val="en-US" w:eastAsia="zh-CN"/>
        </w:rPr>
      </w:pPr>
    </w:p>
    <w:p w14:paraId="1F4F8941" w14:textId="77777777" w:rsidR="002A30D1" w:rsidRDefault="002A30D1" w:rsidP="002A30D1">
      <w:pPr>
        <w:rPr>
          <w:b/>
          <w:bCs/>
          <w:lang w:val="en-US"/>
        </w:rPr>
      </w:pPr>
      <w:r>
        <w:rPr>
          <w:b/>
          <w:bCs/>
          <w:lang w:val="en-US"/>
        </w:rPr>
        <w:t>Cell viability after SeMNPs and 10 Gy irradiation treatment</w:t>
      </w:r>
    </w:p>
    <w:p w14:paraId="49514214" w14:textId="77777777" w:rsidR="002A30D1" w:rsidRDefault="002A30D1" w:rsidP="002A30D1">
      <w:pPr>
        <w:jc w:val="both"/>
        <w:rPr>
          <w:lang w:val="en-US"/>
        </w:rPr>
      </w:pPr>
      <w:r>
        <w:rPr>
          <w:lang w:val="en-US"/>
        </w:rPr>
        <w:lastRenderedPageBreak/>
        <w:t>HaCaT cells were plated at a density of 10,000 cells per well in 96-well plates and cultured for 24 h. Then 0.004 mg mL</w:t>
      </w:r>
      <w:r>
        <w:rPr>
          <w:vertAlign w:val="superscript"/>
          <w:lang w:val="en-US"/>
        </w:rPr>
        <w:t>-1</w:t>
      </w:r>
      <w:r>
        <w:rPr>
          <w:lang w:val="en-US"/>
        </w:rPr>
        <w:t xml:space="preserve"> SeMNPs were added to each well for 24 h. The cells were treated with 10 Gy </w:t>
      </w:r>
      <w:bookmarkStart w:id="21" w:name="OLE_LINK7"/>
      <w:r>
        <w:rPr>
          <w:lang w:val="en-US"/>
        </w:rPr>
        <w:t>irradiation incubated for the desired times</w:t>
      </w:r>
      <w:bookmarkEnd w:id="21"/>
      <w:r>
        <w:rPr>
          <w:lang w:val="en-US"/>
        </w:rPr>
        <w:t xml:space="preserve"> (24 h, 48 h), and then </w:t>
      </w:r>
      <w:proofErr w:type="spellStart"/>
      <w:r>
        <w:rPr>
          <w:lang w:val="en-US"/>
        </w:rPr>
        <w:t>CellTiter</w:t>
      </w:r>
      <w:proofErr w:type="spellEnd"/>
      <w:r>
        <w:rPr>
          <w:lang w:val="en-US"/>
        </w:rPr>
        <w:t>-Blue® at 10% (v/v) in complete media was added to each well and incubated for 2 h to allow the live cells to convert resazurin to fluorescent resorufin. The fluorescent signal was then analyzed with excitation wavelength at 560 nm and emission wavelength at 600 nm by a plate reader.</w:t>
      </w:r>
    </w:p>
    <w:p w14:paraId="4D60CD56" w14:textId="77777777" w:rsidR="002A30D1" w:rsidRDefault="002A30D1" w:rsidP="002A30D1">
      <w:pPr>
        <w:rPr>
          <w:lang w:val="en-US"/>
        </w:rPr>
      </w:pPr>
    </w:p>
    <w:p w14:paraId="15B22E71" w14:textId="77777777" w:rsidR="002A30D1" w:rsidRDefault="002A30D1" w:rsidP="002A30D1">
      <w:pPr>
        <w:rPr>
          <w:lang w:val="en-US"/>
        </w:rPr>
      </w:pPr>
      <w:r>
        <w:rPr>
          <w:b/>
          <w:bCs/>
          <w:lang w:val="en-US"/>
        </w:rPr>
        <w:t>RNA‑sequencing processing</w:t>
      </w:r>
      <w:r>
        <w:rPr>
          <w:lang w:val="en-US"/>
        </w:rPr>
        <w:t xml:space="preserve"> </w:t>
      </w:r>
    </w:p>
    <w:p w14:paraId="6FAC627D" w14:textId="77777777" w:rsidR="002A30D1" w:rsidRDefault="002A30D1" w:rsidP="002A30D1">
      <w:pPr>
        <w:jc w:val="both"/>
        <w:rPr>
          <w:lang w:val="en-US"/>
        </w:rPr>
      </w:pPr>
      <w:bookmarkStart w:id="22" w:name="OLE_LINK10"/>
      <w:r>
        <w:rPr>
          <w:lang w:val="en-US"/>
        </w:rPr>
        <w:t xml:space="preserve">HaCaT cells were plated at a density of 50,000 cells per well in 12-well plates and cultured for 24 h, and then divided into different groups with different treatment. </w:t>
      </w:r>
      <w:bookmarkStart w:id="23" w:name="_Hlk165681057"/>
      <w:r>
        <w:rPr>
          <w:lang w:val="en-US"/>
        </w:rPr>
        <w:t>The control groups (Control) were neither irradiated nor pretreated with any melanin. The irradiated groups (</w:t>
      </w:r>
      <w:r>
        <w:t>γ</w:t>
      </w:r>
      <w:r>
        <w:rPr>
          <w:lang w:val="en-US"/>
        </w:rPr>
        <w:t xml:space="preserve">-ray) were treated with 10 Gy </w:t>
      </w:r>
      <w:r>
        <w:t>γ</w:t>
      </w:r>
      <w:r>
        <w:rPr>
          <w:lang w:val="en-US"/>
        </w:rPr>
        <w:t xml:space="preserve">-ray irradiation incubated for 24 h and not pretreated with any melanin nanoparticles. The irradiated cells pretreated with SeMNPs-1, -2 and -4 were named as </w:t>
      </w:r>
      <w:r>
        <w:t>γ</w:t>
      </w:r>
      <w:r>
        <w:rPr>
          <w:lang w:val="en-US"/>
        </w:rPr>
        <w:t xml:space="preserve">-ray+SeMNPs-1, </w:t>
      </w:r>
      <w:r>
        <w:t>γ</w:t>
      </w:r>
      <w:r>
        <w:rPr>
          <w:lang w:val="en-US"/>
        </w:rPr>
        <w:t xml:space="preserve">-ray+SeMNPs-2 and </w:t>
      </w:r>
      <w:r>
        <w:t>γ</w:t>
      </w:r>
      <w:r>
        <w:rPr>
          <w:lang w:val="en-US"/>
        </w:rPr>
        <w:t>-ray+SeMNPs-4, respectively.</w:t>
      </w:r>
      <w:bookmarkEnd w:id="23"/>
      <w:r>
        <w:rPr>
          <w:lang w:val="en-US"/>
        </w:rPr>
        <w:t xml:space="preserve"> The cells were collected, washed 2 times with PBS and snap-frozen in liquid nitrogen for RNA‑sequencing.</w:t>
      </w:r>
    </w:p>
    <w:p w14:paraId="434B5384" w14:textId="77777777" w:rsidR="002A30D1" w:rsidRDefault="002A30D1" w:rsidP="002A30D1">
      <w:pPr>
        <w:jc w:val="both"/>
        <w:rPr>
          <w:lang w:val="en-US"/>
        </w:rPr>
      </w:pPr>
      <w:r>
        <w:rPr>
          <w:lang w:val="en-US"/>
        </w:rPr>
        <w:t>RNA sequencing and sequence quality control of the HaCaT cells were performed using the BGISEQ platform. The human genome reference was established from GCF_000001405.40_GRCh38.p14 of NCBI version. Data analysis was all completed using the Beijing Genomics Institute (BGI) Dr. Tom system.</w:t>
      </w:r>
      <w:bookmarkStart w:id="24" w:name="_Hlk165681795"/>
      <w:r>
        <w:rPr>
          <w:lang w:val="en-US"/>
        </w:rPr>
        <w:t xml:space="preserve"> Gene-enrichment and functional annotation analysis for significant gene list was performed using Gene Ontology (GO) and pathway analysis was done based on the Kyoto Encyclopedia of Genes (KEGG).</w:t>
      </w:r>
      <w:bookmarkEnd w:id="24"/>
    </w:p>
    <w:bookmarkEnd w:id="22"/>
    <w:p w14:paraId="3BCFBD67" w14:textId="77777777" w:rsidR="002A30D1" w:rsidRDefault="002A30D1" w:rsidP="002A30D1">
      <w:pPr>
        <w:rPr>
          <w:lang w:val="en-US"/>
        </w:rPr>
      </w:pPr>
    </w:p>
    <w:p w14:paraId="2BA1F914" w14:textId="77777777" w:rsidR="002A30D1" w:rsidRDefault="002A30D1" w:rsidP="002A30D1">
      <w:pPr>
        <w:rPr>
          <w:b/>
          <w:bCs/>
          <w:lang w:val="en-US"/>
        </w:rPr>
      </w:pPr>
      <w:r>
        <w:rPr>
          <w:b/>
          <w:bCs/>
          <w:lang w:val="en-US"/>
        </w:rPr>
        <w:t>Animal studies</w:t>
      </w:r>
    </w:p>
    <w:p w14:paraId="7FDD33E0" w14:textId="77777777" w:rsidR="002A30D1" w:rsidRDefault="002A30D1" w:rsidP="002A30D1">
      <w:pPr>
        <w:jc w:val="both"/>
        <w:rPr>
          <w:b/>
          <w:bCs/>
          <w:lang w:val="en-US"/>
        </w:rPr>
      </w:pPr>
      <w:r>
        <w:rPr>
          <w:lang w:val="en-US"/>
        </w:rPr>
        <w:t>Animal studies were performed in compliance with the guidelines of the Ethics Committee of Beijing Normal University and regulations on laboratory animals of Beijing Laboratory Animal Management Office. 7-9 weeks BALB/c mice were used for animal studies.</w:t>
      </w:r>
    </w:p>
    <w:p w14:paraId="63437F88" w14:textId="77777777" w:rsidR="002A30D1" w:rsidRDefault="002A30D1" w:rsidP="002A30D1">
      <w:pPr>
        <w:rPr>
          <w:lang w:val="en-US"/>
        </w:rPr>
      </w:pPr>
      <w:r>
        <w:rPr>
          <w:lang w:val="en-US"/>
        </w:rPr>
        <w:br w:type="page"/>
      </w:r>
    </w:p>
    <w:p w14:paraId="2F807E2B" w14:textId="77777777" w:rsidR="002A30D1" w:rsidRDefault="002A30D1" w:rsidP="002A30D1">
      <w:pPr>
        <w:rPr>
          <w:rFonts w:eastAsia="宋体"/>
          <w:szCs w:val="21"/>
          <w:lang w:val="en-US"/>
        </w:rPr>
      </w:pPr>
      <w:r>
        <w:rPr>
          <w:b/>
          <w:bCs/>
          <w:lang w:val="en-US"/>
        </w:rPr>
        <w:lastRenderedPageBreak/>
        <w:t>Additional discussion</w:t>
      </w:r>
    </w:p>
    <w:p w14:paraId="4C7A6D57" w14:textId="77777777" w:rsidR="003218CB" w:rsidRDefault="003218CB" w:rsidP="003218CB">
      <w:pPr>
        <w:ind w:firstLineChars="200" w:firstLine="480"/>
        <w:jc w:val="both"/>
        <w:rPr>
          <w:rFonts w:eastAsia="宋体"/>
          <w:color w:val="000000"/>
          <w:szCs w:val="21"/>
          <w:lang w:val="en-US" w:eastAsia="zh-CN"/>
        </w:rPr>
      </w:pPr>
      <w:r>
        <w:rPr>
          <w:rFonts w:eastAsia="宋体" w:hint="eastAsia"/>
          <w:color w:val="000000"/>
          <w:szCs w:val="21"/>
          <w:lang w:val="en-US" w:eastAsia="zh-CN"/>
        </w:rPr>
        <w:t>As shown in Figure 6F, i</w:t>
      </w:r>
      <w:r w:rsidR="002A30D1">
        <w:rPr>
          <w:rFonts w:eastAsia="宋体"/>
          <w:color w:val="000000"/>
          <w:szCs w:val="21"/>
          <w:lang w:val="en-US"/>
        </w:rPr>
        <w:t xml:space="preserve">n the Control and </w:t>
      </w:r>
      <w:r w:rsidR="002A30D1">
        <w:rPr>
          <w:rFonts w:eastAsia="宋体"/>
          <w:color w:val="000000"/>
          <w:szCs w:val="21"/>
        </w:rPr>
        <w:t>γ</w:t>
      </w:r>
      <w:r w:rsidR="002A30D1">
        <w:rPr>
          <w:rFonts w:eastAsia="宋体"/>
          <w:color w:val="000000"/>
          <w:szCs w:val="21"/>
          <w:lang w:val="en-US"/>
        </w:rPr>
        <w:t xml:space="preserve">-ray groups, there was a clear pattern of gene expression, with several key cell cycle-related genes showing upregulation following </w:t>
      </w:r>
      <w:r w:rsidR="002A30D1">
        <w:rPr>
          <w:rFonts w:eastAsia="宋体"/>
          <w:color w:val="000000"/>
          <w:szCs w:val="21"/>
        </w:rPr>
        <w:t>γ</w:t>
      </w:r>
      <w:r w:rsidR="002A30D1">
        <w:rPr>
          <w:rFonts w:eastAsia="宋体"/>
          <w:color w:val="000000"/>
          <w:szCs w:val="21"/>
          <w:lang w:val="en-US"/>
        </w:rPr>
        <w:t xml:space="preserve">-ray exposure. However, in the SeMNPs-treated groups, particularly the </w:t>
      </w:r>
      <w:r w:rsidR="002A30D1">
        <w:rPr>
          <w:rFonts w:eastAsia="宋体"/>
          <w:color w:val="000000"/>
          <w:szCs w:val="21"/>
        </w:rPr>
        <w:t>γ</w:t>
      </w:r>
      <w:r w:rsidR="002A30D1">
        <w:rPr>
          <w:rFonts w:eastAsia="宋体"/>
          <w:color w:val="000000"/>
          <w:szCs w:val="21"/>
          <w:lang w:val="en-US"/>
        </w:rPr>
        <w:t xml:space="preserve">-ray+SeMNPs-4 group, a significant shift in the expression profile was observed. The up-regulation of CDKN1A in the </w:t>
      </w:r>
      <w:r w:rsidR="002A30D1">
        <w:rPr>
          <w:rFonts w:eastAsia="宋体"/>
          <w:color w:val="000000"/>
          <w:szCs w:val="21"/>
        </w:rPr>
        <w:t>γ</w:t>
      </w:r>
      <w:r w:rsidR="002A30D1">
        <w:rPr>
          <w:rFonts w:eastAsia="宋体"/>
          <w:color w:val="000000"/>
          <w:szCs w:val="21"/>
          <w:lang w:val="en-US"/>
        </w:rPr>
        <w:t xml:space="preserve">-ray group suggested a response to DNA damage, promoting cell cycle arrest. Interestingly, in the </w:t>
      </w:r>
      <w:r w:rsidR="002A30D1">
        <w:rPr>
          <w:rFonts w:eastAsia="宋体"/>
          <w:color w:val="000000"/>
          <w:szCs w:val="21"/>
        </w:rPr>
        <w:t>γ</w:t>
      </w:r>
      <w:r w:rsidR="002A30D1">
        <w:rPr>
          <w:rFonts w:eastAsia="宋体"/>
          <w:color w:val="000000"/>
          <w:szCs w:val="21"/>
          <w:lang w:val="en-US"/>
        </w:rPr>
        <w:t xml:space="preserve">-ray+SeMNPs-4 group, there was a down-regulation of CDKN1A expression, indicating a potential restoration of normal cell cycle progression disrupted by </w:t>
      </w:r>
      <w:r w:rsidR="002A30D1">
        <w:rPr>
          <w:rFonts w:eastAsia="宋体"/>
          <w:color w:val="000000"/>
          <w:szCs w:val="21"/>
        </w:rPr>
        <w:t>γ</w:t>
      </w:r>
      <w:r w:rsidR="002A30D1">
        <w:rPr>
          <w:rFonts w:eastAsia="宋体"/>
          <w:color w:val="000000"/>
          <w:szCs w:val="21"/>
          <w:lang w:val="en-US"/>
        </w:rPr>
        <w:t xml:space="preserve">-ray exposure. This down-regulation aligns with our previous observation that SeMNPs mitigated G2/M arrest induced by </w:t>
      </w:r>
      <w:r w:rsidR="002A30D1">
        <w:rPr>
          <w:rFonts w:eastAsia="宋体"/>
          <w:color w:val="000000"/>
          <w:szCs w:val="21"/>
        </w:rPr>
        <w:t>γ</w:t>
      </w:r>
      <w:r w:rsidR="002A30D1">
        <w:rPr>
          <w:rFonts w:eastAsia="宋体"/>
          <w:color w:val="000000"/>
          <w:szCs w:val="21"/>
          <w:lang w:val="en-US"/>
        </w:rPr>
        <w:t xml:space="preserve">-ray exposure. Additionally, genes such as CCND1 and CDK1 showed a trend towards normalized expression in the </w:t>
      </w:r>
      <w:r w:rsidR="002A30D1">
        <w:rPr>
          <w:rFonts w:eastAsia="宋体"/>
          <w:color w:val="000000"/>
          <w:szCs w:val="21"/>
        </w:rPr>
        <w:t>γ</w:t>
      </w:r>
      <w:r w:rsidR="002A30D1">
        <w:rPr>
          <w:rFonts w:eastAsia="宋体"/>
          <w:color w:val="000000"/>
          <w:szCs w:val="21"/>
          <w:lang w:val="en-US"/>
        </w:rPr>
        <w:t xml:space="preserve">-ray+SeMNPs-4 group compared to the </w:t>
      </w:r>
      <w:r w:rsidR="002A30D1">
        <w:rPr>
          <w:rFonts w:eastAsia="宋体"/>
          <w:color w:val="000000"/>
          <w:szCs w:val="21"/>
        </w:rPr>
        <w:t>γ</w:t>
      </w:r>
      <w:r w:rsidR="002A30D1">
        <w:rPr>
          <w:rFonts w:eastAsia="宋体"/>
          <w:color w:val="000000"/>
          <w:szCs w:val="21"/>
          <w:lang w:val="en-US"/>
        </w:rPr>
        <w:t xml:space="preserve">-ray group. </w:t>
      </w:r>
    </w:p>
    <w:p w14:paraId="6F74F177" w14:textId="67080642" w:rsidR="002A30D1" w:rsidRPr="003218CB" w:rsidRDefault="003218CB" w:rsidP="003218CB">
      <w:pPr>
        <w:ind w:firstLineChars="200" w:firstLine="480"/>
        <w:jc w:val="both"/>
        <w:rPr>
          <w:rFonts w:eastAsia="宋体"/>
          <w:color w:val="000000"/>
          <w:szCs w:val="21"/>
          <w:lang w:val="en-US" w:eastAsia="zh-CN"/>
        </w:rPr>
      </w:pPr>
      <w:r w:rsidRPr="003218CB">
        <w:rPr>
          <w:lang w:val="en-US"/>
        </w:rPr>
        <w:t xml:space="preserve">The spleen, lung, kidney, testis, and liver were stained with </w:t>
      </w:r>
      <w:r>
        <w:rPr>
          <w:rFonts w:eastAsiaTheme="minorEastAsia" w:hint="eastAsia"/>
          <w:lang w:val="en-US" w:eastAsia="zh-CN"/>
        </w:rPr>
        <w:t>H&amp;E staining</w:t>
      </w:r>
      <w:r w:rsidRPr="003218CB">
        <w:rPr>
          <w:lang w:val="en-US"/>
        </w:rPr>
        <w:t xml:space="preserve"> at 4 days after irradiation to observe the damage of multiple organs</w:t>
      </w:r>
      <w:r>
        <w:rPr>
          <w:rFonts w:eastAsiaTheme="minorEastAsia" w:hint="eastAsia"/>
          <w:lang w:val="en-US" w:eastAsia="zh-CN"/>
        </w:rPr>
        <w:t xml:space="preserve"> (</w:t>
      </w:r>
      <w:r>
        <w:rPr>
          <w:lang w:val="en-US"/>
        </w:rPr>
        <w:t xml:space="preserve">Figure </w:t>
      </w:r>
      <w:r>
        <w:rPr>
          <w:rFonts w:eastAsiaTheme="minorEastAsia" w:hint="eastAsia"/>
          <w:lang w:val="en-US" w:eastAsia="zh-CN"/>
        </w:rPr>
        <w:t>7D</w:t>
      </w:r>
      <w:r>
        <w:rPr>
          <w:lang w:val="en-US"/>
        </w:rPr>
        <w:t xml:space="preserve">). For the spleen, the white pulp (WP) and red pulp (RP) of the normal spleen were well demarcated (as shown by the white circle and text in Figure </w:t>
      </w:r>
      <w:r>
        <w:rPr>
          <w:rFonts w:eastAsiaTheme="minorEastAsia" w:hint="eastAsia"/>
          <w:lang w:val="en-US" w:eastAsia="zh-CN"/>
        </w:rPr>
        <w:t>7D</w:t>
      </w:r>
      <w:r>
        <w:rPr>
          <w:lang w:val="en-US"/>
        </w:rPr>
        <w:t xml:space="preserve">), but the WP and RP boundaries of the damaged spleen were blurred, with a significant reduction in the number and volume of WP and a disorganized medulla. Regarding the lungs, comparing with the normal group, it can be visualized very well that the alveolar structure of the damaged lungs was destroyed, with irregular thickening of alveolar septa and capillary congestion. As for the damaged kidneys, the hemorrhagic glomeruli (blank arrows in Figure </w:t>
      </w:r>
      <w:r>
        <w:rPr>
          <w:rFonts w:eastAsiaTheme="minorEastAsia" w:hint="eastAsia"/>
          <w:lang w:val="en-US" w:eastAsia="zh-CN"/>
        </w:rPr>
        <w:t>7D</w:t>
      </w:r>
      <w:r>
        <w:rPr>
          <w:lang w:val="en-US"/>
        </w:rPr>
        <w:t xml:space="preserve">) were filled with a large number of erythrocytes, the renal tubules are dilated (green arrows in Figure </w:t>
      </w:r>
      <w:r>
        <w:rPr>
          <w:rFonts w:eastAsiaTheme="minorEastAsia" w:hint="eastAsia"/>
          <w:lang w:val="en-US" w:eastAsia="zh-CN"/>
        </w:rPr>
        <w:t>7D</w:t>
      </w:r>
      <w:r>
        <w:rPr>
          <w:lang w:val="en-US"/>
        </w:rPr>
        <w:t xml:space="preserve">) and protein cast formation (blue arrows in Figure </w:t>
      </w:r>
      <w:r>
        <w:rPr>
          <w:rFonts w:eastAsiaTheme="minorEastAsia" w:hint="eastAsia"/>
          <w:lang w:val="en-US" w:eastAsia="zh-CN"/>
        </w:rPr>
        <w:t>7D</w:t>
      </w:r>
      <w:r>
        <w:rPr>
          <w:lang w:val="en-US"/>
        </w:rPr>
        <w:t>). As one of the most sensitive organs to irradiation, the irradiation-damaged testis showed very obvious deformations: the diameter of the seminiferous tubules was reduced, the structure was loosely disorganized, and a large number of bubble-like cavities were formed (</w:t>
      </w:r>
      <w:r>
        <w:t>γ</w:t>
      </w:r>
      <w:r>
        <w:rPr>
          <w:lang w:val="en-US"/>
        </w:rPr>
        <w:t>-ray group); there was a large reduction of testicular interstitial stromal cells (</w:t>
      </w:r>
      <w:r>
        <w:t>γ</w:t>
      </w:r>
      <w:r>
        <w:rPr>
          <w:lang w:val="en-US"/>
        </w:rPr>
        <w:t>-</w:t>
      </w:r>
      <w:proofErr w:type="spellStart"/>
      <w:r>
        <w:rPr>
          <w:lang w:val="en-US"/>
        </w:rPr>
        <w:t>ray+low-AMF</w:t>
      </w:r>
      <w:proofErr w:type="spellEnd"/>
      <w:r>
        <w:rPr>
          <w:lang w:val="en-US"/>
        </w:rPr>
        <w:t xml:space="preserve"> group); and a large number of germ cells in the lumen of the testicular seminiferous tubules were detached (</w:t>
      </w:r>
      <w:r>
        <w:t>γ</w:t>
      </w:r>
      <w:r>
        <w:rPr>
          <w:lang w:val="en-US"/>
        </w:rPr>
        <w:t>-</w:t>
      </w:r>
      <w:proofErr w:type="spellStart"/>
      <w:r>
        <w:rPr>
          <w:lang w:val="en-US"/>
        </w:rPr>
        <w:t>ray+high-AMF</w:t>
      </w:r>
      <w:proofErr w:type="spellEnd"/>
      <w:r>
        <w:rPr>
          <w:lang w:val="en-US"/>
        </w:rPr>
        <w:t xml:space="preserve"> group). Occasional foci of necrosis were seen in damaged livers compared to normal livers (black arrow in Figure </w:t>
      </w:r>
      <w:r>
        <w:rPr>
          <w:rFonts w:eastAsiaTheme="minorEastAsia" w:hint="eastAsia"/>
          <w:lang w:val="en-US" w:eastAsia="zh-CN"/>
        </w:rPr>
        <w:t>7D</w:t>
      </w:r>
      <w:r>
        <w:rPr>
          <w:lang w:val="en-US"/>
        </w:rPr>
        <w:t xml:space="preserve">). </w:t>
      </w:r>
      <w:r w:rsidR="002A30D1">
        <w:rPr>
          <w:lang w:val="en-US"/>
        </w:rPr>
        <w:br w:type="page"/>
      </w:r>
    </w:p>
    <w:p w14:paraId="746044C2" w14:textId="77777777" w:rsidR="002A30D1" w:rsidRDefault="002A30D1" w:rsidP="002A30D1">
      <w:pPr>
        <w:rPr>
          <w:b/>
          <w:bCs/>
        </w:rPr>
      </w:pPr>
      <w:r>
        <w:rPr>
          <w:b/>
          <w:bCs/>
        </w:rPr>
        <w:lastRenderedPageBreak/>
        <w:t>Supporting Figures</w:t>
      </w:r>
    </w:p>
    <w:p w14:paraId="2C3AC149" w14:textId="77777777" w:rsidR="002A30D1" w:rsidRDefault="002A30D1" w:rsidP="002A30D1">
      <w:pPr>
        <w:jc w:val="center"/>
        <w:rPr>
          <w:b/>
          <w:bCs/>
        </w:rPr>
      </w:pPr>
    </w:p>
    <w:p w14:paraId="6515DC44" w14:textId="77777777" w:rsidR="002A30D1" w:rsidRDefault="002A30D1" w:rsidP="002A30D1">
      <w:pPr>
        <w:jc w:val="center"/>
        <w:rPr>
          <w:b/>
          <w:bCs/>
        </w:rPr>
      </w:pPr>
      <w:bookmarkStart w:id="25" w:name="_Hlk167175764"/>
      <w:r>
        <w:rPr>
          <w:b/>
          <w:bCs/>
          <w:noProof/>
        </w:rPr>
        <w:drawing>
          <wp:inline distT="0" distB="0" distL="0" distR="0" wp14:anchorId="1F88506E" wp14:editId="4B823DCA">
            <wp:extent cx="3150235" cy="3131820"/>
            <wp:effectExtent l="0" t="0" r="0" b="0"/>
            <wp:docPr id="5849625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62509" name="图片 2"/>
                    <pic:cNvPicPr>
                      <a:picLocks noChangeAspect="1" noChangeArrowheads="1"/>
                    </pic:cNvPicPr>
                  </pic:nvPicPr>
                  <pic:blipFill>
                    <a:blip r:embed="rId6" cstate="hqprint"/>
                    <a:srcRect/>
                    <a:stretch>
                      <a:fillRect/>
                    </a:stretch>
                  </pic:blipFill>
                  <pic:spPr>
                    <a:xfrm>
                      <a:off x="0" y="0"/>
                      <a:ext cx="3153016" cy="3134359"/>
                    </a:xfrm>
                    <a:prstGeom prst="rect">
                      <a:avLst/>
                    </a:prstGeom>
                    <a:noFill/>
                    <a:ln>
                      <a:noFill/>
                    </a:ln>
                  </pic:spPr>
                </pic:pic>
              </a:graphicData>
            </a:graphic>
          </wp:inline>
        </w:drawing>
      </w:r>
    </w:p>
    <w:p w14:paraId="12B0193D" w14:textId="77777777" w:rsidR="002A30D1" w:rsidRDefault="002A30D1" w:rsidP="002A30D1">
      <w:pPr>
        <w:jc w:val="both"/>
        <w:rPr>
          <w:lang w:val="en-US"/>
        </w:rPr>
      </w:pPr>
      <w:r>
        <w:rPr>
          <w:b/>
          <w:bCs/>
          <w:lang w:val="en-US"/>
        </w:rPr>
        <w:t xml:space="preserve">Figure S1. Images of SeMNPs and eumelanin NPs suspensions. </w:t>
      </w:r>
      <w:r>
        <w:rPr>
          <w:lang w:val="en-US"/>
        </w:rPr>
        <w:t>0.5 mg mL</w:t>
      </w:r>
      <w:r>
        <w:rPr>
          <w:vertAlign w:val="superscript"/>
          <w:lang w:val="en-US"/>
        </w:rPr>
        <w:t>-1</w:t>
      </w:r>
      <w:r>
        <w:rPr>
          <w:lang w:val="en-US"/>
        </w:rPr>
        <w:t xml:space="preserve"> (top) and 0.1 mg mL</w:t>
      </w:r>
      <w:r>
        <w:rPr>
          <w:vertAlign w:val="superscript"/>
          <w:lang w:val="en-US"/>
        </w:rPr>
        <w:t>-1</w:t>
      </w:r>
      <w:r>
        <w:rPr>
          <w:lang w:val="en-US"/>
        </w:rPr>
        <w:t xml:space="preserve"> (bottom).</w:t>
      </w:r>
    </w:p>
    <w:p w14:paraId="08C4E84B" w14:textId="77777777" w:rsidR="002A30D1" w:rsidRDefault="002A30D1" w:rsidP="002A30D1">
      <w:pPr>
        <w:rPr>
          <w:b/>
          <w:bCs/>
          <w:lang w:val="en-US"/>
        </w:rPr>
      </w:pPr>
      <w:r>
        <w:rPr>
          <w:b/>
          <w:bCs/>
          <w:lang w:val="en-US"/>
        </w:rPr>
        <w:br w:type="page"/>
      </w:r>
    </w:p>
    <w:p w14:paraId="05104264" w14:textId="77777777" w:rsidR="002A30D1" w:rsidRDefault="002A30D1" w:rsidP="002A30D1">
      <w:pPr>
        <w:jc w:val="center"/>
        <w:rPr>
          <w:b/>
          <w:bCs/>
        </w:rPr>
      </w:pPr>
      <w:r>
        <w:rPr>
          <w:b/>
          <w:bCs/>
          <w:noProof/>
        </w:rPr>
        <w:lastRenderedPageBreak/>
        <w:drawing>
          <wp:inline distT="0" distB="0" distL="0" distR="0" wp14:anchorId="5E894034" wp14:editId="5270F237">
            <wp:extent cx="2958465" cy="3039110"/>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cstate="hqprint"/>
                    <a:srcRect b="-3697"/>
                    <a:stretch>
                      <a:fillRect/>
                    </a:stretch>
                  </pic:blipFill>
                  <pic:spPr>
                    <a:xfrm>
                      <a:off x="0" y="0"/>
                      <a:ext cx="2960812" cy="3041818"/>
                    </a:xfrm>
                    <a:prstGeom prst="rect">
                      <a:avLst/>
                    </a:prstGeom>
                    <a:ln>
                      <a:noFill/>
                    </a:ln>
                  </pic:spPr>
                </pic:pic>
              </a:graphicData>
            </a:graphic>
          </wp:inline>
        </w:drawing>
      </w:r>
    </w:p>
    <w:p w14:paraId="5BCFB232" w14:textId="77777777" w:rsidR="002A30D1" w:rsidRDefault="002A30D1" w:rsidP="002A30D1">
      <w:pPr>
        <w:jc w:val="both"/>
        <w:rPr>
          <w:b/>
          <w:bCs/>
          <w:lang w:val="en-US"/>
        </w:rPr>
      </w:pPr>
      <w:r>
        <w:rPr>
          <w:b/>
          <w:bCs/>
          <w:lang w:val="en-US"/>
        </w:rPr>
        <w:t>Figure S2. Representative TEM image of SeMNPs.</w:t>
      </w:r>
    </w:p>
    <w:p w14:paraId="49F40706" w14:textId="77777777" w:rsidR="002A30D1" w:rsidRDefault="002A30D1" w:rsidP="002A30D1">
      <w:pPr>
        <w:jc w:val="both"/>
        <w:rPr>
          <w:b/>
          <w:bCs/>
          <w:lang w:val="en-US"/>
        </w:rPr>
      </w:pPr>
    </w:p>
    <w:p w14:paraId="31BE495F" w14:textId="77777777" w:rsidR="002A30D1" w:rsidRDefault="002A30D1" w:rsidP="002A30D1">
      <w:pPr>
        <w:jc w:val="both"/>
        <w:rPr>
          <w:b/>
          <w:bCs/>
          <w:lang w:val="en-US"/>
        </w:rPr>
      </w:pPr>
      <w:r>
        <w:rPr>
          <w:b/>
          <w:bCs/>
          <w:lang w:val="en-US"/>
        </w:rPr>
        <w:br w:type="page"/>
      </w:r>
    </w:p>
    <w:p w14:paraId="6C119355" w14:textId="77777777" w:rsidR="002A30D1" w:rsidRDefault="002A30D1" w:rsidP="002A30D1">
      <w:pPr>
        <w:jc w:val="center"/>
      </w:pPr>
      <w:r>
        <w:rPr>
          <w:noProof/>
        </w:rPr>
        <w:lastRenderedPageBreak/>
        <w:drawing>
          <wp:inline distT="0" distB="0" distL="0" distR="0" wp14:anchorId="52091453" wp14:editId="415DA705">
            <wp:extent cx="4057015" cy="4953000"/>
            <wp:effectExtent l="0" t="0" r="635" b="0"/>
            <wp:docPr id="4773748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74876" name="图片 2"/>
                    <pic:cNvPicPr>
                      <a:picLocks noChangeAspect="1" noChangeArrowheads="1"/>
                    </pic:cNvPicPr>
                  </pic:nvPicPr>
                  <pic:blipFill>
                    <a:blip r:embed="rId8" cstate="hqprint"/>
                    <a:srcRect/>
                    <a:stretch>
                      <a:fillRect/>
                    </a:stretch>
                  </pic:blipFill>
                  <pic:spPr>
                    <a:xfrm>
                      <a:off x="0" y="0"/>
                      <a:ext cx="4065642" cy="4963140"/>
                    </a:xfrm>
                    <a:prstGeom prst="rect">
                      <a:avLst/>
                    </a:prstGeom>
                    <a:noFill/>
                    <a:ln>
                      <a:noFill/>
                    </a:ln>
                  </pic:spPr>
                </pic:pic>
              </a:graphicData>
            </a:graphic>
          </wp:inline>
        </w:drawing>
      </w:r>
    </w:p>
    <w:p w14:paraId="794E0B34" w14:textId="77777777" w:rsidR="002A30D1" w:rsidRDefault="002A30D1" w:rsidP="002A30D1">
      <w:pPr>
        <w:jc w:val="both"/>
      </w:pPr>
      <w:r>
        <w:rPr>
          <w:b/>
          <w:bCs/>
          <w:lang w:val="en-US"/>
        </w:rPr>
        <w:t xml:space="preserve">Figure S3. Characterization of synthetic eumelanin materials. </w:t>
      </w:r>
      <w:r>
        <w:rPr>
          <w:lang w:val="en-US"/>
        </w:rPr>
        <w:t xml:space="preserve">DLS intensity plots of (A) L-DOPA NPs and (C) DA NPs. </w:t>
      </w:r>
      <w:bookmarkStart w:id="26" w:name="_Hlk183716478"/>
      <w:r>
        <w:rPr>
          <w:lang w:val="en-US"/>
        </w:rPr>
        <w:t>Zeta</w:t>
      </w:r>
      <w:bookmarkEnd w:id="26"/>
      <w:r>
        <w:rPr>
          <w:lang w:val="en-US"/>
        </w:rPr>
        <w:t xml:space="preserve"> potential of (B) L-DOPA NPs and (D) DA NPs. </w:t>
      </w:r>
      <w:r>
        <w:t xml:space="preserve">TEM images of (E) L-DOPA NPs and (F) DA NPs. </w:t>
      </w:r>
    </w:p>
    <w:p w14:paraId="4210B650" w14:textId="77777777" w:rsidR="002A30D1" w:rsidRDefault="002A30D1" w:rsidP="002A30D1">
      <w:pPr>
        <w:jc w:val="center"/>
      </w:pPr>
      <w:r>
        <w:rPr>
          <w:noProof/>
        </w:rPr>
        <w:lastRenderedPageBreak/>
        <w:drawing>
          <wp:inline distT="0" distB="0" distL="0" distR="0" wp14:anchorId="40DD2FC0" wp14:editId="007DB6CA">
            <wp:extent cx="4895850" cy="3867150"/>
            <wp:effectExtent l="0" t="0" r="0" b="0"/>
            <wp:docPr id="1372744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44265" name="图片 2"/>
                    <pic:cNvPicPr>
                      <a:picLocks noChangeAspect="1" noChangeArrowheads="1"/>
                    </pic:cNvPicPr>
                  </pic:nvPicPr>
                  <pic:blipFill>
                    <a:blip r:embed="rId9" cstate="hqprint"/>
                    <a:srcRect/>
                    <a:stretch>
                      <a:fillRect/>
                    </a:stretch>
                  </pic:blipFill>
                  <pic:spPr>
                    <a:xfrm>
                      <a:off x="0" y="0"/>
                      <a:ext cx="4895850" cy="3867150"/>
                    </a:xfrm>
                    <a:prstGeom prst="rect">
                      <a:avLst/>
                    </a:prstGeom>
                    <a:noFill/>
                    <a:ln>
                      <a:noFill/>
                    </a:ln>
                  </pic:spPr>
                </pic:pic>
              </a:graphicData>
            </a:graphic>
          </wp:inline>
        </w:drawing>
      </w:r>
    </w:p>
    <w:p w14:paraId="162EEE9C" w14:textId="77777777" w:rsidR="002A30D1" w:rsidRDefault="002A30D1" w:rsidP="002A30D1">
      <w:pPr>
        <w:jc w:val="both"/>
      </w:pPr>
      <w:r>
        <w:rPr>
          <w:b/>
          <w:bCs/>
          <w:lang w:val="en-US"/>
        </w:rPr>
        <w:t xml:space="preserve">Figure S4. Characterization of SeMNPs-1. </w:t>
      </w:r>
      <w:r>
        <w:rPr>
          <w:lang w:val="en-US"/>
        </w:rPr>
        <w:t xml:space="preserve">(A) DLS intensity plot. (B) Zeta potential. (C) XPS wide-scan survey spectrum. (D) C 1s spectrum. (E) N 1s spectrum. (F) O 1s spectrum. (G)  High-angle annular dark-field imaging (HAADF) image. </w:t>
      </w:r>
      <w:r>
        <w:t>(H) Elemental mappings of O signals.</w:t>
      </w:r>
    </w:p>
    <w:p w14:paraId="21849E75" w14:textId="77777777" w:rsidR="002A30D1" w:rsidRDefault="002A30D1" w:rsidP="002A30D1">
      <w:pPr>
        <w:jc w:val="both"/>
      </w:pPr>
      <w:r>
        <w:br w:type="page"/>
      </w:r>
    </w:p>
    <w:p w14:paraId="77BFA26D" w14:textId="77777777" w:rsidR="002A30D1" w:rsidRDefault="002A30D1" w:rsidP="002A30D1">
      <w:pPr>
        <w:jc w:val="center"/>
      </w:pPr>
      <w:r>
        <w:rPr>
          <w:noProof/>
        </w:rPr>
        <w:lastRenderedPageBreak/>
        <w:drawing>
          <wp:inline distT="0" distB="0" distL="0" distR="0" wp14:anchorId="71DA1548" wp14:editId="566F6A4F">
            <wp:extent cx="4785360" cy="4130040"/>
            <wp:effectExtent l="0" t="0" r="0" b="3810"/>
            <wp:docPr id="18927565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56517" name="图片 3"/>
                    <pic:cNvPicPr>
                      <a:picLocks noChangeAspect="1" noChangeArrowheads="1"/>
                    </pic:cNvPicPr>
                  </pic:nvPicPr>
                  <pic:blipFill>
                    <a:blip r:embed="rId10" cstate="hqprint"/>
                    <a:srcRect/>
                    <a:stretch>
                      <a:fillRect/>
                    </a:stretch>
                  </pic:blipFill>
                  <pic:spPr>
                    <a:xfrm>
                      <a:off x="0" y="0"/>
                      <a:ext cx="4785360" cy="4130040"/>
                    </a:xfrm>
                    <a:prstGeom prst="rect">
                      <a:avLst/>
                    </a:prstGeom>
                    <a:noFill/>
                    <a:ln>
                      <a:noFill/>
                    </a:ln>
                  </pic:spPr>
                </pic:pic>
              </a:graphicData>
            </a:graphic>
          </wp:inline>
        </w:drawing>
      </w:r>
    </w:p>
    <w:p w14:paraId="0DC72B15" w14:textId="77777777" w:rsidR="002A30D1" w:rsidRDefault="002A30D1" w:rsidP="002A30D1">
      <w:pPr>
        <w:jc w:val="both"/>
      </w:pPr>
      <w:r>
        <w:rPr>
          <w:b/>
          <w:bCs/>
          <w:lang w:val="en-US"/>
        </w:rPr>
        <w:t>Figure S5. Characterization of SeMNPs-2.</w:t>
      </w:r>
      <w:r>
        <w:rPr>
          <w:lang w:val="en-US"/>
        </w:rPr>
        <w:t xml:space="preserve"> (A) DLS intensity plot. (B) Zeta potential. (C) XPS wide-scan survey spectrum. (D) C 1s spectrum. (E) N 1s spectrum. (F) O 1s spectrum. (G)  HAADF image. </w:t>
      </w:r>
      <w:r>
        <w:t>(H) Elemental mappings of O signals.</w:t>
      </w:r>
    </w:p>
    <w:p w14:paraId="2CCC854B" w14:textId="77777777" w:rsidR="002A30D1" w:rsidRDefault="002A30D1" w:rsidP="002A30D1">
      <w:pPr>
        <w:jc w:val="both"/>
      </w:pPr>
      <w:r>
        <w:br w:type="page"/>
      </w:r>
    </w:p>
    <w:p w14:paraId="3D225EB8" w14:textId="77777777" w:rsidR="002A30D1" w:rsidRDefault="002A30D1" w:rsidP="002A30D1">
      <w:pPr>
        <w:jc w:val="center"/>
      </w:pPr>
      <w:r>
        <w:rPr>
          <w:noProof/>
        </w:rPr>
        <w:lastRenderedPageBreak/>
        <w:drawing>
          <wp:inline distT="0" distB="0" distL="0" distR="0" wp14:anchorId="0B4E4786" wp14:editId="551A8598">
            <wp:extent cx="4853940" cy="3962400"/>
            <wp:effectExtent l="0" t="0" r="3810" b="0"/>
            <wp:docPr id="3688866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86649" name="图片 4"/>
                    <pic:cNvPicPr>
                      <a:picLocks noChangeAspect="1" noChangeArrowheads="1"/>
                    </pic:cNvPicPr>
                  </pic:nvPicPr>
                  <pic:blipFill>
                    <a:blip r:embed="rId11" cstate="hqprint"/>
                    <a:srcRect/>
                    <a:stretch>
                      <a:fillRect/>
                    </a:stretch>
                  </pic:blipFill>
                  <pic:spPr>
                    <a:xfrm>
                      <a:off x="0" y="0"/>
                      <a:ext cx="4853940" cy="3962400"/>
                    </a:xfrm>
                    <a:prstGeom prst="rect">
                      <a:avLst/>
                    </a:prstGeom>
                    <a:noFill/>
                    <a:ln>
                      <a:noFill/>
                    </a:ln>
                  </pic:spPr>
                </pic:pic>
              </a:graphicData>
            </a:graphic>
          </wp:inline>
        </w:drawing>
      </w:r>
    </w:p>
    <w:p w14:paraId="6A9895D4" w14:textId="77777777" w:rsidR="002A30D1" w:rsidRDefault="002A30D1" w:rsidP="002A30D1">
      <w:pPr>
        <w:jc w:val="both"/>
      </w:pPr>
      <w:r>
        <w:rPr>
          <w:b/>
          <w:bCs/>
          <w:lang w:val="en-US"/>
        </w:rPr>
        <w:t xml:space="preserve">Figure S6. Characterization of SeMNPs-3. </w:t>
      </w:r>
      <w:r>
        <w:rPr>
          <w:lang w:val="en-US"/>
        </w:rPr>
        <w:t xml:space="preserve">(A) DLS intensity plot. (B) Zeta potential. (C) XPS wide-scan survey spectrum. (D) C 1s spectrum. (E) N 1s spectrum. (F) O 1s spectrum. (G)  HAADF image. </w:t>
      </w:r>
      <w:r>
        <w:t>(H) Elemental mappings of O signals.</w:t>
      </w:r>
    </w:p>
    <w:p w14:paraId="7AB8CFD0" w14:textId="77777777" w:rsidR="002A30D1" w:rsidRDefault="002A30D1" w:rsidP="002A30D1">
      <w:pPr>
        <w:jc w:val="both"/>
      </w:pPr>
      <w:r>
        <w:br w:type="page"/>
      </w:r>
    </w:p>
    <w:p w14:paraId="1F094AB0" w14:textId="77777777" w:rsidR="002A30D1" w:rsidRDefault="002A30D1" w:rsidP="002A30D1">
      <w:pPr>
        <w:jc w:val="center"/>
      </w:pPr>
      <w:r>
        <w:rPr>
          <w:noProof/>
        </w:rPr>
        <w:lastRenderedPageBreak/>
        <w:drawing>
          <wp:inline distT="0" distB="0" distL="0" distR="0" wp14:anchorId="7583EE9C" wp14:editId="6165C111">
            <wp:extent cx="4991100" cy="3992880"/>
            <wp:effectExtent l="0" t="0" r="0" b="7620"/>
            <wp:docPr id="16398384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8440" name="图片 5"/>
                    <pic:cNvPicPr>
                      <a:picLocks noChangeAspect="1" noChangeArrowheads="1"/>
                    </pic:cNvPicPr>
                  </pic:nvPicPr>
                  <pic:blipFill>
                    <a:blip r:embed="rId12" cstate="hqprint"/>
                    <a:srcRect/>
                    <a:stretch>
                      <a:fillRect/>
                    </a:stretch>
                  </pic:blipFill>
                  <pic:spPr>
                    <a:xfrm>
                      <a:off x="0" y="0"/>
                      <a:ext cx="4991100" cy="3992880"/>
                    </a:xfrm>
                    <a:prstGeom prst="rect">
                      <a:avLst/>
                    </a:prstGeom>
                    <a:noFill/>
                    <a:ln>
                      <a:noFill/>
                    </a:ln>
                  </pic:spPr>
                </pic:pic>
              </a:graphicData>
            </a:graphic>
          </wp:inline>
        </w:drawing>
      </w:r>
    </w:p>
    <w:p w14:paraId="4282F99C" w14:textId="77777777" w:rsidR="002A30D1" w:rsidRDefault="002A30D1" w:rsidP="002A30D1">
      <w:pPr>
        <w:jc w:val="both"/>
      </w:pPr>
      <w:r>
        <w:rPr>
          <w:b/>
          <w:bCs/>
          <w:lang w:val="en-US"/>
        </w:rPr>
        <w:t xml:space="preserve">Figure S7. Characterization of SeMNPs-4. </w:t>
      </w:r>
      <w:r>
        <w:rPr>
          <w:lang w:val="en-US"/>
        </w:rPr>
        <w:t xml:space="preserve">(A) DLS intensity plot. (B) Zeta potential. (C) XPS wide-scan survey spectrum. (D) C 1s spectrum. (E) N 1s spectrum. (F) O 1s spectrum. (G)  HAADF image. </w:t>
      </w:r>
      <w:r>
        <w:t>(H) Elemental mappings of O signals.</w:t>
      </w:r>
    </w:p>
    <w:p w14:paraId="35AEADF0" w14:textId="77777777" w:rsidR="002A30D1" w:rsidRDefault="002A30D1" w:rsidP="002A30D1">
      <w:r>
        <w:br w:type="page"/>
      </w:r>
    </w:p>
    <w:p w14:paraId="0953A8FB" w14:textId="77777777" w:rsidR="002A30D1" w:rsidRDefault="002A30D1" w:rsidP="002A30D1">
      <w:pPr>
        <w:jc w:val="center"/>
      </w:pPr>
      <w:r>
        <w:rPr>
          <w:noProof/>
        </w:rPr>
        <w:lastRenderedPageBreak/>
        <w:drawing>
          <wp:inline distT="0" distB="0" distL="0" distR="0" wp14:anchorId="17ACA6AF" wp14:editId="55834491">
            <wp:extent cx="3845560" cy="4425950"/>
            <wp:effectExtent l="0" t="0" r="2540" b="0"/>
            <wp:docPr id="399688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88575" name="图片 1"/>
                    <pic:cNvPicPr>
                      <a:picLocks noChangeAspect="1" noChangeArrowheads="1"/>
                    </pic:cNvPicPr>
                  </pic:nvPicPr>
                  <pic:blipFill>
                    <a:blip r:embed="rId13" cstate="hqprint"/>
                    <a:srcRect/>
                    <a:stretch>
                      <a:fillRect/>
                    </a:stretch>
                  </pic:blipFill>
                  <pic:spPr>
                    <a:xfrm>
                      <a:off x="0" y="0"/>
                      <a:ext cx="3847118" cy="4427409"/>
                    </a:xfrm>
                    <a:prstGeom prst="rect">
                      <a:avLst/>
                    </a:prstGeom>
                    <a:noFill/>
                    <a:ln>
                      <a:noFill/>
                    </a:ln>
                  </pic:spPr>
                </pic:pic>
              </a:graphicData>
            </a:graphic>
          </wp:inline>
        </w:drawing>
      </w:r>
    </w:p>
    <w:bookmarkEnd w:id="25"/>
    <w:p w14:paraId="69866206" w14:textId="77777777" w:rsidR="002A30D1" w:rsidRDefault="002A30D1" w:rsidP="002A30D1">
      <w:pPr>
        <w:jc w:val="both"/>
        <w:rPr>
          <w:lang w:val="en-US"/>
        </w:rPr>
      </w:pPr>
      <w:r>
        <w:rPr>
          <w:b/>
          <w:bCs/>
          <w:lang w:val="en-US"/>
        </w:rPr>
        <w:t xml:space="preserve">Figure S8. Stability of MNPs under various conditions was obtained by measuring the hydrodynamic diameter. </w:t>
      </w:r>
      <w:r>
        <w:rPr>
          <w:lang w:val="en-US"/>
        </w:rPr>
        <w:t>(A) Changing ionic concentration (NaCl solution).</w:t>
      </w:r>
      <w:r>
        <w:rPr>
          <w:lang w:val="en-US"/>
        </w:rPr>
        <w:tab/>
        <w:t xml:space="preserve">(B) nanoparticles (NPs) dilution. (C) 30 days under ambient conditions. (D) Increasing </w:t>
      </w:r>
      <w:proofErr w:type="spellStart"/>
      <w:r>
        <w:rPr>
          <w:lang w:val="en-US"/>
        </w:rPr>
        <w:t>pH.</w:t>
      </w:r>
      <w:proofErr w:type="spellEnd"/>
      <w:r>
        <w:rPr>
          <w:lang w:val="en-US"/>
        </w:rPr>
        <w:t xml:space="preserve"> Samples were measured in triplicate, and error bars indicate standard deviation. (E-F) TEM images of SeMNPs-3 and -4 in pH=13 buffer, respectively. Interestingly, irregular aggregates were observed instead of spherical particles, suggesting that SeMNPs-2 and -4 were dissolved under alkaline conditions. A similar phenomenon was also observed for SeMNPs-1 and natural pheomelanin.</w:t>
      </w:r>
      <w:r>
        <w:rPr>
          <w:vertAlign w:val="superscript"/>
          <w:lang w:val="en-US"/>
        </w:rPr>
        <w:t>1, 24</w:t>
      </w:r>
    </w:p>
    <w:p w14:paraId="636B6CE6" w14:textId="77777777" w:rsidR="002A30D1" w:rsidRDefault="002A30D1" w:rsidP="002A30D1">
      <w:pPr>
        <w:jc w:val="both"/>
        <w:rPr>
          <w:lang w:val="en-US"/>
        </w:rPr>
      </w:pPr>
      <w:r>
        <w:rPr>
          <w:lang w:val="en-US"/>
        </w:rPr>
        <w:br w:type="page"/>
      </w:r>
    </w:p>
    <w:p w14:paraId="2B3DA2E6" w14:textId="77777777" w:rsidR="002A30D1" w:rsidRDefault="002A30D1" w:rsidP="002A30D1">
      <w:pPr>
        <w:jc w:val="center"/>
      </w:pPr>
      <w:r>
        <w:rPr>
          <w:noProof/>
        </w:rPr>
        <w:lastRenderedPageBreak/>
        <w:drawing>
          <wp:inline distT="0" distB="0" distL="0" distR="0" wp14:anchorId="27EA42F9" wp14:editId="61180B32">
            <wp:extent cx="5274310" cy="5492750"/>
            <wp:effectExtent l="0" t="0" r="2540" b="0"/>
            <wp:docPr id="18422737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73718" name="图片 1"/>
                    <pic:cNvPicPr>
                      <a:picLocks noChangeAspect="1" noChangeArrowheads="1"/>
                    </pic:cNvPicPr>
                  </pic:nvPicPr>
                  <pic:blipFill>
                    <a:blip r:embed="rId14" cstate="hqprint"/>
                    <a:srcRect/>
                    <a:stretch>
                      <a:fillRect/>
                    </a:stretch>
                  </pic:blipFill>
                  <pic:spPr>
                    <a:xfrm>
                      <a:off x="0" y="0"/>
                      <a:ext cx="5274310" cy="5492750"/>
                    </a:xfrm>
                    <a:prstGeom prst="rect">
                      <a:avLst/>
                    </a:prstGeom>
                    <a:noFill/>
                    <a:ln>
                      <a:noFill/>
                    </a:ln>
                  </pic:spPr>
                </pic:pic>
              </a:graphicData>
            </a:graphic>
          </wp:inline>
        </w:drawing>
      </w:r>
    </w:p>
    <w:p w14:paraId="769F283E" w14:textId="77777777" w:rsidR="002A30D1" w:rsidRDefault="002A30D1" w:rsidP="002A30D1">
      <w:pPr>
        <w:jc w:val="both"/>
        <w:rPr>
          <w:lang w:val="en-US"/>
        </w:rPr>
      </w:pPr>
      <w:r>
        <w:rPr>
          <w:b/>
          <w:bCs/>
          <w:lang w:val="en-US"/>
        </w:rPr>
        <w:t xml:space="preserve">Figure S9. EPR spectra of SeMNPs. </w:t>
      </w:r>
      <w:r>
        <w:rPr>
          <w:lang w:val="en-US"/>
        </w:rPr>
        <w:t xml:space="preserve">(A) and (C) EPR spectra in solid-state of SeMNPs-2. (B) and (D) EPR spectra in solid-state of SeMNPs-4. (E) and (G) EPR spectra in liquid-state of SeMNPs-2. (F) and (H) EPR spectra in liquid-state of SeMNPs-4. </w:t>
      </w:r>
    </w:p>
    <w:p w14:paraId="52D7D8CB" w14:textId="77777777" w:rsidR="002A30D1" w:rsidRDefault="002A30D1" w:rsidP="002A30D1">
      <w:pPr>
        <w:jc w:val="both"/>
        <w:rPr>
          <w:lang w:val="en-US"/>
        </w:rPr>
      </w:pPr>
    </w:p>
    <w:p w14:paraId="3DA4D0C4" w14:textId="77777777" w:rsidR="002A30D1" w:rsidRDefault="002A30D1" w:rsidP="002A30D1">
      <w:pPr>
        <w:jc w:val="both"/>
        <w:rPr>
          <w:lang w:val="en-US"/>
        </w:rPr>
      </w:pPr>
    </w:p>
    <w:p w14:paraId="76E9D40E" w14:textId="77777777" w:rsidR="002A30D1" w:rsidRDefault="002A30D1" w:rsidP="002A30D1">
      <w:pPr>
        <w:jc w:val="center"/>
      </w:pPr>
      <w:r>
        <w:rPr>
          <w:noProof/>
        </w:rPr>
        <w:lastRenderedPageBreak/>
        <w:drawing>
          <wp:inline distT="0" distB="0" distL="0" distR="0" wp14:anchorId="7272549A" wp14:editId="2724972D">
            <wp:extent cx="3886200" cy="3863975"/>
            <wp:effectExtent l="0" t="0" r="0" b="3175"/>
            <wp:docPr id="434668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68453" name="图片 1"/>
                    <pic:cNvPicPr>
                      <a:picLocks noChangeAspect="1" noChangeArrowheads="1"/>
                    </pic:cNvPicPr>
                  </pic:nvPicPr>
                  <pic:blipFill>
                    <a:blip r:embed="rId15" cstate="hqprint"/>
                    <a:srcRect/>
                    <a:stretch>
                      <a:fillRect/>
                    </a:stretch>
                  </pic:blipFill>
                  <pic:spPr>
                    <a:xfrm>
                      <a:off x="0" y="0"/>
                      <a:ext cx="3891944" cy="3870141"/>
                    </a:xfrm>
                    <a:prstGeom prst="rect">
                      <a:avLst/>
                    </a:prstGeom>
                    <a:noFill/>
                    <a:ln>
                      <a:noFill/>
                    </a:ln>
                  </pic:spPr>
                </pic:pic>
              </a:graphicData>
            </a:graphic>
          </wp:inline>
        </w:drawing>
      </w:r>
    </w:p>
    <w:p w14:paraId="037909A9" w14:textId="77777777" w:rsidR="002A30D1" w:rsidRDefault="002A30D1" w:rsidP="002A30D1">
      <w:pPr>
        <w:jc w:val="both"/>
        <w:rPr>
          <w:lang w:val="en-US"/>
        </w:rPr>
      </w:pPr>
      <w:r>
        <w:rPr>
          <w:b/>
          <w:bCs/>
          <w:lang w:val="en-US"/>
        </w:rPr>
        <w:t>Figure S10. DFT calculations of rotational barrier (</w:t>
      </w:r>
      <w:r>
        <w:rPr>
          <w:b/>
          <w:bCs/>
          <w:i/>
          <w:iCs/>
        </w:rPr>
        <w:t>Δ</w:t>
      </w:r>
      <w:proofErr w:type="spellStart"/>
      <w:r>
        <w:rPr>
          <w:b/>
          <w:bCs/>
          <w:i/>
          <w:iCs/>
          <w:lang w:val="en-US"/>
        </w:rPr>
        <w:t>G</w:t>
      </w:r>
      <w:r>
        <w:rPr>
          <w:b/>
          <w:bCs/>
          <w:i/>
          <w:iCs/>
          <w:vertAlign w:val="superscript"/>
          <w:lang w:val="en-US"/>
        </w:rPr>
        <w:t>≠</w:t>
      </w:r>
      <w:r>
        <w:rPr>
          <w:b/>
          <w:bCs/>
          <w:i/>
          <w:iCs/>
          <w:vertAlign w:val="subscript"/>
          <w:lang w:val="en-US"/>
        </w:rPr>
        <w:t>rot</w:t>
      </w:r>
      <w:proofErr w:type="spellEnd"/>
      <w:r>
        <w:rPr>
          <w:b/>
          <w:bCs/>
          <w:lang w:val="en-US"/>
        </w:rPr>
        <w:t>) and dihedral angle (</w:t>
      </w:r>
      <w:r>
        <w:rPr>
          <w:b/>
          <w:bCs/>
          <w:i/>
          <w:iCs/>
          <w:lang w:val="en-US"/>
        </w:rPr>
        <w:t>D</w:t>
      </w:r>
      <w:r>
        <w:rPr>
          <w:b/>
          <w:bCs/>
          <w:lang w:val="en-US"/>
        </w:rPr>
        <w:t>) of eumelanin dimers.</w:t>
      </w:r>
    </w:p>
    <w:p w14:paraId="55745383" w14:textId="77777777" w:rsidR="002A30D1" w:rsidRDefault="002A30D1" w:rsidP="002A30D1">
      <w:pPr>
        <w:jc w:val="both"/>
        <w:rPr>
          <w:lang w:val="en-US"/>
        </w:rPr>
      </w:pPr>
      <w:r>
        <w:rPr>
          <w:lang w:val="en-US"/>
        </w:rPr>
        <w:br w:type="page"/>
      </w:r>
    </w:p>
    <w:p w14:paraId="6AB4AE7D" w14:textId="77777777" w:rsidR="002A30D1" w:rsidRDefault="002A30D1" w:rsidP="002A30D1">
      <w:pPr>
        <w:jc w:val="center"/>
        <w:rPr>
          <w:b/>
          <w:bCs/>
        </w:rPr>
      </w:pPr>
      <w:r>
        <w:rPr>
          <w:b/>
          <w:bCs/>
          <w:noProof/>
        </w:rPr>
        <w:lastRenderedPageBreak/>
        <w:drawing>
          <wp:inline distT="0" distB="0" distL="0" distR="0" wp14:anchorId="41C85D4F" wp14:editId="3EB06FDF">
            <wp:extent cx="4065270" cy="3879850"/>
            <wp:effectExtent l="0" t="0" r="0" b="6350"/>
            <wp:docPr id="15434330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33095" name="图片 2"/>
                    <pic:cNvPicPr>
                      <a:picLocks noChangeAspect="1" noChangeArrowheads="1"/>
                    </pic:cNvPicPr>
                  </pic:nvPicPr>
                  <pic:blipFill>
                    <a:blip r:embed="rId16" cstate="hqprint"/>
                    <a:srcRect/>
                    <a:stretch>
                      <a:fillRect/>
                    </a:stretch>
                  </pic:blipFill>
                  <pic:spPr>
                    <a:xfrm>
                      <a:off x="0" y="0"/>
                      <a:ext cx="4067318" cy="3881765"/>
                    </a:xfrm>
                    <a:prstGeom prst="rect">
                      <a:avLst/>
                    </a:prstGeom>
                    <a:noFill/>
                    <a:ln>
                      <a:noFill/>
                    </a:ln>
                  </pic:spPr>
                </pic:pic>
              </a:graphicData>
            </a:graphic>
          </wp:inline>
        </w:drawing>
      </w:r>
    </w:p>
    <w:p w14:paraId="3096F2D0" w14:textId="77777777" w:rsidR="002A30D1" w:rsidRDefault="002A30D1" w:rsidP="002A30D1">
      <w:pPr>
        <w:jc w:val="both"/>
        <w:rPr>
          <w:sz w:val="20"/>
          <w:szCs w:val="21"/>
          <w:lang w:val="en-US"/>
        </w:rPr>
      </w:pPr>
      <w:r>
        <w:rPr>
          <w:b/>
          <w:bCs/>
          <w:lang w:val="en-US"/>
        </w:rPr>
        <w:t xml:space="preserve">Figure S11. FTIR </w:t>
      </w:r>
      <w:r>
        <w:rPr>
          <w:b/>
          <w:bCs/>
          <w:sz w:val="20"/>
          <w:szCs w:val="21"/>
          <w:lang w:val="en-US"/>
        </w:rPr>
        <w:t xml:space="preserve">spectra of monomers, synthetic SeMNPs and eumelanin NPs. </w:t>
      </w:r>
      <w:r>
        <w:rPr>
          <w:sz w:val="20"/>
          <w:szCs w:val="21"/>
          <w:lang w:val="en-US"/>
        </w:rPr>
        <w:t>(A) Full spectra. (B) Zoomed spectra of synthetic SeMNPs and eumelanin NPs.</w:t>
      </w:r>
    </w:p>
    <w:p w14:paraId="29EDE3A4" w14:textId="77777777" w:rsidR="002A30D1" w:rsidRDefault="002A30D1" w:rsidP="002A30D1">
      <w:pPr>
        <w:jc w:val="both"/>
        <w:rPr>
          <w:b/>
          <w:bCs/>
          <w:sz w:val="20"/>
          <w:szCs w:val="21"/>
          <w:lang w:val="en-US"/>
        </w:rPr>
      </w:pPr>
      <w:r>
        <w:rPr>
          <w:b/>
          <w:bCs/>
          <w:sz w:val="20"/>
          <w:szCs w:val="21"/>
          <w:lang w:val="en-US"/>
        </w:rPr>
        <w:br w:type="page"/>
      </w:r>
    </w:p>
    <w:p w14:paraId="2642C865" w14:textId="77777777" w:rsidR="002A30D1" w:rsidRDefault="002A30D1" w:rsidP="002A30D1">
      <w:pPr>
        <w:jc w:val="center"/>
      </w:pPr>
      <w:r>
        <w:rPr>
          <w:noProof/>
        </w:rPr>
        <w:lastRenderedPageBreak/>
        <w:drawing>
          <wp:inline distT="0" distB="0" distL="0" distR="0" wp14:anchorId="11C0A57E" wp14:editId="26998055">
            <wp:extent cx="3916680" cy="3395345"/>
            <wp:effectExtent l="0" t="0" r="7620" b="0"/>
            <wp:docPr id="687546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46847" name="图片 1"/>
                    <pic:cNvPicPr>
                      <a:picLocks noChangeAspect="1" noChangeArrowheads="1"/>
                    </pic:cNvPicPr>
                  </pic:nvPicPr>
                  <pic:blipFill>
                    <a:blip r:embed="rId17" cstate="print"/>
                    <a:srcRect l="26150" t="36789" r="23862" b="34985"/>
                    <a:stretch>
                      <a:fillRect/>
                    </a:stretch>
                  </pic:blipFill>
                  <pic:spPr>
                    <a:xfrm>
                      <a:off x="0" y="0"/>
                      <a:ext cx="3921058" cy="3399761"/>
                    </a:xfrm>
                    <a:prstGeom prst="rect">
                      <a:avLst/>
                    </a:prstGeom>
                    <a:noFill/>
                    <a:ln>
                      <a:noFill/>
                    </a:ln>
                  </pic:spPr>
                </pic:pic>
              </a:graphicData>
            </a:graphic>
          </wp:inline>
        </w:drawing>
      </w:r>
    </w:p>
    <w:p w14:paraId="6B0E9EE9" w14:textId="77777777" w:rsidR="002A30D1" w:rsidRDefault="002A30D1" w:rsidP="002A30D1">
      <w:pPr>
        <w:jc w:val="both"/>
        <w:rPr>
          <w:lang w:val="en-US"/>
        </w:rPr>
      </w:pPr>
      <w:r>
        <w:rPr>
          <w:b/>
          <w:bCs/>
          <w:lang w:val="en-US"/>
        </w:rPr>
        <w:t xml:space="preserve">Figure S12. CT images of SeMNPs, eumelanin NPs and selenium-containing monomer with different mass concentrations at 80 </w:t>
      </w:r>
      <w:proofErr w:type="spellStart"/>
      <w:r>
        <w:rPr>
          <w:b/>
          <w:bCs/>
          <w:lang w:val="en-US"/>
        </w:rPr>
        <w:t>kVp</w:t>
      </w:r>
      <w:proofErr w:type="spellEnd"/>
      <w:r>
        <w:rPr>
          <w:b/>
          <w:bCs/>
          <w:lang w:val="en-US"/>
        </w:rPr>
        <w:t xml:space="preserve">. </w:t>
      </w:r>
    </w:p>
    <w:p w14:paraId="2AF330C7" w14:textId="77777777" w:rsidR="002A30D1" w:rsidRDefault="002A30D1" w:rsidP="002A30D1">
      <w:pPr>
        <w:jc w:val="both"/>
        <w:rPr>
          <w:b/>
          <w:bCs/>
          <w:lang w:val="en-US"/>
        </w:rPr>
      </w:pPr>
    </w:p>
    <w:p w14:paraId="4EA31DEE" w14:textId="77777777" w:rsidR="002A30D1" w:rsidRDefault="002A30D1" w:rsidP="002A30D1">
      <w:pPr>
        <w:jc w:val="both"/>
        <w:rPr>
          <w:b/>
          <w:bCs/>
          <w:lang w:val="en-US"/>
        </w:rPr>
      </w:pPr>
      <w:r>
        <w:rPr>
          <w:b/>
          <w:bCs/>
          <w:lang w:val="en-US"/>
        </w:rPr>
        <w:br w:type="page"/>
      </w:r>
    </w:p>
    <w:p w14:paraId="62C012EB" w14:textId="77777777" w:rsidR="002A30D1" w:rsidRDefault="002A30D1" w:rsidP="002A30D1">
      <w:pPr>
        <w:jc w:val="center"/>
      </w:pPr>
      <w:r w:rsidRPr="00E50214">
        <w:rPr>
          <w:noProof/>
        </w:rPr>
        <w:lastRenderedPageBreak/>
        <w:drawing>
          <wp:inline distT="0" distB="0" distL="0" distR="0" wp14:anchorId="69DD0123" wp14:editId="316974C3">
            <wp:extent cx="4724621" cy="4114800"/>
            <wp:effectExtent l="0" t="0" r="0" b="0"/>
            <wp:docPr id="1665620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721" t="20751" r="19665" b="44875"/>
                    <a:stretch/>
                  </pic:blipFill>
                  <pic:spPr bwMode="auto">
                    <a:xfrm>
                      <a:off x="0" y="0"/>
                      <a:ext cx="4729223" cy="4118808"/>
                    </a:xfrm>
                    <a:prstGeom prst="rect">
                      <a:avLst/>
                    </a:prstGeom>
                    <a:noFill/>
                    <a:ln>
                      <a:noFill/>
                    </a:ln>
                    <a:extLst>
                      <a:ext uri="{53640926-AAD7-44D8-BBD7-CCE9431645EC}">
                        <a14:shadowObscured xmlns:a14="http://schemas.microsoft.com/office/drawing/2010/main"/>
                      </a:ext>
                    </a:extLst>
                  </pic:spPr>
                </pic:pic>
              </a:graphicData>
            </a:graphic>
          </wp:inline>
        </w:drawing>
      </w:r>
    </w:p>
    <w:p w14:paraId="7DA2AAF1" w14:textId="77777777" w:rsidR="002A30D1" w:rsidRDefault="002A30D1" w:rsidP="002A30D1">
      <w:pPr>
        <w:jc w:val="both"/>
        <w:rPr>
          <w:lang w:val="en-US"/>
        </w:rPr>
      </w:pPr>
      <w:r>
        <w:rPr>
          <w:b/>
          <w:bCs/>
          <w:lang w:val="en-US"/>
        </w:rPr>
        <w:t>Figure S13. Fluorescence spectra or UV-Vis spectra of SeMNPs and eumelanin NPs reacted with (A) ·OH, (B) NO· and (C) O</w:t>
      </w:r>
      <w:r>
        <w:rPr>
          <w:b/>
          <w:bCs/>
          <w:vertAlign w:val="subscript"/>
          <w:lang w:val="en-US"/>
        </w:rPr>
        <w:t>2</w:t>
      </w:r>
      <w:r>
        <w:rPr>
          <w:b/>
          <w:bCs/>
          <w:vertAlign w:val="superscript"/>
          <w:lang w:val="en-US"/>
        </w:rPr>
        <w:t>·-</w:t>
      </w:r>
      <w:r>
        <w:rPr>
          <w:b/>
          <w:bCs/>
          <w:lang w:val="en-US"/>
        </w:rPr>
        <w:t>, respectively.</w:t>
      </w:r>
    </w:p>
    <w:p w14:paraId="6484DD21" w14:textId="77777777" w:rsidR="002A30D1" w:rsidRDefault="002A30D1" w:rsidP="002A30D1">
      <w:pPr>
        <w:jc w:val="both"/>
        <w:rPr>
          <w:lang w:val="en-US"/>
        </w:rPr>
      </w:pPr>
      <w:r>
        <w:rPr>
          <w:lang w:val="en-US"/>
        </w:rPr>
        <w:br w:type="page"/>
      </w:r>
    </w:p>
    <w:p w14:paraId="5824254F" w14:textId="77777777" w:rsidR="002A30D1" w:rsidRPr="00D67D52" w:rsidRDefault="002A30D1" w:rsidP="002A30D1">
      <w:pPr>
        <w:jc w:val="center"/>
        <w:rPr>
          <w:lang w:val="en-US"/>
        </w:rPr>
      </w:pPr>
      <w:r w:rsidRPr="00D67D52">
        <w:rPr>
          <w:noProof/>
          <w:lang w:val="en-US"/>
        </w:rPr>
        <w:lastRenderedPageBreak/>
        <w:drawing>
          <wp:inline distT="0" distB="0" distL="0" distR="0" wp14:anchorId="2A421AD5" wp14:editId="0BAAC58D">
            <wp:extent cx="5120640" cy="4320540"/>
            <wp:effectExtent l="0" t="0" r="3810" b="3810"/>
            <wp:docPr id="545682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101" t="23431" r="7011" b="27725"/>
                    <a:stretch/>
                  </pic:blipFill>
                  <pic:spPr bwMode="auto">
                    <a:xfrm>
                      <a:off x="0" y="0"/>
                      <a:ext cx="5120640" cy="4320540"/>
                    </a:xfrm>
                    <a:prstGeom prst="rect">
                      <a:avLst/>
                    </a:prstGeom>
                    <a:noFill/>
                    <a:ln>
                      <a:noFill/>
                    </a:ln>
                    <a:extLst>
                      <a:ext uri="{53640926-AAD7-44D8-BBD7-CCE9431645EC}">
                        <a14:shadowObscured xmlns:a14="http://schemas.microsoft.com/office/drawing/2010/main"/>
                      </a:ext>
                    </a:extLst>
                  </pic:spPr>
                </pic:pic>
              </a:graphicData>
            </a:graphic>
          </wp:inline>
        </w:drawing>
      </w:r>
    </w:p>
    <w:p w14:paraId="7DB83E3B" w14:textId="77777777" w:rsidR="002A30D1" w:rsidRPr="00D67D52" w:rsidRDefault="002A30D1" w:rsidP="002A30D1">
      <w:pPr>
        <w:jc w:val="both"/>
        <w:rPr>
          <w:rFonts w:eastAsiaTheme="minorEastAsia"/>
          <w:lang w:val="en-US" w:eastAsia="zh-CN"/>
        </w:rPr>
      </w:pPr>
      <w:r>
        <w:rPr>
          <w:b/>
          <w:bCs/>
          <w:lang w:val="en-US"/>
        </w:rPr>
        <w:t>Figure S14. H</w:t>
      </w:r>
      <w:r>
        <w:rPr>
          <w:b/>
          <w:bCs/>
          <w:vertAlign w:val="subscript"/>
          <w:lang w:val="en-US"/>
        </w:rPr>
        <w:t>2</w:t>
      </w:r>
      <w:r>
        <w:rPr>
          <w:b/>
          <w:bCs/>
          <w:lang w:val="en-US"/>
        </w:rPr>
        <w:t>O</w:t>
      </w:r>
      <w:r>
        <w:rPr>
          <w:b/>
          <w:bCs/>
          <w:vertAlign w:val="subscript"/>
          <w:lang w:val="en-US"/>
        </w:rPr>
        <w:t>2</w:t>
      </w:r>
      <w:r>
        <w:rPr>
          <w:b/>
          <w:bCs/>
          <w:lang w:val="en-US"/>
        </w:rPr>
        <w:t xml:space="preserve"> scavenging performance of </w:t>
      </w:r>
      <w:bookmarkStart w:id="27" w:name="_Hlk183717014"/>
      <w:r>
        <w:rPr>
          <w:b/>
          <w:bCs/>
          <w:lang w:val="en-US"/>
        </w:rPr>
        <w:t>SeMNPs and eumelanin NPs</w:t>
      </w:r>
      <w:bookmarkEnd w:id="27"/>
      <w:r>
        <w:rPr>
          <w:b/>
          <w:bCs/>
          <w:lang w:val="en-US"/>
        </w:rPr>
        <w:t xml:space="preserve">. </w:t>
      </w:r>
      <w:r>
        <w:rPr>
          <w:lang w:val="en-US"/>
        </w:rPr>
        <w:t>Fluorescence spectra at different times (0−90 min) of (A) Non-NP-treated control group, (B) L-DOPA NPs, (C) DA NPs, (D) SeMNPs-1, (E) SeMNPs-2 and (F) SeMNPs-4 reacted with H</w:t>
      </w:r>
      <w:r>
        <w:rPr>
          <w:vertAlign w:val="subscript"/>
          <w:lang w:val="en-US"/>
        </w:rPr>
        <w:t>2</w:t>
      </w:r>
      <w:r>
        <w:rPr>
          <w:lang w:val="en-US"/>
        </w:rPr>
        <w:t>O</w:t>
      </w:r>
      <w:r>
        <w:rPr>
          <w:vertAlign w:val="subscript"/>
          <w:lang w:val="en-US"/>
        </w:rPr>
        <w:t>2</w:t>
      </w:r>
      <w:r>
        <w:rPr>
          <w:lang w:val="en-US"/>
        </w:rPr>
        <w:t>, respectively. (G) Fluorescence spectra at different times (</w:t>
      </w:r>
      <w:r>
        <w:rPr>
          <w:rFonts w:eastAsiaTheme="minorEastAsia" w:hint="eastAsia"/>
          <w:lang w:val="en-US" w:eastAsia="zh-CN"/>
        </w:rPr>
        <w:t>30</w:t>
      </w:r>
      <w:r>
        <w:rPr>
          <w:lang w:val="en-US"/>
        </w:rPr>
        <w:t>−90 min)</w:t>
      </w:r>
      <w:r>
        <w:rPr>
          <w:rFonts w:eastAsiaTheme="minorEastAsia" w:hint="eastAsia"/>
          <w:lang w:val="en-US" w:eastAsia="zh-CN"/>
        </w:rPr>
        <w:t xml:space="preserve"> of</w:t>
      </w:r>
      <w:r w:rsidRPr="00E50214">
        <w:rPr>
          <w:lang w:val="en-US"/>
        </w:rPr>
        <w:t xml:space="preserve"> </w:t>
      </w:r>
      <w:r w:rsidRPr="00E50214">
        <w:rPr>
          <w:rFonts w:eastAsiaTheme="minorEastAsia"/>
          <w:lang w:val="en-US" w:eastAsia="zh-CN"/>
        </w:rPr>
        <w:t>H</w:t>
      </w:r>
      <w:r w:rsidRPr="00E50214">
        <w:rPr>
          <w:rFonts w:eastAsiaTheme="minorEastAsia"/>
          <w:vertAlign w:val="subscript"/>
          <w:lang w:val="en-US" w:eastAsia="zh-CN"/>
        </w:rPr>
        <w:t>2</w:t>
      </w:r>
      <w:r w:rsidRPr="00E50214">
        <w:rPr>
          <w:rFonts w:eastAsiaTheme="minorEastAsia"/>
          <w:lang w:val="en-US" w:eastAsia="zh-CN"/>
        </w:rPr>
        <w:t>O</w:t>
      </w:r>
      <w:r w:rsidRPr="00E50214">
        <w:rPr>
          <w:rFonts w:eastAsiaTheme="minorEastAsia"/>
          <w:vertAlign w:val="subscript"/>
          <w:lang w:val="en-US" w:eastAsia="zh-CN"/>
        </w:rPr>
        <w:t>2</w:t>
      </w:r>
      <w:r w:rsidRPr="00E50214">
        <w:rPr>
          <w:rFonts w:eastAsiaTheme="minorEastAsia"/>
          <w:lang w:val="en-US" w:eastAsia="zh-CN"/>
        </w:rPr>
        <w:t xml:space="preserve"> solution mixed with melanin without DCFH solution.</w:t>
      </w:r>
    </w:p>
    <w:p w14:paraId="20386B46" w14:textId="77777777" w:rsidR="002A30D1" w:rsidRDefault="002A30D1" w:rsidP="002A30D1">
      <w:pPr>
        <w:jc w:val="both"/>
        <w:rPr>
          <w:lang w:val="en-US"/>
        </w:rPr>
      </w:pPr>
      <w:r>
        <w:rPr>
          <w:lang w:val="en-US"/>
        </w:rPr>
        <w:br w:type="page"/>
      </w:r>
    </w:p>
    <w:p w14:paraId="2F78306D" w14:textId="77777777" w:rsidR="002A30D1" w:rsidRDefault="002A30D1" w:rsidP="002A30D1">
      <w:pPr>
        <w:jc w:val="center"/>
      </w:pPr>
      <w:r>
        <w:rPr>
          <w:noProof/>
        </w:rPr>
        <w:lastRenderedPageBreak/>
        <w:drawing>
          <wp:inline distT="0" distB="0" distL="0" distR="0" wp14:anchorId="000598A6" wp14:editId="71BDD84A">
            <wp:extent cx="5047615" cy="4287520"/>
            <wp:effectExtent l="0" t="0" r="635" b="0"/>
            <wp:docPr id="1602115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1513" name="图片 6"/>
                    <pic:cNvPicPr>
                      <a:picLocks noChangeAspect="1" noChangeArrowheads="1"/>
                    </pic:cNvPicPr>
                  </pic:nvPicPr>
                  <pic:blipFill>
                    <a:blip r:embed="rId20" cstate="hqprint"/>
                    <a:srcRect/>
                    <a:stretch>
                      <a:fillRect/>
                    </a:stretch>
                  </pic:blipFill>
                  <pic:spPr>
                    <a:xfrm>
                      <a:off x="0" y="0"/>
                      <a:ext cx="5053812" cy="4293028"/>
                    </a:xfrm>
                    <a:prstGeom prst="rect">
                      <a:avLst/>
                    </a:prstGeom>
                    <a:noFill/>
                    <a:ln>
                      <a:noFill/>
                    </a:ln>
                  </pic:spPr>
                </pic:pic>
              </a:graphicData>
            </a:graphic>
          </wp:inline>
        </w:drawing>
      </w:r>
    </w:p>
    <w:p w14:paraId="30E690D4" w14:textId="77777777" w:rsidR="002A30D1" w:rsidRDefault="002A30D1" w:rsidP="002A30D1">
      <w:pPr>
        <w:jc w:val="both"/>
        <w:rPr>
          <w:lang w:val="en-US"/>
        </w:rPr>
      </w:pPr>
      <w:r>
        <w:rPr>
          <w:b/>
          <w:bCs/>
          <w:lang w:val="en-US"/>
        </w:rPr>
        <w:t xml:space="preserve">Figure S15. DPPH radical scavenging performance of </w:t>
      </w:r>
      <w:bookmarkStart w:id="28" w:name="_Hlk183717231"/>
      <w:r>
        <w:rPr>
          <w:b/>
          <w:bCs/>
          <w:lang w:val="en-US"/>
        </w:rPr>
        <w:t>SeMNPs and eumelanin NPs</w:t>
      </w:r>
      <w:bookmarkEnd w:id="28"/>
      <w:r>
        <w:rPr>
          <w:b/>
          <w:bCs/>
          <w:lang w:val="en-US"/>
        </w:rPr>
        <w:t xml:space="preserve">. </w:t>
      </w:r>
      <w:r>
        <w:rPr>
          <w:lang w:val="en-US"/>
        </w:rPr>
        <w:t>(A) UV-Vis absorbance at 516 nm of SeMNPs and eumelanin NPs from 0 to 20 min. UV-Vis spectra at different times (0−20 min) of (B) L-DOPA NPs, (C) DA NPs, (D) SeMNPs-1, (E) SeMNPs-2 and (F)SeMNPs-4 reacted with DPPH, respectively. (G) DPPH scavenging activity of SeMNPs and eumelanin NPs from 0 to 20 min.</w:t>
      </w:r>
      <w:r>
        <w:rPr>
          <w:b/>
          <w:bCs/>
          <w:lang w:val="en-US"/>
        </w:rPr>
        <w:t xml:space="preserve"> </w:t>
      </w:r>
    </w:p>
    <w:p w14:paraId="184ED695" w14:textId="77777777" w:rsidR="002A30D1" w:rsidRDefault="002A30D1" w:rsidP="002A30D1">
      <w:pPr>
        <w:jc w:val="both"/>
        <w:rPr>
          <w:lang w:val="en-US"/>
        </w:rPr>
      </w:pPr>
      <w:r>
        <w:rPr>
          <w:lang w:val="en-US"/>
        </w:rPr>
        <w:br w:type="page"/>
      </w:r>
    </w:p>
    <w:p w14:paraId="238AC322" w14:textId="77777777" w:rsidR="002A30D1" w:rsidRDefault="002A30D1" w:rsidP="002A30D1">
      <w:pPr>
        <w:jc w:val="center"/>
        <w:rPr>
          <w:b/>
          <w:bCs/>
        </w:rPr>
      </w:pPr>
      <w:r>
        <w:rPr>
          <w:b/>
          <w:bCs/>
          <w:noProof/>
        </w:rPr>
        <w:lastRenderedPageBreak/>
        <w:drawing>
          <wp:inline distT="0" distB="0" distL="0" distR="0" wp14:anchorId="1B1F93BC" wp14:editId="25735682">
            <wp:extent cx="4059555" cy="3337560"/>
            <wp:effectExtent l="0" t="0" r="0" b="0"/>
            <wp:docPr id="11002626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62650" name="图片 2"/>
                    <pic:cNvPicPr>
                      <a:picLocks noChangeAspect="1" noChangeArrowheads="1"/>
                    </pic:cNvPicPr>
                  </pic:nvPicPr>
                  <pic:blipFill>
                    <a:blip r:embed="rId21" cstate="hqprint"/>
                    <a:srcRect/>
                    <a:stretch>
                      <a:fillRect/>
                    </a:stretch>
                  </pic:blipFill>
                  <pic:spPr>
                    <a:xfrm>
                      <a:off x="0" y="0"/>
                      <a:ext cx="4061055" cy="3338656"/>
                    </a:xfrm>
                    <a:prstGeom prst="rect">
                      <a:avLst/>
                    </a:prstGeom>
                    <a:noFill/>
                    <a:ln>
                      <a:noFill/>
                    </a:ln>
                  </pic:spPr>
                </pic:pic>
              </a:graphicData>
            </a:graphic>
          </wp:inline>
        </w:drawing>
      </w:r>
    </w:p>
    <w:p w14:paraId="1D6CC140" w14:textId="77777777" w:rsidR="002A30D1" w:rsidRDefault="002A30D1" w:rsidP="002A30D1">
      <w:pPr>
        <w:jc w:val="both"/>
        <w:rPr>
          <w:lang w:val="en-US"/>
        </w:rPr>
      </w:pPr>
      <w:r>
        <w:rPr>
          <w:b/>
          <w:bCs/>
          <w:lang w:val="en-US"/>
        </w:rPr>
        <w:t xml:space="preserve">Figure S16. Cell viability of HaCaT cells after incubation with different concentrations of SeMNPs and eumelanin NPs for 24 h. </w:t>
      </w:r>
      <w:r>
        <w:rPr>
          <w:lang w:val="en-US"/>
        </w:rPr>
        <w:t xml:space="preserve">Viability was determined using the </w:t>
      </w:r>
      <w:proofErr w:type="spellStart"/>
      <w:r>
        <w:rPr>
          <w:lang w:val="en-US"/>
        </w:rPr>
        <w:t>CellTiter</w:t>
      </w:r>
      <w:proofErr w:type="spellEnd"/>
      <w:r>
        <w:rPr>
          <w:lang w:val="en-US"/>
        </w:rPr>
        <w:t>-Blue® assay. The fluorescent signal was then analyzed with excitation wavelength at 560 nm and emission wavelength at 600 nm by a plate reader. Error bars represent standard deviation from at less three experiments.</w:t>
      </w:r>
    </w:p>
    <w:p w14:paraId="703E7C2E" w14:textId="77777777" w:rsidR="002A30D1" w:rsidRDefault="002A30D1" w:rsidP="002A30D1">
      <w:pPr>
        <w:jc w:val="both"/>
        <w:rPr>
          <w:lang w:val="en-US"/>
        </w:rPr>
      </w:pPr>
      <w:r>
        <w:rPr>
          <w:lang w:val="en-US"/>
        </w:rPr>
        <w:br w:type="page"/>
      </w:r>
    </w:p>
    <w:p w14:paraId="282ED8F0" w14:textId="77777777" w:rsidR="002A30D1" w:rsidRDefault="002A30D1" w:rsidP="002A30D1">
      <w:pPr>
        <w:jc w:val="center"/>
      </w:pPr>
      <w:r>
        <w:rPr>
          <w:noProof/>
        </w:rPr>
        <w:lastRenderedPageBreak/>
        <w:drawing>
          <wp:inline distT="0" distB="0" distL="0" distR="0" wp14:anchorId="54CA9071" wp14:editId="7A14295F">
            <wp:extent cx="3451225" cy="4900930"/>
            <wp:effectExtent l="0" t="0" r="0" b="0"/>
            <wp:docPr id="17984926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92611" name="图片 2"/>
                    <pic:cNvPicPr>
                      <a:picLocks noChangeAspect="1" noChangeArrowheads="1"/>
                    </pic:cNvPicPr>
                  </pic:nvPicPr>
                  <pic:blipFill>
                    <a:blip r:embed="rId22" cstate="hqprint"/>
                    <a:srcRect/>
                    <a:stretch>
                      <a:fillRect/>
                    </a:stretch>
                  </pic:blipFill>
                  <pic:spPr>
                    <a:xfrm>
                      <a:off x="0" y="0"/>
                      <a:ext cx="3456256" cy="4907885"/>
                    </a:xfrm>
                    <a:prstGeom prst="rect">
                      <a:avLst/>
                    </a:prstGeom>
                    <a:noFill/>
                    <a:ln>
                      <a:noFill/>
                    </a:ln>
                  </pic:spPr>
                </pic:pic>
              </a:graphicData>
            </a:graphic>
          </wp:inline>
        </w:drawing>
      </w:r>
    </w:p>
    <w:p w14:paraId="28453C24" w14:textId="77777777" w:rsidR="002A30D1" w:rsidRDefault="002A30D1" w:rsidP="002A30D1">
      <w:pPr>
        <w:jc w:val="both"/>
        <w:rPr>
          <w:lang w:val="en-US"/>
        </w:rPr>
      </w:pPr>
      <w:r>
        <w:rPr>
          <w:b/>
          <w:bCs/>
          <w:lang w:val="en-US"/>
        </w:rPr>
        <w:t xml:space="preserve">Figure S17. </w:t>
      </w:r>
      <w:bookmarkStart w:id="29" w:name="_Hlk163238519"/>
      <w:r>
        <w:rPr>
          <w:b/>
          <w:bCs/>
          <w:lang w:val="en-US"/>
        </w:rPr>
        <w:t>Intracellular distribution of SeMNPs in HaCaT cells.</w:t>
      </w:r>
      <w:bookmarkEnd w:id="29"/>
      <w:r>
        <w:rPr>
          <w:b/>
          <w:bCs/>
          <w:lang w:val="en-US"/>
        </w:rPr>
        <w:t xml:space="preserve"> </w:t>
      </w:r>
      <w:r>
        <w:rPr>
          <w:lang w:val="en-US"/>
        </w:rPr>
        <w:t>(A)</w:t>
      </w:r>
      <w:bookmarkStart w:id="30" w:name="_Hlk174623307"/>
      <w:r>
        <w:rPr>
          <w:lang w:val="en-US"/>
        </w:rPr>
        <w:t xml:space="preserve"> CLSM images of HaCaT cells after 0.004 mg mL</w:t>
      </w:r>
      <w:r>
        <w:rPr>
          <w:vertAlign w:val="superscript"/>
          <w:lang w:val="en-US"/>
        </w:rPr>
        <w:t>-1</w:t>
      </w:r>
      <w:r>
        <w:rPr>
          <w:lang w:val="en-US"/>
        </w:rPr>
        <w:t xml:space="preserve"> SeMNPs-2 and -4 treatment,</w:t>
      </w:r>
      <w:bookmarkEnd w:id="30"/>
      <w:r>
        <w:rPr>
          <w:lang w:val="en-US"/>
        </w:rPr>
        <w:t xml:space="preserve"> or no-NP-treated control. </w:t>
      </w:r>
      <w:bookmarkStart w:id="31" w:name="_Hlk174623291"/>
      <w:r>
        <w:rPr>
          <w:lang w:val="en-US"/>
        </w:rPr>
        <w:t xml:space="preserve">Cell membrane stained with WGA conjugated to Alexa Fluor 488 (green) and cell nuclei stained with Hoechst 33342 (blue). Scale bar: 20 </w:t>
      </w:r>
      <w:r>
        <w:t>μ</w:t>
      </w:r>
      <w:r>
        <w:rPr>
          <w:lang w:val="en-US"/>
        </w:rPr>
        <w:t>m.</w:t>
      </w:r>
      <w:bookmarkEnd w:id="31"/>
      <w:r>
        <w:rPr>
          <w:lang w:val="en-US"/>
        </w:rPr>
        <w:t xml:space="preserve"> (B) Schematic showing </w:t>
      </w:r>
      <w:bookmarkStart w:id="32" w:name="_Hlk174623569"/>
      <w:r>
        <w:rPr>
          <w:lang w:val="en-US"/>
        </w:rPr>
        <w:t>SeMNPs artificial perinuclear caps formation in HaCaT cells.</w:t>
      </w:r>
      <w:bookmarkEnd w:id="32"/>
      <w:r>
        <w:rPr>
          <w:lang w:val="en-US"/>
        </w:rPr>
        <w:t xml:space="preserve"> Cell icon by DBCLS https://togotv.dbcls.jp/en/pics.html is licensed under CC-BY 4.0 </w:t>
      </w:r>
      <w:proofErr w:type="spellStart"/>
      <w:r>
        <w:rPr>
          <w:lang w:val="en-US"/>
        </w:rPr>
        <w:t>Unported</w:t>
      </w:r>
      <w:proofErr w:type="spellEnd"/>
      <w:r>
        <w:rPr>
          <w:lang w:val="en-US"/>
        </w:rPr>
        <w:t xml:space="preserve"> https://creativecommons.org/licenses/by/4.0/.</w:t>
      </w:r>
    </w:p>
    <w:p w14:paraId="0320F977" w14:textId="77777777" w:rsidR="002A30D1" w:rsidRDefault="002A30D1" w:rsidP="002A30D1">
      <w:pPr>
        <w:jc w:val="center"/>
      </w:pPr>
      <w:r>
        <w:rPr>
          <w:lang w:val="en-US"/>
        </w:rPr>
        <w:br w:type="page"/>
      </w:r>
      <w:r>
        <w:rPr>
          <w:noProof/>
        </w:rPr>
        <w:lastRenderedPageBreak/>
        <w:drawing>
          <wp:inline distT="0" distB="0" distL="0" distR="0" wp14:anchorId="7284180C" wp14:editId="509B6BFC">
            <wp:extent cx="2913380" cy="2080895"/>
            <wp:effectExtent l="0" t="0" r="1270" b="0"/>
            <wp:docPr id="1841863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63107" name="图片 12"/>
                    <pic:cNvPicPr>
                      <a:picLocks noChangeAspect="1" noChangeArrowheads="1"/>
                    </pic:cNvPicPr>
                  </pic:nvPicPr>
                  <pic:blipFill>
                    <a:blip r:embed="rId23" cstate="hqprint"/>
                    <a:srcRect/>
                    <a:stretch>
                      <a:fillRect/>
                    </a:stretch>
                  </pic:blipFill>
                  <pic:spPr>
                    <a:xfrm>
                      <a:off x="0" y="0"/>
                      <a:ext cx="2924212" cy="2088498"/>
                    </a:xfrm>
                    <a:prstGeom prst="rect">
                      <a:avLst/>
                    </a:prstGeom>
                    <a:noFill/>
                    <a:ln>
                      <a:noFill/>
                    </a:ln>
                  </pic:spPr>
                </pic:pic>
              </a:graphicData>
            </a:graphic>
          </wp:inline>
        </w:drawing>
      </w:r>
    </w:p>
    <w:p w14:paraId="230EE92E" w14:textId="77777777" w:rsidR="002A30D1" w:rsidRDefault="002A30D1" w:rsidP="002A30D1">
      <w:pPr>
        <w:jc w:val="both"/>
        <w:rPr>
          <w:lang w:val="en-US"/>
        </w:rPr>
      </w:pPr>
      <w:r>
        <w:rPr>
          <w:b/>
          <w:bCs/>
          <w:lang w:val="en-US"/>
        </w:rPr>
        <w:t>Figure S18.</w:t>
      </w:r>
      <w:r>
        <w:rPr>
          <w:lang w:val="en-US"/>
        </w:rPr>
        <w:t xml:space="preserve"> </w:t>
      </w:r>
      <w:r>
        <w:rPr>
          <w:b/>
          <w:bCs/>
          <w:lang w:val="en-US"/>
        </w:rPr>
        <w:t xml:space="preserve">Survival fraction of HaCaT cells after </w:t>
      </w:r>
      <w:r>
        <w:rPr>
          <w:b/>
          <w:bCs/>
        </w:rPr>
        <w:t>γ</w:t>
      </w:r>
      <w:r>
        <w:rPr>
          <w:b/>
          <w:bCs/>
          <w:lang w:val="en-US"/>
        </w:rPr>
        <w:t xml:space="preserve">-ray irradiation and SeMNPs treatment. </w:t>
      </w:r>
      <w:r>
        <w:rPr>
          <w:lang w:val="en-US"/>
        </w:rPr>
        <w:t>NS means no statistical difference (</w:t>
      </w:r>
      <w:r>
        <w:rPr>
          <w:i/>
          <w:iCs/>
          <w:lang w:val="en-US"/>
        </w:rPr>
        <w:t>P</w:t>
      </w:r>
      <w:r>
        <w:rPr>
          <w:lang w:val="en-US"/>
        </w:rPr>
        <w:t xml:space="preserve"> &gt; 0.05), with reference to no-NP-treated at the same incubation time, determined by Student's two-tailed t test.</w:t>
      </w:r>
    </w:p>
    <w:p w14:paraId="0E143DDE" w14:textId="77777777" w:rsidR="002A30D1" w:rsidRDefault="002A30D1" w:rsidP="002A30D1">
      <w:pPr>
        <w:jc w:val="both"/>
        <w:rPr>
          <w:lang w:val="en-US"/>
        </w:rPr>
      </w:pPr>
      <w:r>
        <w:rPr>
          <w:lang w:val="en-US"/>
        </w:rPr>
        <w:br w:type="page"/>
      </w:r>
    </w:p>
    <w:p w14:paraId="399621F3" w14:textId="77777777" w:rsidR="002A30D1" w:rsidRDefault="002A30D1" w:rsidP="002A30D1">
      <w:pPr>
        <w:jc w:val="center"/>
      </w:pPr>
      <w:r>
        <w:rPr>
          <w:noProof/>
        </w:rPr>
        <w:lastRenderedPageBreak/>
        <w:drawing>
          <wp:inline distT="0" distB="0" distL="0" distR="0" wp14:anchorId="758A847A" wp14:editId="5E0925AB">
            <wp:extent cx="5185410" cy="3401695"/>
            <wp:effectExtent l="0" t="0" r="8890" b="1905"/>
            <wp:docPr id="17678419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1934" name="图片 23"/>
                    <pic:cNvPicPr>
                      <a:picLocks noChangeAspect="1" noChangeArrowheads="1"/>
                    </pic:cNvPicPr>
                  </pic:nvPicPr>
                  <pic:blipFill>
                    <a:blip r:embed="rId24" cstate="hqprint"/>
                    <a:srcRect/>
                    <a:stretch>
                      <a:fillRect/>
                    </a:stretch>
                  </pic:blipFill>
                  <pic:spPr>
                    <a:xfrm>
                      <a:off x="0" y="0"/>
                      <a:ext cx="5185410" cy="3401695"/>
                    </a:xfrm>
                    <a:prstGeom prst="rect">
                      <a:avLst/>
                    </a:prstGeom>
                    <a:noFill/>
                    <a:ln>
                      <a:noFill/>
                    </a:ln>
                  </pic:spPr>
                </pic:pic>
              </a:graphicData>
            </a:graphic>
          </wp:inline>
        </w:drawing>
      </w:r>
    </w:p>
    <w:p w14:paraId="4FA138E0" w14:textId="77777777" w:rsidR="002A30D1" w:rsidRDefault="002A30D1" w:rsidP="002A30D1">
      <w:pPr>
        <w:jc w:val="both"/>
      </w:pPr>
      <w:r>
        <w:rPr>
          <w:b/>
          <w:bCs/>
          <w:lang w:val="en-US"/>
        </w:rPr>
        <w:t xml:space="preserve">Figure S19. Cell cycle changes of HaCaT cells after 6 Gy </w:t>
      </w:r>
      <w:r>
        <w:rPr>
          <w:b/>
          <w:bCs/>
        </w:rPr>
        <w:t>γ</w:t>
      </w:r>
      <w:r>
        <w:rPr>
          <w:b/>
          <w:bCs/>
          <w:lang w:val="en-US"/>
        </w:rPr>
        <w:t>-ray irradiation</w:t>
      </w:r>
      <w:r>
        <w:rPr>
          <w:lang w:val="en-US"/>
        </w:rPr>
        <w:t xml:space="preserve">. The cell population percentage in different cell cycle phases, (A) G2/M, (B) G1, and (C) S were plotted against post-irradiation time. (D) Experimental timeline for this initial study. (E) Cell cycle distribution plots of 0 Gy irradiation. </w:t>
      </w:r>
      <w:r>
        <w:t>(F) Cell cycle distribution plots of 6 Gy irradiation.</w:t>
      </w:r>
    </w:p>
    <w:p w14:paraId="770FBBCB" w14:textId="77777777" w:rsidR="002A30D1" w:rsidRDefault="002A30D1" w:rsidP="002A30D1">
      <w:pPr>
        <w:jc w:val="both"/>
      </w:pPr>
      <w:r>
        <w:br w:type="page"/>
      </w:r>
    </w:p>
    <w:p w14:paraId="31A45375" w14:textId="77777777" w:rsidR="002A30D1" w:rsidRDefault="002A30D1" w:rsidP="002A30D1">
      <w:pPr>
        <w:jc w:val="center"/>
        <w:rPr>
          <w:b/>
          <w:bCs/>
        </w:rPr>
      </w:pPr>
      <w:r>
        <w:rPr>
          <w:rFonts w:eastAsia="Times New Roman"/>
          <w:noProof/>
          <w:snapToGrid w:val="0"/>
          <w:color w:val="000000"/>
          <w:w w:val="0"/>
          <w:sz w:val="0"/>
          <w:szCs w:val="0"/>
          <w:u w:color="000000"/>
          <w:shd w:val="clear" w:color="000000" w:fill="000000"/>
          <w:lang w:val="zh-CN" w:eastAsia="zh-CN" w:bidi="zh-CN"/>
        </w:rPr>
        <w:lastRenderedPageBreak/>
        <w:drawing>
          <wp:inline distT="0" distB="0" distL="0" distR="0" wp14:anchorId="1FF6F9F3" wp14:editId="60DF972C">
            <wp:extent cx="4213860" cy="7724775"/>
            <wp:effectExtent l="0" t="0" r="0" b="0"/>
            <wp:docPr id="342926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26412" name="图片 1"/>
                    <pic:cNvPicPr>
                      <a:picLocks noChangeAspect="1" noChangeArrowheads="1"/>
                    </pic:cNvPicPr>
                  </pic:nvPicPr>
                  <pic:blipFill>
                    <a:blip r:embed="rId25" cstate="hqprint"/>
                    <a:srcRect/>
                    <a:stretch>
                      <a:fillRect/>
                    </a:stretch>
                  </pic:blipFill>
                  <pic:spPr>
                    <a:xfrm>
                      <a:off x="0" y="0"/>
                      <a:ext cx="4214477" cy="7725508"/>
                    </a:xfrm>
                    <a:prstGeom prst="rect">
                      <a:avLst/>
                    </a:prstGeom>
                    <a:noFill/>
                    <a:ln>
                      <a:noFill/>
                    </a:ln>
                  </pic:spPr>
                </pic:pic>
              </a:graphicData>
            </a:graphic>
          </wp:inline>
        </w:drawing>
      </w:r>
    </w:p>
    <w:p w14:paraId="08227AF6" w14:textId="77777777" w:rsidR="002A30D1" w:rsidRDefault="002A30D1" w:rsidP="002A30D1">
      <w:pPr>
        <w:jc w:val="both"/>
        <w:rPr>
          <w:lang w:val="en-US"/>
        </w:rPr>
      </w:pPr>
      <w:r>
        <w:rPr>
          <w:b/>
          <w:bCs/>
          <w:lang w:val="en-US"/>
        </w:rPr>
        <w:t xml:space="preserve">Figure S20. Cell cycle distribution plots at different doses (0 to 10 Gy) and different post-irradiation incubation time (12 h and 24 h). </w:t>
      </w:r>
      <w:r>
        <w:rPr>
          <w:lang w:val="en-US"/>
        </w:rPr>
        <w:t xml:space="preserve">Histograms are stagger offset for better clarify and are representative of ≥ three experiments. </w:t>
      </w:r>
    </w:p>
    <w:p w14:paraId="2DD3DF79" w14:textId="77777777" w:rsidR="002A30D1" w:rsidRDefault="002A30D1" w:rsidP="002A30D1">
      <w:pPr>
        <w:jc w:val="center"/>
      </w:pPr>
      <w:r>
        <w:rPr>
          <w:noProof/>
        </w:rPr>
        <w:lastRenderedPageBreak/>
        <w:drawing>
          <wp:inline distT="0" distB="0" distL="0" distR="0" wp14:anchorId="7CB76027" wp14:editId="21F0AAF6">
            <wp:extent cx="3238500" cy="2339340"/>
            <wp:effectExtent l="0" t="0" r="0" b="3810"/>
            <wp:docPr id="21020769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76998" name="图片 5"/>
                    <pic:cNvPicPr>
                      <a:picLocks noChangeAspect="1" noChangeArrowheads="1"/>
                    </pic:cNvPicPr>
                  </pic:nvPicPr>
                  <pic:blipFill>
                    <a:blip r:embed="rId26" cstate="hqprint"/>
                    <a:srcRect/>
                    <a:stretch>
                      <a:fillRect/>
                    </a:stretch>
                  </pic:blipFill>
                  <pic:spPr>
                    <a:xfrm>
                      <a:off x="0" y="0"/>
                      <a:ext cx="3238500" cy="2339340"/>
                    </a:xfrm>
                    <a:prstGeom prst="rect">
                      <a:avLst/>
                    </a:prstGeom>
                    <a:noFill/>
                    <a:ln>
                      <a:noFill/>
                    </a:ln>
                  </pic:spPr>
                </pic:pic>
              </a:graphicData>
            </a:graphic>
          </wp:inline>
        </w:drawing>
      </w:r>
    </w:p>
    <w:p w14:paraId="3430EFF6" w14:textId="77777777" w:rsidR="002A30D1" w:rsidRDefault="002A30D1" w:rsidP="002A30D1">
      <w:pPr>
        <w:jc w:val="both"/>
        <w:rPr>
          <w:lang w:val="en-US"/>
        </w:rPr>
      </w:pPr>
      <w:r>
        <w:rPr>
          <w:b/>
          <w:bCs/>
          <w:lang w:val="en-US"/>
        </w:rPr>
        <w:t xml:space="preserve">Figure S21. SeMNPs protect cells against cell cycle changes induced by </w:t>
      </w:r>
      <w:r>
        <w:rPr>
          <w:b/>
          <w:bCs/>
        </w:rPr>
        <w:t>γ</w:t>
      </w:r>
      <w:r>
        <w:rPr>
          <w:b/>
          <w:bCs/>
          <w:lang w:val="en-US"/>
        </w:rPr>
        <w:t xml:space="preserve">-ray after 12 h post-irradiation incubation. </w:t>
      </w:r>
      <w:r>
        <w:rPr>
          <w:lang w:val="en-US"/>
        </w:rPr>
        <w:t>Error bars represent standard deviation from ≥ three experiments. NS means no statistical difference (</w:t>
      </w:r>
      <w:r>
        <w:rPr>
          <w:i/>
          <w:iCs/>
          <w:lang w:val="en-US"/>
        </w:rPr>
        <w:t>P</w:t>
      </w:r>
      <w:r>
        <w:rPr>
          <w:lang w:val="en-US"/>
        </w:rPr>
        <w:t xml:space="preserve"> &gt; 0.05), *</w:t>
      </w:r>
      <w:r>
        <w:rPr>
          <w:i/>
          <w:iCs/>
          <w:lang w:val="en-US"/>
        </w:rPr>
        <w:t>P</w:t>
      </w:r>
      <w:r>
        <w:rPr>
          <w:lang w:val="en-US"/>
        </w:rPr>
        <w:t xml:space="preserve"> &lt; 0.05, **</w:t>
      </w:r>
      <w:r>
        <w:rPr>
          <w:i/>
          <w:iCs/>
          <w:lang w:val="en-US"/>
        </w:rPr>
        <w:t>P</w:t>
      </w:r>
      <w:r>
        <w:rPr>
          <w:lang w:val="en-US"/>
        </w:rPr>
        <w:t xml:space="preserve"> &lt; 10</w:t>
      </w:r>
      <w:r>
        <w:rPr>
          <w:vertAlign w:val="superscript"/>
          <w:lang w:val="en-US"/>
        </w:rPr>
        <w:t>−2</w:t>
      </w:r>
      <w:r>
        <w:rPr>
          <w:lang w:val="en-US"/>
        </w:rPr>
        <w:t>, ***</w:t>
      </w:r>
      <w:r>
        <w:rPr>
          <w:i/>
          <w:iCs/>
          <w:lang w:val="en-US"/>
        </w:rPr>
        <w:t>P</w:t>
      </w:r>
      <w:r>
        <w:rPr>
          <w:lang w:val="en-US"/>
        </w:rPr>
        <w:t xml:space="preserve"> &lt; 10</w:t>
      </w:r>
      <w:r>
        <w:rPr>
          <w:vertAlign w:val="superscript"/>
          <w:lang w:val="en-US"/>
        </w:rPr>
        <w:t>−3</w:t>
      </w:r>
      <w:r>
        <w:rPr>
          <w:lang w:val="en-US"/>
        </w:rPr>
        <w:t>, ****</w:t>
      </w:r>
      <w:r>
        <w:rPr>
          <w:i/>
          <w:iCs/>
          <w:lang w:val="en-US"/>
        </w:rPr>
        <w:t>P</w:t>
      </w:r>
      <w:r>
        <w:rPr>
          <w:lang w:val="en-US"/>
        </w:rPr>
        <w:t xml:space="preserve"> &lt; 10</w:t>
      </w:r>
      <w:r>
        <w:rPr>
          <w:vertAlign w:val="superscript"/>
          <w:lang w:val="en-US"/>
        </w:rPr>
        <w:t>−4</w:t>
      </w:r>
      <w:r>
        <w:rPr>
          <w:lang w:val="en-US"/>
        </w:rPr>
        <w:t>, with reference to no-NP-treated and non-irradiated control, determined by Student's two-tailed t test.</w:t>
      </w:r>
      <w:r>
        <w:rPr>
          <w:lang w:val="en-US"/>
        </w:rPr>
        <w:br w:type="page"/>
      </w:r>
    </w:p>
    <w:p w14:paraId="54728363" w14:textId="77777777" w:rsidR="002A30D1" w:rsidRDefault="002A30D1" w:rsidP="002A30D1">
      <w:pPr>
        <w:jc w:val="center"/>
        <w:rPr>
          <w:b/>
          <w:bCs/>
        </w:rPr>
      </w:pPr>
      <w:r>
        <w:rPr>
          <w:b/>
          <w:bCs/>
          <w:noProof/>
        </w:rPr>
        <w:lastRenderedPageBreak/>
        <w:drawing>
          <wp:inline distT="0" distB="0" distL="0" distR="0" wp14:anchorId="28DB5D56" wp14:editId="0298680A">
            <wp:extent cx="5168900" cy="2228850"/>
            <wp:effectExtent l="0" t="0" r="0" b="0"/>
            <wp:docPr id="385665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5272" name="图片 1"/>
                    <pic:cNvPicPr>
                      <a:picLocks noChangeAspect="1" noChangeArrowheads="1"/>
                    </pic:cNvPicPr>
                  </pic:nvPicPr>
                  <pic:blipFill>
                    <a:blip r:embed="rId27" cstate="hqprint"/>
                    <a:srcRect/>
                    <a:stretch>
                      <a:fillRect/>
                    </a:stretch>
                  </pic:blipFill>
                  <pic:spPr>
                    <a:xfrm>
                      <a:off x="0" y="0"/>
                      <a:ext cx="5176416" cy="2231997"/>
                    </a:xfrm>
                    <a:prstGeom prst="rect">
                      <a:avLst/>
                    </a:prstGeom>
                    <a:noFill/>
                    <a:ln>
                      <a:noFill/>
                    </a:ln>
                  </pic:spPr>
                </pic:pic>
              </a:graphicData>
            </a:graphic>
          </wp:inline>
        </w:drawing>
      </w:r>
    </w:p>
    <w:p w14:paraId="482750B2" w14:textId="77777777" w:rsidR="002A30D1" w:rsidRDefault="002A30D1" w:rsidP="002A30D1">
      <w:pPr>
        <w:jc w:val="both"/>
        <w:rPr>
          <w:lang w:val="en-US"/>
        </w:rPr>
      </w:pPr>
      <w:r>
        <w:rPr>
          <w:b/>
          <w:bCs/>
          <w:lang w:val="en-US"/>
        </w:rPr>
        <w:t xml:space="preserve">Figure S22. SeMNPs protect cells against cell cycle changes induced by </w:t>
      </w:r>
      <w:r>
        <w:rPr>
          <w:b/>
          <w:bCs/>
        </w:rPr>
        <w:t>γ</w:t>
      </w:r>
      <w:r>
        <w:rPr>
          <w:b/>
          <w:bCs/>
          <w:lang w:val="en-US"/>
        </w:rPr>
        <w:t xml:space="preserve">-ray after (A) 12 h and (B) 24 h post-irradiation. </w:t>
      </w:r>
      <w:r>
        <w:rPr>
          <w:lang w:val="en-US"/>
        </w:rPr>
        <w:t>Error bars represent standard deviation from ≥ three experiments. NS means no statistical difference (</w:t>
      </w:r>
      <w:r>
        <w:rPr>
          <w:i/>
          <w:iCs/>
          <w:lang w:val="en-US"/>
        </w:rPr>
        <w:t>P</w:t>
      </w:r>
      <w:r>
        <w:rPr>
          <w:lang w:val="en-US"/>
        </w:rPr>
        <w:t xml:space="preserve"> &gt; 0.05), *</w:t>
      </w:r>
      <w:r>
        <w:rPr>
          <w:i/>
          <w:iCs/>
          <w:lang w:val="en-US"/>
        </w:rPr>
        <w:t xml:space="preserve">P </w:t>
      </w:r>
      <w:r>
        <w:rPr>
          <w:lang w:val="en-US"/>
        </w:rPr>
        <w:t>&lt; 0.05, **</w:t>
      </w:r>
      <w:r>
        <w:rPr>
          <w:i/>
          <w:iCs/>
          <w:lang w:val="en-US"/>
        </w:rPr>
        <w:t>P</w:t>
      </w:r>
      <w:r>
        <w:rPr>
          <w:lang w:val="en-US"/>
        </w:rPr>
        <w:t xml:space="preserve"> &lt; 10</w:t>
      </w:r>
      <w:r>
        <w:rPr>
          <w:vertAlign w:val="superscript"/>
          <w:lang w:val="en-US"/>
        </w:rPr>
        <w:t>−2</w:t>
      </w:r>
      <w:r>
        <w:rPr>
          <w:lang w:val="en-US"/>
        </w:rPr>
        <w:t>, ***</w:t>
      </w:r>
      <w:r>
        <w:rPr>
          <w:i/>
          <w:iCs/>
          <w:lang w:val="en-US"/>
        </w:rPr>
        <w:t>P</w:t>
      </w:r>
      <w:r>
        <w:rPr>
          <w:lang w:val="en-US"/>
        </w:rPr>
        <w:t xml:space="preserve"> &lt; 10</w:t>
      </w:r>
      <w:r>
        <w:rPr>
          <w:vertAlign w:val="superscript"/>
          <w:lang w:val="en-US"/>
        </w:rPr>
        <w:t>−3</w:t>
      </w:r>
      <w:r>
        <w:rPr>
          <w:lang w:val="en-US"/>
        </w:rPr>
        <w:t>, ****</w:t>
      </w:r>
      <w:r>
        <w:rPr>
          <w:i/>
          <w:iCs/>
          <w:lang w:val="en-US"/>
        </w:rPr>
        <w:t xml:space="preserve">P </w:t>
      </w:r>
      <w:r>
        <w:rPr>
          <w:lang w:val="en-US"/>
        </w:rPr>
        <w:t>&lt; 10</w:t>
      </w:r>
      <w:r>
        <w:rPr>
          <w:vertAlign w:val="superscript"/>
          <w:lang w:val="en-US"/>
        </w:rPr>
        <w:t>−4</w:t>
      </w:r>
      <w:r>
        <w:rPr>
          <w:lang w:val="en-US"/>
        </w:rPr>
        <w:t>,</w:t>
      </w:r>
      <w:bookmarkStart w:id="33" w:name="OLE_LINK12"/>
      <w:r>
        <w:rPr>
          <w:lang w:val="en-US"/>
        </w:rPr>
        <w:t xml:space="preserve"> with reference to no-NP-treated at same </w:t>
      </w:r>
      <w:r>
        <w:t>γ</w:t>
      </w:r>
      <w:r>
        <w:rPr>
          <w:lang w:val="en-US"/>
        </w:rPr>
        <w:t xml:space="preserve">-ray dose, </w:t>
      </w:r>
      <w:bookmarkEnd w:id="33"/>
      <w:r>
        <w:rPr>
          <w:lang w:val="en-US"/>
        </w:rPr>
        <w:t>determined by Student's two-tailed t test.</w:t>
      </w:r>
    </w:p>
    <w:p w14:paraId="274F8D70" w14:textId="77777777" w:rsidR="002A30D1" w:rsidRDefault="002A30D1" w:rsidP="002A30D1">
      <w:pPr>
        <w:jc w:val="both"/>
        <w:rPr>
          <w:lang w:val="en-US"/>
        </w:rPr>
      </w:pPr>
      <w:r>
        <w:rPr>
          <w:lang w:val="en-US"/>
        </w:rPr>
        <w:br w:type="page"/>
      </w:r>
    </w:p>
    <w:p w14:paraId="31F1D42F" w14:textId="77777777" w:rsidR="002A30D1" w:rsidRDefault="002A30D1" w:rsidP="002A30D1">
      <w:pPr>
        <w:jc w:val="center"/>
        <w:rPr>
          <w:b/>
          <w:bCs/>
        </w:rPr>
      </w:pPr>
      <w:r>
        <w:rPr>
          <w:b/>
          <w:bCs/>
          <w:noProof/>
        </w:rPr>
        <w:lastRenderedPageBreak/>
        <w:drawing>
          <wp:inline distT="0" distB="0" distL="0" distR="0" wp14:anchorId="2BDBF929" wp14:editId="30F27636">
            <wp:extent cx="5247640" cy="2415540"/>
            <wp:effectExtent l="0" t="0" r="0" b="3810"/>
            <wp:docPr id="4133766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76614" name="图片 8"/>
                    <pic:cNvPicPr>
                      <a:picLocks noChangeAspect="1" noChangeArrowheads="1"/>
                    </pic:cNvPicPr>
                  </pic:nvPicPr>
                  <pic:blipFill>
                    <a:blip r:embed="rId28" cstate="hqprint"/>
                    <a:srcRect/>
                    <a:stretch>
                      <a:fillRect/>
                    </a:stretch>
                  </pic:blipFill>
                  <pic:spPr>
                    <a:xfrm>
                      <a:off x="0" y="0"/>
                      <a:ext cx="5250658" cy="2416775"/>
                    </a:xfrm>
                    <a:prstGeom prst="rect">
                      <a:avLst/>
                    </a:prstGeom>
                    <a:noFill/>
                    <a:ln>
                      <a:noFill/>
                    </a:ln>
                  </pic:spPr>
                </pic:pic>
              </a:graphicData>
            </a:graphic>
          </wp:inline>
        </w:drawing>
      </w:r>
    </w:p>
    <w:p w14:paraId="2565E864" w14:textId="77777777" w:rsidR="002A30D1" w:rsidRDefault="002A30D1" w:rsidP="002A30D1">
      <w:pPr>
        <w:jc w:val="both"/>
      </w:pPr>
      <w:r>
        <w:rPr>
          <w:b/>
          <w:bCs/>
          <w:lang w:val="en-US"/>
        </w:rPr>
        <w:t xml:space="preserve">Figure S23. Cell cycle protection factor (CCPF) of (A) 12 h post-irradiation and (B) 24 h post-irradiation. </w:t>
      </w:r>
      <w:r>
        <w:t>Cell cycle protection factor was calculated as</w:t>
      </w:r>
    </w:p>
    <w:p w14:paraId="51910B96" w14:textId="77777777" w:rsidR="002A30D1" w:rsidRDefault="002A30D1" w:rsidP="002A30D1">
      <w:pPr>
        <w:jc w:val="center"/>
        <w:rPr>
          <w:i/>
          <w:iCs/>
        </w:rPr>
      </w:pPr>
      <w:r>
        <w:rPr>
          <w:i/>
          <w:iCs/>
          <w:noProof/>
        </w:rPr>
        <w:drawing>
          <wp:inline distT="0" distB="0" distL="0" distR="0" wp14:anchorId="60ADB7B4" wp14:editId="036D562D">
            <wp:extent cx="2529840" cy="715645"/>
            <wp:effectExtent l="0" t="0" r="0" b="0"/>
            <wp:docPr id="1729315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15108" name="图片 1"/>
                    <pic:cNvPicPr>
                      <a:picLocks noChangeAspect="1" noChangeArrowheads="1"/>
                    </pic:cNvPicPr>
                  </pic:nvPicPr>
                  <pic:blipFill>
                    <a:blip r:embed="rId29"/>
                    <a:srcRect/>
                    <a:stretch>
                      <a:fillRect/>
                    </a:stretch>
                  </pic:blipFill>
                  <pic:spPr>
                    <a:xfrm>
                      <a:off x="0" y="0"/>
                      <a:ext cx="2549177" cy="721385"/>
                    </a:xfrm>
                    <a:prstGeom prst="rect">
                      <a:avLst/>
                    </a:prstGeom>
                    <a:noFill/>
                  </pic:spPr>
                </pic:pic>
              </a:graphicData>
            </a:graphic>
          </wp:inline>
        </w:drawing>
      </w:r>
    </w:p>
    <w:p w14:paraId="4476495E" w14:textId="77777777" w:rsidR="002A30D1" w:rsidRDefault="002A30D1" w:rsidP="002A30D1">
      <w:pPr>
        <w:jc w:val="both"/>
        <w:rPr>
          <w:lang w:val="en-US"/>
        </w:rPr>
      </w:pPr>
      <w:bookmarkStart w:id="34" w:name="OLE_LINK20"/>
      <w:r>
        <w:rPr>
          <w:lang w:val="en-US"/>
        </w:rPr>
        <w:t>In equation (1),</w:t>
      </w:r>
      <w:bookmarkEnd w:id="34"/>
      <w:r>
        <w:rPr>
          <w:lang w:val="en-US"/>
        </w:rPr>
        <w:t xml:space="preserve"> </w:t>
      </w:r>
      <w:proofErr w:type="spellStart"/>
      <w:r>
        <w:rPr>
          <w:i/>
          <w:iCs/>
          <w:lang w:val="en-US"/>
        </w:rPr>
        <w:t>R</w:t>
      </w:r>
      <w:r>
        <w:rPr>
          <w:i/>
          <w:iCs/>
          <w:vertAlign w:val="subscript"/>
          <w:lang w:val="en-US"/>
        </w:rPr>
        <w:t>c</w:t>
      </w:r>
      <w:proofErr w:type="spellEnd"/>
      <w:r>
        <w:rPr>
          <w:lang w:val="en-US"/>
        </w:rPr>
        <w:t xml:space="preserve"> is the G2/M phase population treated with </w:t>
      </w:r>
      <w:r>
        <w:t>γ</w:t>
      </w:r>
      <w:r>
        <w:rPr>
          <w:lang w:val="en-US"/>
        </w:rPr>
        <w:t xml:space="preserve">-ray without SeMNPs, </w:t>
      </w:r>
      <w:r>
        <w:rPr>
          <w:i/>
          <w:iCs/>
          <w:lang w:val="en-US"/>
        </w:rPr>
        <w:t>R</w:t>
      </w:r>
      <w:r>
        <w:rPr>
          <w:i/>
          <w:iCs/>
          <w:vertAlign w:val="subscript"/>
          <w:lang w:val="en-US"/>
        </w:rPr>
        <w:t>i</w:t>
      </w:r>
      <w:r>
        <w:rPr>
          <w:lang w:val="en-US"/>
        </w:rPr>
        <w:t xml:space="preserve"> is the G2/M phase population treated with </w:t>
      </w:r>
      <w:r>
        <w:t>γ</w:t>
      </w:r>
      <w:r>
        <w:rPr>
          <w:lang w:val="en-US"/>
        </w:rPr>
        <w:t xml:space="preserve">-ray and SeMNPs after correction, </w:t>
      </w:r>
      <w:r>
        <w:rPr>
          <w:i/>
          <w:iCs/>
          <w:lang w:val="en-US"/>
        </w:rPr>
        <w:t>R</w:t>
      </w:r>
      <w:r>
        <w:rPr>
          <w:i/>
          <w:iCs/>
          <w:vertAlign w:val="subscript"/>
          <w:lang w:val="en-US"/>
        </w:rPr>
        <w:t>0</w:t>
      </w:r>
      <w:r>
        <w:rPr>
          <w:lang w:val="en-US"/>
        </w:rPr>
        <w:t xml:space="preserve"> is the G2/M phase population without </w:t>
      </w:r>
      <w:r>
        <w:t>γ</w:t>
      </w:r>
      <w:r>
        <w:rPr>
          <w:lang w:val="en-US"/>
        </w:rPr>
        <w:t xml:space="preserve">-ray and SeMNPs treatment. </w:t>
      </w:r>
    </w:p>
    <w:p w14:paraId="08E966C1" w14:textId="77777777" w:rsidR="002A30D1" w:rsidRDefault="002A30D1" w:rsidP="002A30D1">
      <w:pPr>
        <w:jc w:val="both"/>
        <w:rPr>
          <w:lang w:val="en-US"/>
        </w:rPr>
      </w:pPr>
      <w:r>
        <w:rPr>
          <w:lang w:val="en-US"/>
        </w:rPr>
        <w:t xml:space="preserve">To compensate the fluorescence quenching caused by SeMNPs, Equation (2) is utilized to rectify the experimental </w:t>
      </w:r>
      <w:r>
        <w:rPr>
          <w:i/>
          <w:iCs/>
          <w:lang w:val="en-US"/>
        </w:rPr>
        <w:t>R</w:t>
      </w:r>
      <w:r>
        <w:rPr>
          <w:i/>
          <w:iCs/>
          <w:vertAlign w:val="subscript"/>
          <w:lang w:val="en-US"/>
        </w:rPr>
        <w:t>s</w:t>
      </w:r>
      <w:r>
        <w:rPr>
          <w:lang w:val="en-US"/>
        </w:rPr>
        <w:t xml:space="preserve"> value, correcting the decrement attributed to the presence of SeMNPs in non-irradiated control groups. </w:t>
      </w:r>
      <w:bookmarkStart w:id="35" w:name="OLE_LINK21"/>
      <w:r>
        <w:rPr>
          <w:i/>
          <w:iCs/>
          <w:lang w:val="en-US"/>
        </w:rPr>
        <w:t>R</w:t>
      </w:r>
      <w:r>
        <w:rPr>
          <w:i/>
          <w:iCs/>
          <w:vertAlign w:val="subscript"/>
          <w:lang w:val="en-US"/>
        </w:rPr>
        <w:t>s</w:t>
      </w:r>
      <w:r>
        <w:rPr>
          <w:lang w:val="en-US"/>
        </w:rPr>
        <w:t xml:space="preserve"> </w:t>
      </w:r>
      <w:bookmarkEnd w:id="35"/>
      <w:r>
        <w:rPr>
          <w:lang w:val="en-US"/>
        </w:rPr>
        <w:t xml:space="preserve">is the G2/M phase population treated with </w:t>
      </w:r>
      <w:r>
        <w:t>γ</w:t>
      </w:r>
      <w:r>
        <w:rPr>
          <w:lang w:val="en-US"/>
        </w:rPr>
        <w:t xml:space="preserve">-ray and SeMNPs, </w:t>
      </w:r>
      <w:proofErr w:type="spellStart"/>
      <w:r>
        <w:rPr>
          <w:i/>
          <w:iCs/>
          <w:lang w:val="en-US"/>
        </w:rPr>
        <w:t>R</w:t>
      </w:r>
      <w:r>
        <w:rPr>
          <w:i/>
          <w:iCs/>
          <w:vertAlign w:val="subscript"/>
          <w:lang w:val="en-US"/>
        </w:rPr>
        <w:t>j</w:t>
      </w:r>
      <w:proofErr w:type="spellEnd"/>
      <w:r>
        <w:rPr>
          <w:lang w:val="en-US"/>
        </w:rPr>
        <w:t xml:space="preserve"> is the G2/M phase population treated with SeMNPs without </w:t>
      </w:r>
      <w:r>
        <w:t>γ</w:t>
      </w:r>
      <w:r>
        <w:rPr>
          <w:lang w:val="en-US"/>
        </w:rPr>
        <w:t>-ray.</w:t>
      </w:r>
    </w:p>
    <w:p w14:paraId="7D17B827" w14:textId="77777777" w:rsidR="002A30D1" w:rsidRDefault="002A30D1" w:rsidP="002A30D1">
      <w:pPr>
        <w:jc w:val="both"/>
        <w:rPr>
          <w:lang w:val="en-US"/>
        </w:rPr>
      </w:pPr>
      <w:r>
        <w:rPr>
          <w:lang w:val="en-US"/>
        </w:rPr>
        <w:t>Error bars represent standard deviation from ≥ three experiments. NS means no statistical difference (</w:t>
      </w:r>
      <w:r>
        <w:rPr>
          <w:i/>
          <w:iCs/>
          <w:lang w:val="en-US"/>
        </w:rPr>
        <w:t>P</w:t>
      </w:r>
      <w:r>
        <w:rPr>
          <w:lang w:val="en-US"/>
        </w:rPr>
        <w:t xml:space="preserve"> &gt; 0.05), *</w:t>
      </w:r>
      <w:r>
        <w:rPr>
          <w:i/>
          <w:iCs/>
          <w:lang w:val="en-US"/>
        </w:rPr>
        <w:t xml:space="preserve">P </w:t>
      </w:r>
      <w:r>
        <w:rPr>
          <w:lang w:val="en-US"/>
        </w:rPr>
        <w:t>&lt; 0.05, **</w:t>
      </w:r>
      <w:r>
        <w:rPr>
          <w:i/>
          <w:iCs/>
          <w:lang w:val="en-US"/>
        </w:rPr>
        <w:t>P</w:t>
      </w:r>
      <w:r>
        <w:rPr>
          <w:lang w:val="en-US"/>
        </w:rPr>
        <w:t xml:space="preserve"> &lt; 10</w:t>
      </w:r>
      <w:r>
        <w:rPr>
          <w:vertAlign w:val="superscript"/>
          <w:lang w:val="en-US"/>
        </w:rPr>
        <w:t>−2</w:t>
      </w:r>
      <w:r>
        <w:rPr>
          <w:lang w:val="en-US"/>
        </w:rPr>
        <w:t>, ***</w:t>
      </w:r>
      <w:r>
        <w:rPr>
          <w:i/>
          <w:iCs/>
          <w:lang w:val="en-US"/>
        </w:rPr>
        <w:t>P</w:t>
      </w:r>
      <w:r>
        <w:rPr>
          <w:lang w:val="en-US"/>
        </w:rPr>
        <w:t xml:space="preserve"> &lt; 10</w:t>
      </w:r>
      <w:r>
        <w:rPr>
          <w:vertAlign w:val="superscript"/>
          <w:lang w:val="en-US"/>
        </w:rPr>
        <w:t>−3</w:t>
      </w:r>
      <w:r>
        <w:rPr>
          <w:lang w:val="en-US"/>
        </w:rPr>
        <w:t xml:space="preserve">, with reference to SeMNPs-1 group at same </w:t>
      </w:r>
      <w:r>
        <w:t>γ</w:t>
      </w:r>
      <w:r>
        <w:rPr>
          <w:lang w:val="en-US"/>
        </w:rPr>
        <w:t xml:space="preserve">-ray dose, determined by Student's two-tailed t test. </w:t>
      </w:r>
    </w:p>
    <w:p w14:paraId="1200994C" w14:textId="77777777" w:rsidR="002A30D1" w:rsidRDefault="002A30D1" w:rsidP="002A30D1">
      <w:pPr>
        <w:jc w:val="both"/>
        <w:rPr>
          <w:b/>
          <w:bCs/>
          <w:lang w:val="en-US"/>
        </w:rPr>
      </w:pPr>
      <w:r>
        <w:rPr>
          <w:b/>
          <w:bCs/>
          <w:lang w:val="en-US"/>
        </w:rPr>
        <w:br w:type="page"/>
      </w:r>
    </w:p>
    <w:p w14:paraId="3C05A617" w14:textId="77777777" w:rsidR="002A30D1" w:rsidRDefault="002A30D1" w:rsidP="002A30D1">
      <w:pPr>
        <w:jc w:val="center"/>
        <w:rPr>
          <w:b/>
          <w:bCs/>
        </w:rPr>
      </w:pPr>
      <w:r>
        <w:rPr>
          <w:b/>
          <w:bCs/>
          <w:noProof/>
        </w:rPr>
        <w:lastRenderedPageBreak/>
        <w:drawing>
          <wp:inline distT="0" distB="0" distL="0" distR="0" wp14:anchorId="148FB166" wp14:editId="6795609B">
            <wp:extent cx="4013835" cy="6219825"/>
            <wp:effectExtent l="0" t="0" r="5715" b="0"/>
            <wp:docPr id="176330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04354" name="图片 1"/>
                    <pic:cNvPicPr>
                      <a:picLocks noChangeAspect="1" noChangeArrowheads="1"/>
                    </pic:cNvPicPr>
                  </pic:nvPicPr>
                  <pic:blipFill>
                    <a:blip r:embed="rId30" cstate="hqprint"/>
                    <a:srcRect/>
                    <a:stretch>
                      <a:fillRect/>
                    </a:stretch>
                  </pic:blipFill>
                  <pic:spPr>
                    <a:xfrm>
                      <a:off x="0" y="0"/>
                      <a:ext cx="4016888" cy="6223697"/>
                    </a:xfrm>
                    <a:prstGeom prst="rect">
                      <a:avLst/>
                    </a:prstGeom>
                    <a:noFill/>
                    <a:ln>
                      <a:noFill/>
                    </a:ln>
                  </pic:spPr>
                </pic:pic>
              </a:graphicData>
            </a:graphic>
          </wp:inline>
        </w:drawing>
      </w:r>
    </w:p>
    <w:p w14:paraId="3FC1A403" w14:textId="77777777" w:rsidR="002A30D1" w:rsidRDefault="002A30D1" w:rsidP="002A30D1">
      <w:pPr>
        <w:jc w:val="both"/>
        <w:rPr>
          <w:lang w:val="en-US"/>
        </w:rPr>
      </w:pPr>
      <w:r>
        <w:rPr>
          <w:b/>
          <w:bCs/>
          <w:lang w:val="en-US"/>
        </w:rPr>
        <w:t>Figure S24. CLSM images of live cells treated with 10 Gy irradiation and 0.004 mg mL</w:t>
      </w:r>
      <w:r>
        <w:rPr>
          <w:b/>
          <w:bCs/>
          <w:vertAlign w:val="superscript"/>
          <w:lang w:val="en-US"/>
        </w:rPr>
        <w:t>-1</w:t>
      </w:r>
      <w:r>
        <w:rPr>
          <w:b/>
          <w:bCs/>
          <w:lang w:val="en-US"/>
        </w:rPr>
        <w:t xml:space="preserve"> SeMNPs, showing Actin-Tracker Red-594 F-actin-positive signal (pseudo-color: green). Cell nuclei were stained with DAPI (blue).  </w:t>
      </w:r>
      <w:r>
        <w:rPr>
          <w:lang w:val="en-US"/>
        </w:rPr>
        <w:t>F-actin probe scan excitation wavelength: 561 nm. Detection wavelength: 570-625 nm. DAPI scan excitation wavelength: 405 nm. Detection wavelength: 420 --480 nm.</w:t>
      </w:r>
    </w:p>
    <w:p w14:paraId="02BDD0E6" w14:textId="77777777" w:rsidR="002A30D1" w:rsidRDefault="002A30D1" w:rsidP="002A30D1">
      <w:pPr>
        <w:jc w:val="both"/>
        <w:rPr>
          <w:lang w:val="en-US"/>
        </w:rPr>
      </w:pPr>
    </w:p>
    <w:p w14:paraId="4703B7CF" w14:textId="77777777" w:rsidR="002A30D1" w:rsidRDefault="002A30D1" w:rsidP="002A30D1">
      <w:pPr>
        <w:jc w:val="center"/>
      </w:pPr>
      <w:r>
        <w:rPr>
          <w:b/>
          <w:bCs/>
          <w:lang w:val="en-US"/>
        </w:rPr>
        <w:br w:type="page"/>
      </w:r>
      <w:r>
        <w:rPr>
          <w:noProof/>
        </w:rPr>
        <w:lastRenderedPageBreak/>
        <w:drawing>
          <wp:inline distT="0" distB="0" distL="0" distR="0" wp14:anchorId="68A8103E" wp14:editId="128416FC">
            <wp:extent cx="5278120" cy="2103120"/>
            <wp:effectExtent l="0" t="0" r="0" b="0"/>
            <wp:docPr id="16073936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93669" name="图片 3"/>
                    <pic:cNvPicPr>
                      <a:picLocks noChangeAspect="1" noChangeArrowheads="1"/>
                    </pic:cNvPicPr>
                  </pic:nvPicPr>
                  <pic:blipFill>
                    <a:blip r:embed="rId31" cstate="hqprint"/>
                    <a:srcRect l="18493" t="40140" r="19865" b="42857"/>
                    <a:stretch>
                      <a:fillRect/>
                    </a:stretch>
                  </pic:blipFill>
                  <pic:spPr>
                    <a:xfrm>
                      <a:off x="0" y="0"/>
                      <a:ext cx="5286205" cy="2106222"/>
                    </a:xfrm>
                    <a:prstGeom prst="rect">
                      <a:avLst/>
                    </a:prstGeom>
                    <a:noFill/>
                    <a:ln>
                      <a:noFill/>
                    </a:ln>
                  </pic:spPr>
                </pic:pic>
              </a:graphicData>
            </a:graphic>
          </wp:inline>
        </w:drawing>
      </w:r>
    </w:p>
    <w:p w14:paraId="74AF5923" w14:textId="77777777" w:rsidR="002A30D1" w:rsidRDefault="002A30D1" w:rsidP="002A30D1">
      <w:pPr>
        <w:jc w:val="both"/>
        <w:rPr>
          <w:lang w:val="en-US"/>
        </w:rPr>
      </w:pPr>
      <w:r>
        <w:rPr>
          <w:b/>
          <w:bCs/>
          <w:lang w:val="en-US"/>
        </w:rPr>
        <w:t>Figure S25.</w:t>
      </w:r>
      <w:r>
        <w:rPr>
          <w:lang w:val="en-US"/>
        </w:rPr>
        <w:t xml:space="preserve"> </w:t>
      </w:r>
      <w:r>
        <w:rPr>
          <w:b/>
          <w:bCs/>
          <w:lang w:val="en-US"/>
        </w:rPr>
        <w:t xml:space="preserve">ROS scavenging activity of SeMNPs under different conditions. </w:t>
      </w:r>
      <w:r>
        <w:rPr>
          <w:lang w:val="en-US"/>
        </w:rPr>
        <w:t xml:space="preserve">(A) 4 Gy </w:t>
      </w:r>
      <w:r>
        <w:t>γ</w:t>
      </w:r>
      <w:r>
        <w:rPr>
          <w:lang w:val="en-US"/>
        </w:rPr>
        <w:t xml:space="preserve">-ray irradiation, (B) 6 Gy </w:t>
      </w:r>
      <w:r>
        <w:t>γ</w:t>
      </w:r>
      <w:r>
        <w:rPr>
          <w:lang w:val="en-US"/>
        </w:rPr>
        <w:t xml:space="preserve">-ray irradiation, (C)50 </w:t>
      </w:r>
      <w:r>
        <w:t>μ</w:t>
      </w:r>
      <w:r>
        <w:rPr>
          <w:lang w:val="en-US"/>
        </w:rPr>
        <w:t>M H</w:t>
      </w:r>
      <w:r>
        <w:rPr>
          <w:vertAlign w:val="subscript"/>
          <w:lang w:val="en-US"/>
        </w:rPr>
        <w:t>2</w:t>
      </w:r>
      <w:r>
        <w:rPr>
          <w:lang w:val="en-US"/>
        </w:rPr>
        <w:t>O</w:t>
      </w:r>
      <w:r>
        <w:rPr>
          <w:vertAlign w:val="subscript"/>
          <w:lang w:val="en-US"/>
        </w:rPr>
        <w:t>2</w:t>
      </w:r>
      <w:r>
        <w:rPr>
          <w:lang w:val="en-US"/>
        </w:rPr>
        <w:t>. The fluorescence intensity of cells was monitored by a plate reader with excitation wavelength at 488 nm and emission wavelength at 525 nm. Error bars represent standard deviation from ≥ three experiments. NS means no statistical difference (</w:t>
      </w:r>
      <w:r>
        <w:rPr>
          <w:i/>
          <w:iCs/>
          <w:lang w:val="en-US"/>
        </w:rPr>
        <w:t xml:space="preserve">P </w:t>
      </w:r>
      <w:r>
        <w:rPr>
          <w:lang w:val="en-US"/>
        </w:rPr>
        <w:t>&gt; 0.05), *</w:t>
      </w:r>
      <w:r>
        <w:rPr>
          <w:i/>
          <w:iCs/>
          <w:lang w:val="en-US"/>
        </w:rPr>
        <w:t>P</w:t>
      </w:r>
      <w:r>
        <w:rPr>
          <w:lang w:val="en-US"/>
        </w:rPr>
        <w:t xml:space="preserve"> &lt; 0.05, **</w:t>
      </w:r>
      <w:r>
        <w:rPr>
          <w:i/>
          <w:iCs/>
          <w:lang w:val="en-US"/>
        </w:rPr>
        <w:t>P</w:t>
      </w:r>
      <w:r>
        <w:rPr>
          <w:lang w:val="en-US"/>
        </w:rPr>
        <w:t xml:space="preserve"> &lt; 10</w:t>
      </w:r>
      <w:r>
        <w:rPr>
          <w:vertAlign w:val="superscript"/>
          <w:lang w:val="en-US"/>
        </w:rPr>
        <w:t>−2</w:t>
      </w:r>
      <w:r>
        <w:rPr>
          <w:lang w:val="en-US"/>
        </w:rPr>
        <w:t>, with reference to no-NP-treated and non-irradiated control, determined by Student's two-tailed t test.</w:t>
      </w:r>
    </w:p>
    <w:p w14:paraId="05FB9BDD" w14:textId="77777777" w:rsidR="002A30D1" w:rsidRDefault="002A30D1" w:rsidP="002A30D1">
      <w:pPr>
        <w:jc w:val="both"/>
        <w:rPr>
          <w:lang w:val="en-US"/>
        </w:rPr>
      </w:pPr>
      <w:r>
        <w:rPr>
          <w:lang w:val="en-US"/>
        </w:rPr>
        <w:br w:type="page"/>
      </w:r>
    </w:p>
    <w:p w14:paraId="20972269" w14:textId="77777777" w:rsidR="002A30D1" w:rsidRDefault="002A30D1" w:rsidP="002A30D1">
      <w:pPr>
        <w:jc w:val="center"/>
      </w:pPr>
      <w:r>
        <w:rPr>
          <w:noProof/>
        </w:rPr>
        <w:lastRenderedPageBreak/>
        <w:drawing>
          <wp:inline distT="0" distB="0" distL="0" distR="0" wp14:anchorId="707269B5" wp14:editId="704E2C61">
            <wp:extent cx="4031615" cy="6220460"/>
            <wp:effectExtent l="0" t="0" r="6985" b="8890"/>
            <wp:docPr id="30944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180" name="图片 2"/>
                    <pic:cNvPicPr>
                      <a:picLocks noChangeAspect="1" noChangeArrowheads="1"/>
                    </pic:cNvPicPr>
                  </pic:nvPicPr>
                  <pic:blipFill>
                    <a:blip r:embed="rId32" cstate="hqprint"/>
                    <a:srcRect/>
                    <a:stretch>
                      <a:fillRect/>
                    </a:stretch>
                  </pic:blipFill>
                  <pic:spPr>
                    <a:xfrm>
                      <a:off x="0" y="0"/>
                      <a:ext cx="4032023" cy="6220800"/>
                    </a:xfrm>
                    <a:prstGeom prst="rect">
                      <a:avLst/>
                    </a:prstGeom>
                    <a:noFill/>
                    <a:ln>
                      <a:noFill/>
                    </a:ln>
                  </pic:spPr>
                </pic:pic>
              </a:graphicData>
            </a:graphic>
          </wp:inline>
        </w:drawing>
      </w:r>
    </w:p>
    <w:p w14:paraId="610FE7AA" w14:textId="77777777" w:rsidR="002A30D1" w:rsidRDefault="002A30D1" w:rsidP="002A30D1">
      <w:pPr>
        <w:jc w:val="both"/>
      </w:pPr>
      <w:r>
        <w:rPr>
          <w:b/>
          <w:bCs/>
          <w:lang w:val="en-US"/>
        </w:rPr>
        <w:t xml:space="preserve">Figure S26. </w:t>
      </w:r>
      <w:bookmarkStart w:id="36" w:name="_Hlk163203665"/>
      <w:r>
        <w:rPr>
          <w:b/>
          <w:bCs/>
          <w:lang w:val="en-US"/>
        </w:rPr>
        <w:t>CLSM images of live cells treated with 6 Gy irradiation and 0.004 mg mL</w:t>
      </w:r>
      <w:r>
        <w:rPr>
          <w:b/>
          <w:bCs/>
          <w:vertAlign w:val="superscript"/>
          <w:lang w:val="en-US"/>
        </w:rPr>
        <w:t>-1</w:t>
      </w:r>
      <w:r>
        <w:rPr>
          <w:b/>
          <w:bCs/>
          <w:lang w:val="en-US"/>
        </w:rPr>
        <w:t xml:space="preserve"> SeMNPs. </w:t>
      </w:r>
      <w:r>
        <w:rPr>
          <w:lang w:val="en-US"/>
        </w:rPr>
        <w:t>DCF-DA ROS-positive signal (green). Cell nuclei were stained with Hoechst 33342 (blue).</w:t>
      </w:r>
      <w:bookmarkEnd w:id="36"/>
      <w:r>
        <w:rPr>
          <w:lang w:val="en-US"/>
        </w:rPr>
        <w:t xml:space="preserve"> ROS probe scan excitation wavelength: 486 nm. Detection Wavelength: 510-550 nm. Hoechst 33342 scan excitation wavelength: 405 nm. </w:t>
      </w:r>
      <w:r>
        <w:t>Detection Wavelength: 420-480 nm.</w:t>
      </w:r>
    </w:p>
    <w:p w14:paraId="3A375693" w14:textId="77777777" w:rsidR="002A30D1" w:rsidRDefault="002A30D1" w:rsidP="002A30D1">
      <w:pPr>
        <w:jc w:val="both"/>
      </w:pPr>
      <w:r>
        <w:br w:type="page"/>
      </w:r>
    </w:p>
    <w:p w14:paraId="78011BDE" w14:textId="77777777" w:rsidR="002A30D1" w:rsidRDefault="002A30D1" w:rsidP="002A30D1">
      <w:pPr>
        <w:jc w:val="center"/>
      </w:pPr>
      <w:r>
        <w:rPr>
          <w:noProof/>
        </w:rPr>
        <w:lastRenderedPageBreak/>
        <w:drawing>
          <wp:inline distT="0" distB="0" distL="0" distR="0" wp14:anchorId="0209672C" wp14:editId="3DC7C60C">
            <wp:extent cx="4166235" cy="6035040"/>
            <wp:effectExtent l="0" t="0" r="5715" b="3810"/>
            <wp:docPr id="17670044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04453" name="图片 3"/>
                    <pic:cNvPicPr>
                      <a:picLocks noChangeAspect="1" noChangeArrowheads="1"/>
                    </pic:cNvPicPr>
                  </pic:nvPicPr>
                  <pic:blipFill>
                    <a:blip r:embed="rId33" cstate="hqprint"/>
                    <a:srcRect/>
                    <a:stretch>
                      <a:fillRect/>
                    </a:stretch>
                  </pic:blipFill>
                  <pic:spPr>
                    <a:xfrm>
                      <a:off x="0" y="0"/>
                      <a:ext cx="4166489" cy="6035408"/>
                    </a:xfrm>
                    <a:prstGeom prst="rect">
                      <a:avLst/>
                    </a:prstGeom>
                    <a:noFill/>
                    <a:ln>
                      <a:noFill/>
                    </a:ln>
                  </pic:spPr>
                </pic:pic>
              </a:graphicData>
            </a:graphic>
          </wp:inline>
        </w:drawing>
      </w:r>
    </w:p>
    <w:p w14:paraId="5D970503" w14:textId="77777777" w:rsidR="002A30D1" w:rsidRDefault="002A30D1" w:rsidP="002A30D1">
      <w:pPr>
        <w:jc w:val="both"/>
      </w:pPr>
      <w:r>
        <w:rPr>
          <w:b/>
          <w:bCs/>
          <w:lang w:val="en-US"/>
        </w:rPr>
        <w:t>Figure S27. CLSM images of live cells treated with 6 Gy irradiation and 0.004 mg mL</w:t>
      </w:r>
      <w:r>
        <w:rPr>
          <w:b/>
          <w:bCs/>
          <w:vertAlign w:val="superscript"/>
          <w:lang w:val="en-US"/>
        </w:rPr>
        <w:t>-1</w:t>
      </w:r>
      <w:r>
        <w:rPr>
          <w:b/>
          <w:bCs/>
          <w:lang w:val="en-US"/>
        </w:rPr>
        <w:t xml:space="preserve"> SeMNPs. </w:t>
      </w:r>
      <w:r>
        <w:rPr>
          <w:lang w:val="en-US"/>
        </w:rPr>
        <w:t>BDP C11 lipid peroxidation-positive signal (green). Cell nuclei were stained with Hoechst 33342 (blue).</w:t>
      </w:r>
      <w:r>
        <w:rPr>
          <w:b/>
          <w:bCs/>
          <w:lang w:val="en-US"/>
        </w:rPr>
        <w:t xml:space="preserve"> </w:t>
      </w:r>
      <w:r>
        <w:rPr>
          <w:lang w:val="en-US"/>
        </w:rPr>
        <w:t xml:space="preserve">Lipid peroxidation probe scan excitation wavelength: 488 nm. Detection Wavelength: 510-550 nm. </w:t>
      </w:r>
      <w:r>
        <w:t>Hoechst 33342 scan excitation wavelength: 405 nm. Detection Wavelength: 420-480 nm.</w:t>
      </w:r>
    </w:p>
    <w:p w14:paraId="05A83D8D" w14:textId="77777777" w:rsidR="002A30D1" w:rsidRDefault="002A30D1" w:rsidP="002A30D1">
      <w:pPr>
        <w:jc w:val="both"/>
      </w:pPr>
    </w:p>
    <w:p w14:paraId="224E0E8F" w14:textId="77777777" w:rsidR="002A30D1" w:rsidRDefault="002A30D1" w:rsidP="002A30D1">
      <w:pPr>
        <w:jc w:val="both"/>
      </w:pPr>
    </w:p>
    <w:p w14:paraId="2791509A" w14:textId="77777777" w:rsidR="002A30D1" w:rsidRDefault="002A30D1" w:rsidP="002A30D1">
      <w:pPr>
        <w:jc w:val="both"/>
        <w:rPr>
          <w:b/>
          <w:bCs/>
        </w:rPr>
      </w:pPr>
      <w:r>
        <w:rPr>
          <w:b/>
          <w:bCs/>
        </w:rPr>
        <w:br w:type="page"/>
      </w:r>
    </w:p>
    <w:p w14:paraId="0CCDF6D2" w14:textId="77777777" w:rsidR="002A30D1" w:rsidRDefault="002A30D1" w:rsidP="002A30D1">
      <w:pPr>
        <w:jc w:val="center"/>
        <w:rPr>
          <w:b/>
          <w:bCs/>
          <w:highlight w:val="yellow"/>
        </w:rPr>
      </w:pPr>
      <w:r>
        <w:rPr>
          <w:b/>
          <w:bCs/>
          <w:noProof/>
        </w:rPr>
        <w:lastRenderedPageBreak/>
        <w:drawing>
          <wp:inline distT="0" distB="0" distL="0" distR="0" wp14:anchorId="340583A5" wp14:editId="52980DC8">
            <wp:extent cx="5340985" cy="3699510"/>
            <wp:effectExtent l="0" t="0" r="0" b="0"/>
            <wp:docPr id="1913969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69678" name="图片 1"/>
                    <pic:cNvPicPr>
                      <a:picLocks noChangeAspect="1" noChangeArrowheads="1"/>
                    </pic:cNvPicPr>
                  </pic:nvPicPr>
                  <pic:blipFill>
                    <a:blip r:embed="rId34" cstate="hqprint"/>
                    <a:srcRect/>
                    <a:stretch>
                      <a:fillRect/>
                    </a:stretch>
                  </pic:blipFill>
                  <pic:spPr>
                    <a:xfrm>
                      <a:off x="0" y="0"/>
                      <a:ext cx="5349562" cy="3705584"/>
                    </a:xfrm>
                    <a:prstGeom prst="rect">
                      <a:avLst/>
                    </a:prstGeom>
                    <a:noFill/>
                    <a:ln>
                      <a:noFill/>
                    </a:ln>
                  </pic:spPr>
                </pic:pic>
              </a:graphicData>
            </a:graphic>
          </wp:inline>
        </w:drawing>
      </w:r>
    </w:p>
    <w:p w14:paraId="548285B8" w14:textId="77777777" w:rsidR="002A30D1" w:rsidRDefault="002A30D1" w:rsidP="002A30D1">
      <w:pPr>
        <w:jc w:val="both"/>
      </w:pPr>
      <w:r>
        <w:rPr>
          <w:b/>
          <w:bCs/>
          <w:lang w:val="en-US"/>
        </w:rPr>
        <w:t xml:space="preserve">Figure S28. Volcano plots of </w:t>
      </w:r>
      <w:bookmarkStart w:id="37" w:name="_Hlk165682272"/>
      <w:r>
        <w:rPr>
          <w:b/>
          <w:bCs/>
          <w:lang w:val="en-US"/>
        </w:rPr>
        <w:t>differentially expressed genes</w:t>
      </w:r>
      <w:bookmarkEnd w:id="37"/>
      <w:r>
        <w:rPr>
          <w:b/>
          <w:bCs/>
          <w:lang w:val="en-US"/>
        </w:rPr>
        <w:t xml:space="preserve"> (DEGs). </w:t>
      </w:r>
      <w:bookmarkStart w:id="38" w:name="OLE_LINK11"/>
      <w:r>
        <w:rPr>
          <w:lang w:val="en-US"/>
        </w:rPr>
        <w:t>Volcano plots of DEG for (</w:t>
      </w:r>
      <w:bookmarkStart w:id="39" w:name="_Hlk165460643"/>
      <w:r>
        <w:rPr>
          <w:lang w:val="en-US"/>
        </w:rPr>
        <w:t xml:space="preserve">A) </w:t>
      </w:r>
      <w:r>
        <w:t>γ</w:t>
      </w:r>
      <w:r>
        <w:rPr>
          <w:lang w:val="en-US"/>
        </w:rPr>
        <w:t xml:space="preserve">-ray versus Control, (B) </w:t>
      </w:r>
      <w:r>
        <w:t>γ</w:t>
      </w:r>
      <w:r>
        <w:rPr>
          <w:lang w:val="en-US"/>
        </w:rPr>
        <w:t xml:space="preserve">-ray+SeMNPs-1 versus Control, (C) </w:t>
      </w:r>
      <w:r>
        <w:t>γ</w:t>
      </w:r>
      <w:r>
        <w:rPr>
          <w:lang w:val="en-US"/>
        </w:rPr>
        <w:t xml:space="preserve">-ray+SeMNPs-2 versus Control and (D) </w:t>
      </w:r>
      <w:r>
        <w:t>γ</w:t>
      </w:r>
      <w:r>
        <w:rPr>
          <w:lang w:val="en-US"/>
        </w:rPr>
        <w:t>-ray+SeMNPs-4 versus Control.</w:t>
      </w:r>
      <w:bookmarkEnd w:id="38"/>
      <w:bookmarkEnd w:id="39"/>
      <w:r>
        <w:rPr>
          <w:lang w:val="en-US"/>
        </w:rPr>
        <w:t xml:space="preserve"> Differentially expressed genes are defined with |log2FC| ≥ 0.25 and Q value ≤ 10</w:t>
      </w:r>
      <w:r>
        <w:rPr>
          <w:vertAlign w:val="superscript"/>
          <w:lang w:val="en-US"/>
        </w:rPr>
        <w:t>−4</w:t>
      </w:r>
      <w:r>
        <w:rPr>
          <w:lang w:val="en-US"/>
        </w:rPr>
        <w:t xml:space="preserve">. </w:t>
      </w:r>
      <w:r>
        <w:t xml:space="preserve">Data are from three independent experiments. </w:t>
      </w:r>
    </w:p>
    <w:p w14:paraId="2E50BCDC" w14:textId="77777777" w:rsidR="002A30D1" w:rsidRDefault="002A30D1" w:rsidP="002A30D1">
      <w:pPr>
        <w:jc w:val="both"/>
        <w:rPr>
          <w:b/>
          <w:bCs/>
        </w:rPr>
      </w:pPr>
      <w:r>
        <w:rPr>
          <w:b/>
          <w:bCs/>
        </w:rPr>
        <w:br w:type="page"/>
      </w:r>
    </w:p>
    <w:p w14:paraId="6A6A15AB" w14:textId="77777777" w:rsidR="002A30D1" w:rsidRDefault="002A30D1" w:rsidP="002A30D1">
      <w:pPr>
        <w:jc w:val="center"/>
        <w:rPr>
          <w:b/>
          <w:bCs/>
        </w:rPr>
      </w:pPr>
      <w:r>
        <w:rPr>
          <w:b/>
          <w:bCs/>
          <w:noProof/>
        </w:rPr>
        <w:lastRenderedPageBreak/>
        <w:drawing>
          <wp:inline distT="0" distB="0" distL="0" distR="0" wp14:anchorId="2E559E61" wp14:editId="25A9B838">
            <wp:extent cx="3970020" cy="3293745"/>
            <wp:effectExtent l="0" t="0" r="0" b="1905"/>
            <wp:docPr id="10200309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30998" name="图片 2"/>
                    <pic:cNvPicPr>
                      <a:picLocks noChangeAspect="1" noChangeArrowheads="1"/>
                    </pic:cNvPicPr>
                  </pic:nvPicPr>
                  <pic:blipFill>
                    <a:blip r:embed="rId35" cstate="hqprint"/>
                    <a:srcRect/>
                    <a:stretch>
                      <a:fillRect/>
                    </a:stretch>
                  </pic:blipFill>
                  <pic:spPr>
                    <a:xfrm>
                      <a:off x="0" y="0"/>
                      <a:ext cx="3975697" cy="3298886"/>
                    </a:xfrm>
                    <a:prstGeom prst="rect">
                      <a:avLst/>
                    </a:prstGeom>
                    <a:noFill/>
                    <a:ln>
                      <a:noFill/>
                    </a:ln>
                  </pic:spPr>
                </pic:pic>
              </a:graphicData>
            </a:graphic>
          </wp:inline>
        </w:drawing>
      </w:r>
    </w:p>
    <w:p w14:paraId="02CE217C" w14:textId="77777777" w:rsidR="002A30D1" w:rsidRDefault="002A30D1" w:rsidP="002A30D1">
      <w:pPr>
        <w:jc w:val="both"/>
      </w:pPr>
      <w:r>
        <w:rPr>
          <w:b/>
          <w:bCs/>
          <w:lang w:val="en-US"/>
        </w:rPr>
        <w:t>Figure S29. Venn diagrams created from mRNA sequencing data.</w:t>
      </w:r>
      <w:r>
        <w:rPr>
          <w:lang w:val="en-US"/>
        </w:rPr>
        <w:t xml:space="preserve"> (A) </w:t>
      </w:r>
      <w:r>
        <w:t>γ</w:t>
      </w:r>
      <w:r>
        <w:rPr>
          <w:lang w:val="en-US"/>
        </w:rPr>
        <w:t>-ray versus Control∩</w:t>
      </w:r>
      <w:r>
        <w:t>γ</w:t>
      </w:r>
      <w:r>
        <w:rPr>
          <w:lang w:val="en-US"/>
        </w:rPr>
        <w:t xml:space="preserve">-ray+SeMNPs-1 versus Control. (B) </w:t>
      </w:r>
      <w:r>
        <w:t>γ</w:t>
      </w:r>
      <w:r>
        <w:rPr>
          <w:lang w:val="en-US"/>
        </w:rPr>
        <w:t>-ray versus Control∩</w:t>
      </w:r>
      <w:r>
        <w:t>γ</w:t>
      </w:r>
      <w:r>
        <w:rPr>
          <w:lang w:val="en-US"/>
        </w:rPr>
        <w:t xml:space="preserve">-ray+SeMNPs-2 versus Control versus Ctrl. (C) </w:t>
      </w:r>
      <w:r>
        <w:t>γ</w:t>
      </w:r>
      <w:r>
        <w:rPr>
          <w:lang w:val="en-US"/>
        </w:rPr>
        <w:t>-ray versus Control∩</w:t>
      </w:r>
      <w:r>
        <w:t>γ</w:t>
      </w:r>
      <w:r>
        <w:rPr>
          <w:lang w:val="en-US"/>
        </w:rPr>
        <w:t xml:space="preserve">-ray+SeMNPs-4 versus Control. </w:t>
      </w:r>
      <w:r>
        <w:rPr>
          <w:rFonts w:eastAsia="宋体"/>
          <w:lang w:val="en-US"/>
        </w:rPr>
        <w:t>Differentially expressed g</w:t>
      </w:r>
      <w:r>
        <w:rPr>
          <w:lang w:val="en-US"/>
        </w:rPr>
        <w:t>enes are satisfying with |log2FC| ≥ 0.25 and Q value ≤ 10</w:t>
      </w:r>
      <w:r>
        <w:rPr>
          <w:vertAlign w:val="superscript"/>
          <w:lang w:val="en-US"/>
        </w:rPr>
        <w:t>−4</w:t>
      </w:r>
      <w:r>
        <w:rPr>
          <w:lang w:val="en-US"/>
        </w:rPr>
        <w:t xml:space="preserve">. </w:t>
      </w:r>
      <w:r>
        <w:t xml:space="preserve">Data are from three independent experiments. </w:t>
      </w:r>
    </w:p>
    <w:p w14:paraId="38E735CA" w14:textId="77777777" w:rsidR="002A30D1" w:rsidRDefault="002A30D1" w:rsidP="002A30D1">
      <w:pPr>
        <w:jc w:val="both"/>
        <w:rPr>
          <w:b/>
          <w:bCs/>
        </w:rPr>
      </w:pPr>
      <w:r>
        <w:rPr>
          <w:b/>
          <w:bCs/>
        </w:rPr>
        <w:br w:type="page"/>
      </w:r>
    </w:p>
    <w:p w14:paraId="19075284" w14:textId="77777777" w:rsidR="002A30D1" w:rsidRDefault="002A30D1" w:rsidP="002A30D1">
      <w:pPr>
        <w:jc w:val="center"/>
        <w:rPr>
          <w:b/>
          <w:bCs/>
        </w:rPr>
      </w:pPr>
      <w:r>
        <w:rPr>
          <w:b/>
          <w:bCs/>
          <w:noProof/>
        </w:rPr>
        <w:lastRenderedPageBreak/>
        <w:drawing>
          <wp:inline distT="0" distB="0" distL="0" distR="0" wp14:anchorId="7B0D1308" wp14:editId="3FA0202E">
            <wp:extent cx="5267960" cy="4801235"/>
            <wp:effectExtent l="0" t="0" r="8890" b="0"/>
            <wp:docPr id="8281845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84597" name="图片 2"/>
                    <pic:cNvPicPr>
                      <a:picLocks noChangeAspect="1" noChangeArrowheads="1"/>
                    </pic:cNvPicPr>
                  </pic:nvPicPr>
                  <pic:blipFill>
                    <a:blip r:embed="rId36" cstate="hqprint"/>
                    <a:srcRect/>
                    <a:stretch>
                      <a:fillRect/>
                    </a:stretch>
                  </pic:blipFill>
                  <pic:spPr>
                    <a:xfrm>
                      <a:off x="0" y="0"/>
                      <a:ext cx="5279803" cy="4812225"/>
                    </a:xfrm>
                    <a:prstGeom prst="rect">
                      <a:avLst/>
                    </a:prstGeom>
                    <a:noFill/>
                    <a:ln>
                      <a:noFill/>
                    </a:ln>
                  </pic:spPr>
                </pic:pic>
              </a:graphicData>
            </a:graphic>
          </wp:inline>
        </w:drawing>
      </w:r>
    </w:p>
    <w:p w14:paraId="48F54B0C" w14:textId="77777777" w:rsidR="002A30D1" w:rsidRDefault="002A30D1" w:rsidP="002A30D1">
      <w:pPr>
        <w:jc w:val="both"/>
        <w:rPr>
          <w:lang w:val="en-US"/>
        </w:rPr>
      </w:pPr>
      <w:r>
        <w:rPr>
          <w:b/>
          <w:bCs/>
          <w:lang w:val="en-US"/>
        </w:rPr>
        <w:t xml:space="preserve">Figure S30. Go biological process (BP) enrichment bubble charts of DEGs. </w:t>
      </w:r>
      <w:bookmarkStart w:id="40" w:name="OLE_LINK32"/>
      <w:r>
        <w:rPr>
          <w:lang w:val="en-US"/>
        </w:rPr>
        <w:t xml:space="preserve">(A) </w:t>
      </w:r>
      <w:r>
        <w:t>γ</w:t>
      </w:r>
      <w:r>
        <w:rPr>
          <w:lang w:val="en-US"/>
        </w:rPr>
        <w:t xml:space="preserve">-ray </w:t>
      </w:r>
      <w:r>
        <w:rPr>
          <w:i/>
          <w:iCs/>
          <w:lang w:val="en-US"/>
        </w:rPr>
        <w:t>vs.</w:t>
      </w:r>
      <w:r>
        <w:rPr>
          <w:lang w:val="en-US"/>
        </w:rPr>
        <w:t xml:space="preserve"> Control. (B) </w:t>
      </w:r>
      <w:r>
        <w:t>γ</w:t>
      </w:r>
      <w:r>
        <w:rPr>
          <w:lang w:val="en-US"/>
        </w:rPr>
        <w:t xml:space="preserve">-ray+SeMNPs-1 </w:t>
      </w:r>
      <w:r>
        <w:rPr>
          <w:i/>
          <w:iCs/>
          <w:lang w:val="en-US"/>
        </w:rPr>
        <w:t>vs.</w:t>
      </w:r>
      <w:r>
        <w:rPr>
          <w:lang w:val="en-US"/>
        </w:rPr>
        <w:t xml:space="preserve"> </w:t>
      </w:r>
      <w:r>
        <w:t>γ</w:t>
      </w:r>
      <w:r>
        <w:rPr>
          <w:lang w:val="en-US"/>
        </w:rPr>
        <w:t xml:space="preserve">-ray. (C) </w:t>
      </w:r>
      <w:r>
        <w:t>γ</w:t>
      </w:r>
      <w:r>
        <w:rPr>
          <w:lang w:val="en-US"/>
        </w:rPr>
        <w:t xml:space="preserve">-ray+SeMNPs-2 </w:t>
      </w:r>
      <w:r>
        <w:rPr>
          <w:i/>
          <w:iCs/>
          <w:lang w:val="en-US"/>
        </w:rPr>
        <w:t>vs.</w:t>
      </w:r>
      <w:r>
        <w:rPr>
          <w:lang w:val="en-US"/>
        </w:rPr>
        <w:t xml:space="preserve"> </w:t>
      </w:r>
      <w:r>
        <w:t>γ</w:t>
      </w:r>
      <w:r>
        <w:rPr>
          <w:lang w:val="en-US"/>
        </w:rPr>
        <w:t xml:space="preserve">-ray. (D) </w:t>
      </w:r>
      <w:r>
        <w:t>γ</w:t>
      </w:r>
      <w:r>
        <w:rPr>
          <w:lang w:val="en-US"/>
        </w:rPr>
        <w:t xml:space="preserve">-ray+SeMNPs-4 </w:t>
      </w:r>
      <w:r>
        <w:rPr>
          <w:i/>
          <w:iCs/>
          <w:lang w:val="en-US"/>
        </w:rPr>
        <w:t>vs.</w:t>
      </w:r>
      <w:r>
        <w:rPr>
          <w:lang w:val="en-US"/>
        </w:rPr>
        <w:t xml:space="preserve"> </w:t>
      </w:r>
      <w:r>
        <w:t>γ</w:t>
      </w:r>
      <w:r>
        <w:rPr>
          <w:lang w:val="en-US"/>
        </w:rPr>
        <w:t>-ray.</w:t>
      </w:r>
      <w:bookmarkEnd w:id="40"/>
      <w:r>
        <w:rPr>
          <w:lang w:val="en-US"/>
        </w:rPr>
        <w:t xml:space="preserve"> Enrichment analyses were performed using the </w:t>
      </w:r>
      <w:proofErr w:type="spellStart"/>
      <w:r>
        <w:rPr>
          <w:lang w:val="en-US"/>
        </w:rPr>
        <w:t>phyper</w:t>
      </w:r>
      <w:proofErr w:type="spellEnd"/>
      <w:r>
        <w:rPr>
          <w:lang w:val="en-US"/>
        </w:rPr>
        <w:t xml:space="preserve"> function in the R software based on the GO BP annotation classification, calculating </w:t>
      </w:r>
      <w:r>
        <w:rPr>
          <w:i/>
          <w:iCs/>
          <w:lang w:val="en-US"/>
        </w:rPr>
        <w:t>P</w:t>
      </w:r>
      <w:r>
        <w:rPr>
          <w:lang w:val="en-US"/>
        </w:rPr>
        <w:t xml:space="preserve"> value, and then applying a false discovery rate (FDR) correction to </w:t>
      </w:r>
      <w:r>
        <w:rPr>
          <w:i/>
          <w:iCs/>
          <w:lang w:val="en-US"/>
        </w:rPr>
        <w:t>P</w:t>
      </w:r>
      <w:r>
        <w:rPr>
          <w:lang w:val="en-US"/>
        </w:rPr>
        <w:t xml:space="preserve"> value to obtain Q value, which is usually considered to be significantly enriched as a function of Q value ≤ 0.05.</w:t>
      </w:r>
    </w:p>
    <w:p w14:paraId="054CF4F0" w14:textId="77777777" w:rsidR="002A30D1" w:rsidRDefault="002A30D1" w:rsidP="002A30D1">
      <w:pPr>
        <w:jc w:val="both"/>
        <w:rPr>
          <w:lang w:val="en-US"/>
        </w:rPr>
      </w:pPr>
      <w:r>
        <w:rPr>
          <w:lang w:val="en-US"/>
        </w:rPr>
        <w:br w:type="page"/>
      </w:r>
    </w:p>
    <w:p w14:paraId="745D4C0A" w14:textId="77777777" w:rsidR="002A30D1" w:rsidRDefault="002A30D1" w:rsidP="002A30D1">
      <w:pPr>
        <w:jc w:val="center"/>
      </w:pPr>
      <w:r>
        <w:rPr>
          <w:noProof/>
        </w:rPr>
        <w:lastRenderedPageBreak/>
        <w:drawing>
          <wp:inline distT="0" distB="0" distL="0" distR="0" wp14:anchorId="7CFF4B5D" wp14:editId="68FB3A00">
            <wp:extent cx="5215255" cy="4484370"/>
            <wp:effectExtent l="0" t="0" r="4445" b="0"/>
            <wp:docPr id="18234476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47603" name="图片 3"/>
                    <pic:cNvPicPr>
                      <a:picLocks noChangeAspect="1" noChangeArrowheads="1"/>
                    </pic:cNvPicPr>
                  </pic:nvPicPr>
                  <pic:blipFill>
                    <a:blip r:embed="rId37" cstate="hqprint"/>
                    <a:srcRect/>
                    <a:stretch>
                      <a:fillRect/>
                    </a:stretch>
                  </pic:blipFill>
                  <pic:spPr>
                    <a:xfrm>
                      <a:off x="0" y="0"/>
                      <a:ext cx="5227944" cy="4495348"/>
                    </a:xfrm>
                    <a:prstGeom prst="rect">
                      <a:avLst/>
                    </a:prstGeom>
                    <a:noFill/>
                    <a:ln>
                      <a:noFill/>
                    </a:ln>
                  </pic:spPr>
                </pic:pic>
              </a:graphicData>
            </a:graphic>
          </wp:inline>
        </w:drawing>
      </w:r>
    </w:p>
    <w:p w14:paraId="3A3B05F5" w14:textId="77777777" w:rsidR="002A30D1" w:rsidRDefault="002A30D1" w:rsidP="002A30D1">
      <w:pPr>
        <w:jc w:val="both"/>
        <w:rPr>
          <w:lang w:val="en-US"/>
        </w:rPr>
      </w:pPr>
      <w:r>
        <w:rPr>
          <w:b/>
          <w:bCs/>
          <w:lang w:val="en-US"/>
        </w:rPr>
        <w:t xml:space="preserve">Figure S31. Go biological process (BP) enrichment bubble charts of up-regulated genes. </w:t>
      </w:r>
      <w:r>
        <w:rPr>
          <w:lang w:val="en-US"/>
        </w:rPr>
        <w:t xml:space="preserve">(A) </w:t>
      </w:r>
      <w:r>
        <w:t>γ</w:t>
      </w:r>
      <w:r>
        <w:rPr>
          <w:lang w:val="en-US"/>
        </w:rPr>
        <w:t xml:space="preserve">-ray </w:t>
      </w:r>
      <w:r>
        <w:rPr>
          <w:i/>
          <w:iCs/>
          <w:lang w:val="en-US"/>
        </w:rPr>
        <w:t>vs.</w:t>
      </w:r>
      <w:r>
        <w:rPr>
          <w:lang w:val="en-US"/>
        </w:rPr>
        <w:t xml:space="preserve"> Control. (B) </w:t>
      </w:r>
      <w:r>
        <w:t>γ</w:t>
      </w:r>
      <w:r>
        <w:rPr>
          <w:lang w:val="en-US"/>
        </w:rPr>
        <w:t xml:space="preserve">-ray+SeMNPs-1 </w:t>
      </w:r>
      <w:r>
        <w:rPr>
          <w:i/>
          <w:iCs/>
          <w:lang w:val="en-US"/>
        </w:rPr>
        <w:t>vs.</w:t>
      </w:r>
      <w:r>
        <w:rPr>
          <w:lang w:val="en-US"/>
        </w:rPr>
        <w:t xml:space="preserve"> </w:t>
      </w:r>
      <w:r>
        <w:t>γ</w:t>
      </w:r>
      <w:r>
        <w:rPr>
          <w:lang w:val="en-US"/>
        </w:rPr>
        <w:t xml:space="preserve">-ray. (C) </w:t>
      </w:r>
      <w:r>
        <w:t>γ</w:t>
      </w:r>
      <w:r>
        <w:rPr>
          <w:lang w:val="en-US"/>
        </w:rPr>
        <w:t xml:space="preserve">-ray+SeMNPs-2 </w:t>
      </w:r>
      <w:r>
        <w:rPr>
          <w:i/>
          <w:iCs/>
          <w:lang w:val="en-US"/>
        </w:rPr>
        <w:t>vs.</w:t>
      </w:r>
      <w:r>
        <w:rPr>
          <w:lang w:val="en-US"/>
        </w:rPr>
        <w:t xml:space="preserve"> </w:t>
      </w:r>
      <w:r>
        <w:t>γ</w:t>
      </w:r>
      <w:r>
        <w:rPr>
          <w:lang w:val="en-US"/>
        </w:rPr>
        <w:t xml:space="preserve">-ray. (D) </w:t>
      </w:r>
      <w:r>
        <w:t>γ</w:t>
      </w:r>
      <w:r>
        <w:rPr>
          <w:lang w:val="en-US"/>
        </w:rPr>
        <w:t xml:space="preserve">-ray+SeMNPs-4 </w:t>
      </w:r>
      <w:r>
        <w:rPr>
          <w:i/>
          <w:iCs/>
          <w:lang w:val="en-US"/>
        </w:rPr>
        <w:t>vs.</w:t>
      </w:r>
      <w:r>
        <w:rPr>
          <w:lang w:val="en-US"/>
        </w:rPr>
        <w:t xml:space="preserve"> </w:t>
      </w:r>
      <w:r>
        <w:t>γ</w:t>
      </w:r>
      <w:r>
        <w:rPr>
          <w:lang w:val="en-US"/>
        </w:rPr>
        <w:t xml:space="preserve">-ray. Enrichment analyses were performed using the </w:t>
      </w:r>
      <w:proofErr w:type="spellStart"/>
      <w:r>
        <w:rPr>
          <w:lang w:val="en-US"/>
        </w:rPr>
        <w:t>phyper</w:t>
      </w:r>
      <w:proofErr w:type="spellEnd"/>
      <w:r>
        <w:rPr>
          <w:lang w:val="en-US"/>
        </w:rPr>
        <w:t xml:space="preserve"> function in the R software based on the GO BP annotation classification, calculating </w:t>
      </w:r>
      <w:r>
        <w:rPr>
          <w:i/>
          <w:iCs/>
          <w:lang w:val="en-US"/>
        </w:rPr>
        <w:t>P</w:t>
      </w:r>
      <w:r>
        <w:rPr>
          <w:lang w:val="en-US"/>
        </w:rPr>
        <w:t xml:space="preserve"> value, and then applying a false discovery rate (FDR) correction to </w:t>
      </w:r>
      <w:r>
        <w:rPr>
          <w:i/>
          <w:iCs/>
          <w:lang w:val="en-US"/>
        </w:rPr>
        <w:t>P</w:t>
      </w:r>
      <w:r>
        <w:rPr>
          <w:lang w:val="en-US"/>
        </w:rPr>
        <w:t xml:space="preserve"> value to obtain Q value, which is usually considered to be significantly enriched as a function of Q value ≤ 0.05.</w:t>
      </w:r>
    </w:p>
    <w:p w14:paraId="05605842" w14:textId="77777777" w:rsidR="002A30D1" w:rsidRDefault="002A30D1" w:rsidP="002A30D1">
      <w:pPr>
        <w:jc w:val="both"/>
        <w:rPr>
          <w:lang w:val="en-US"/>
        </w:rPr>
      </w:pPr>
      <w:r>
        <w:rPr>
          <w:lang w:val="en-US"/>
        </w:rPr>
        <w:br w:type="page"/>
      </w:r>
    </w:p>
    <w:p w14:paraId="5C267DB1" w14:textId="77777777" w:rsidR="002A30D1" w:rsidRDefault="002A30D1" w:rsidP="002A30D1">
      <w:pPr>
        <w:jc w:val="center"/>
      </w:pPr>
      <w:r>
        <w:rPr>
          <w:noProof/>
        </w:rPr>
        <w:lastRenderedPageBreak/>
        <w:drawing>
          <wp:inline distT="0" distB="0" distL="0" distR="0" wp14:anchorId="08ECFEBA" wp14:editId="06F4C831">
            <wp:extent cx="5253990" cy="4508500"/>
            <wp:effectExtent l="0" t="0" r="3810" b="6350"/>
            <wp:docPr id="13853306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30682" name="图片 4"/>
                    <pic:cNvPicPr>
                      <a:picLocks noChangeAspect="1" noChangeArrowheads="1"/>
                    </pic:cNvPicPr>
                  </pic:nvPicPr>
                  <pic:blipFill>
                    <a:blip r:embed="rId38" cstate="hqprint"/>
                    <a:srcRect/>
                    <a:stretch>
                      <a:fillRect/>
                    </a:stretch>
                  </pic:blipFill>
                  <pic:spPr>
                    <a:xfrm>
                      <a:off x="0" y="0"/>
                      <a:ext cx="5266812" cy="4519745"/>
                    </a:xfrm>
                    <a:prstGeom prst="rect">
                      <a:avLst/>
                    </a:prstGeom>
                    <a:noFill/>
                    <a:ln>
                      <a:noFill/>
                    </a:ln>
                  </pic:spPr>
                </pic:pic>
              </a:graphicData>
            </a:graphic>
          </wp:inline>
        </w:drawing>
      </w:r>
    </w:p>
    <w:p w14:paraId="4BB0E576" w14:textId="77777777" w:rsidR="002A30D1" w:rsidRDefault="002A30D1" w:rsidP="002A30D1">
      <w:pPr>
        <w:jc w:val="both"/>
        <w:rPr>
          <w:lang w:val="en-US"/>
        </w:rPr>
      </w:pPr>
      <w:r>
        <w:rPr>
          <w:b/>
          <w:bCs/>
          <w:lang w:val="en-US"/>
        </w:rPr>
        <w:t xml:space="preserve">Figure S32. Go biological process (BP) enrichment bubble charts of down-regulated genes. </w:t>
      </w:r>
      <w:r>
        <w:rPr>
          <w:lang w:val="en-US"/>
        </w:rPr>
        <w:t xml:space="preserve">(A) </w:t>
      </w:r>
      <w:r>
        <w:t>γ</w:t>
      </w:r>
      <w:r>
        <w:rPr>
          <w:lang w:val="en-US"/>
        </w:rPr>
        <w:t xml:space="preserve">-ray </w:t>
      </w:r>
      <w:r>
        <w:rPr>
          <w:i/>
          <w:iCs/>
          <w:lang w:val="en-US"/>
        </w:rPr>
        <w:t>vs.</w:t>
      </w:r>
      <w:r>
        <w:rPr>
          <w:lang w:val="en-US"/>
        </w:rPr>
        <w:t xml:space="preserve"> Control. (B) </w:t>
      </w:r>
      <w:r>
        <w:t>γ</w:t>
      </w:r>
      <w:r>
        <w:rPr>
          <w:lang w:val="en-US"/>
        </w:rPr>
        <w:t xml:space="preserve">-ray+SeMNPs-1 </w:t>
      </w:r>
      <w:r>
        <w:rPr>
          <w:i/>
          <w:iCs/>
          <w:lang w:val="en-US"/>
        </w:rPr>
        <w:t>vs.</w:t>
      </w:r>
      <w:r>
        <w:rPr>
          <w:lang w:val="en-US"/>
        </w:rPr>
        <w:t xml:space="preserve"> </w:t>
      </w:r>
      <w:r>
        <w:t>γ</w:t>
      </w:r>
      <w:r>
        <w:rPr>
          <w:lang w:val="en-US"/>
        </w:rPr>
        <w:t xml:space="preserve">-ray. (C) </w:t>
      </w:r>
      <w:r>
        <w:t>γ</w:t>
      </w:r>
      <w:r>
        <w:rPr>
          <w:lang w:val="en-US"/>
        </w:rPr>
        <w:t xml:space="preserve">-ray+SeMNPs-2 </w:t>
      </w:r>
      <w:r>
        <w:rPr>
          <w:i/>
          <w:iCs/>
          <w:lang w:val="en-US"/>
        </w:rPr>
        <w:t>vs.</w:t>
      </w:r>
      <w:r>
        <w:rPr>
          <w:lang w:val="en-US"/>
        </w:rPr>
        <w:t xml:space="preserve"> </w:t>
      </w:r>
      <w:r>
        <w:t>γ</w:t>
      </w:r>
      <w:r>
        <w:rPr>
          <w:lang w:val="en-US"/>
        </w:rPr>
        <w:t xml:space="preserve">-ray. (D) </w:t>
      </w:r>
      <w:r>
        <w:t>γ</w:t>
      </w:r>
      <w:r>
        <w:rPr>
          <w:lang w:val="en-US"/>
        </w:rPr>
        <w:t xml:space="preserve">-ray+SeMNPs-4 </w:t>
      </w:r>
      <w:r>
        <w:rPr>
          <w:i/>
          <w:iCs/>
          <w:lang w:val="en-US"/>
        </w:rPr>
        <w:t>vs.</w:t>
      </w:r>
      <w:r>
        <w:rPr>
          <w:lang w:val="en-US"/>
        </w:rPr>
        <w:t xml:space="preserve"> </w:t>
      </w:r>
      <w:r>
        <w:t>γ</w:t>
      </w:r>
      <w:r>
        <w:rPr>
          <w:lang w:val="en-US"/>
        </w:rPr>
        <w:t xml:space="preserve">-ray. Enrichment analyses were performed using the </w:t>
      </w:r>
      <w:proofErr w:type="spellStart"/>
      <w:r>
        <w:rPr>
          <w:lang w:val="en-US"/>
        </w:rPr>
        <w:t>phyper</w:t>
      </w:r>
      <w:proofErr w:type="spellEnd"/>
      <w:r>
        <w:rPr>
          <w:lang w:val="en-US"/>
        </w:rPr>
        <w:t xml:space="preserve"> function in the R software based on the GO BP annotation classification, calculating </w:t>
      </w:r>
      <w:r>
        <w:rPr>
          <w:i/>
          <w:iCs/>
          <w:lang w:val="en-US"/>
        </w:rPr>
        <w:t>P</w:t>
      </w:r>
      <w:r>
        <w:rPr>
          <w:lang w:val="en-US"/>
        </w:rPr>
        <w:t xml:space="preserve"> value, and then applying a false discovery rate (FDR) correction to </w:t>
      </w:r>
      <w:r>
        <w:rPr>
          <w:i/>
          <w:iCs/>
          <w:lang w:val="en-US"/>
        </w:rPr>
        <w:t>P</w:t>
      </w:r>
      <w:r>
        <w:rPr>
          <w:lang w:val="en-US"/>
        </w:rPr>
        <w:t xml:space="preserve"> value to obtain Q value, which is usually considered to be significantly enriched as a function of Q value ≤ 0.05.</w:t>
      </w:r>
    </w:p>
    <w:p w14:paraId="5C5FCADD" w14:textId="77777777" w:rsidR="002A30D1" w:rsidRDefault="002A30D1" w:rsidP="002A30D1">
      <w:pPr>
        <w:jc w:val="both"/>
        <w:rPr>
          <w:lang w:val="en-US"/>
        </w:rPr>
      </w:pPr>
    </w:p>
    <w:p w14:paraId="61F668CF" w14:textId="77777777" w:rsidR="002A30D1" w:rsidRDefault="002A30D1" w:rsidP="002A30D1">
      <w:pPr>
        <w:jc w:val="center"/>
        <w:rPr>
          <w:b/>
          <w:bCs/>
          <w:color w:val="000000" w:themeColor="text1"/>
          <w:kern w:val="24"/>
          <w:sz w:val="36"/>
          <w:szCs w:val="36"/>
        </w:rPr>
      </w:pPr>
      <w:r>
        <w:rPr>
          <w:b/>
          <w:bCs/>
          <w:noProof/>
          <w:color w:val="000000" w:themeColor="text1"/>
          <w:kern w:val="24"/>
          <w:sz w:val="36"/>
          <w:szCs w:val="36"/>
        </w:rPr>
        <w:lastRenderedPageBreak/>
        <w:drawing>
          <wp:inline distT="0" distB="0" distL="0" distR="0" wp14:anchorId="77B0B020" wp14:editId="5061C1E5">
            <wp:extent cx="4255770" cy="4206875"/>
            <wp:effectExtent l="0" t="0" r="0" b="3175"/>
            <wp:docPr id="229427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27918" name="图片 1"/>
                    <pic:cNvPicPr>
                      <a:picLocks noChangeAspect="1" noChangeArrowheads="1"/>
                    </pic:cNvPicPr>
                  </pic:nvPicPr>
                  <pic:blipFill>
                    <a:blip r:embed="rId39" cstate="hqprint"/>
                    <a:srcRect/>
                    <a:stretch>
                      <a:fillRect/>
                    </a:stretch>
                  </pic:blipFill>
                  <pic:spPr>
                    <a:xfrm>
                      <a:off x="0" y="0"/>
                      <a:ext cx="4262866" cy="4213516"/>
                    </a:xfrm>
                    <a:prstGeom prst="rect">
                      <a:avLst/>
                    </a:prstGeom>
                    <a:noFill/>
                    <a:ln>
                      <a:noFill/>
                    </a:ln>
                  </pic:spPr>
                </pic:pic>
              </a:graphicData>
            </a:graphic>
          </wp:inline>
        </w:drawing>
      </w:r>
    </w:p>
    <w:p w14:paraId="451FB5F3" w14:textId="77777777" w:rsidR="002A30D1" w:rsidRDefault="002A30D1" w:rsidP="002A30D1">
      <w:pPr>
        <w:jc w:val="both"/>
        <w:rPr>
          <w:lang w:val="en-US"/>
        </w:rPr>
      </w:pPr>
      <w:r>
        <w:rPr>
          <w:b/>
          <w:bCs/>
          <w:lang w:val="en-US"/>
        </w:rPr>
        <w:t xml:space="preserve">Figure S33. KEGG pathway enrichment bubble charts of DEGs. </w:t>
      </w:r>
      <w:r>
        <w:rPr>
          <w:lang w:val="en-US"/>
        </w:rPr>
        <w:t xml:space="preserve">(A) </w:t>
      </w:r>
      <w:r>
        <w:t>γ</w:t>
      </w:r>
      <w:r>
        <w:rPr>
          <w:lang w:val="en-US"/>
        </w:rPr>
        <w:t xml:space="preserve">-ray </w:t>
      </w:r>
      <w:r>
        <w:rPr>
          <w:i/>
          <w:iCs/>
          <w:lang w:val="en-US"/>
        </w:rPr>
        <w:t>vs.</w:t>
      </w:r>
      <w:r>
        <w:rPr>
          <w:lang w:val="en-US"/>
        </w:rPr>
        <w:t xml:space="preserve"> Control. (B) </w:t>
      </w:r>
      <w:r>
        <w:t>γ</w:t>
      </w:r>
      <w:r>
        <w:rPr>
          <w:lang w:val="en-US"/>
        </w:rPr>
        <w:t xml:space="preserve">-ray+SeMNPs-1 </w:t>
      </w:r>
      <w:r>
        <w:rPr>
          <w:i/>
          <w:iCs/>
          <w:lang w:val="en-US"/>
        </w:rPr>
        <w:t>vs.</w:t>
      </w:r>
      <w:r>
        <w:rPr>
          <w:lang w:val="en-US"/>
        </w:rPr>
        <w:t xml:space="preserve"> </w:t>
      </w:r>
      <w:r>
        <w:t>γ</w:t>
      </w:r>
      <w:r>
        <w:rPr>
          <w:lang w:val="en-US"/>
        </w:rPr>
        <w:t xml:space="preserve">-ray. (C) </w:t>
      </w:r>
      <w:r>
        <w:t>γ</w:t>
      </w:r>
      <w:r>
        <w:rPr>
          <w:lang w:val="en-US"/>
        </w:rPr>
        <w:t xml:space="preserve">-ray+SeMNPs-2 </w:t>
      </w:r>
      <w:r>
        <w:rPr>
          <w:i/>
          <w:iCs/>
          <w:lang w:val="en-US"/>
        </w:rPr>
        <w:t>vs.</w:t>
      </w:r>
      <w:r>
        <w:rPr>
          <w:lang w:val="en-US"/>
        </w:rPr>
        <w:t xml:space="preserve"> </w:t>
      </w:r>
      <w:r>
        <w:t>γ</w:t>
      </w:r>
      <w:r>
        <w:rPr>
          <w:lang w:val="en-US"/>
        </w:rPr>
        <w:t xml:space="preserve">-ray. (D) </w:t>
      </w:r>
      <w:r>
        <w:t>γ</w:t>
      </w:r>
      <w:r>
        <w:rPr>
          <w:lang w:val="en-US"/>
        </w:rPr>
        <w:t xml:space="preserve">-ray+SeMNPs-4 </w:t>
      </w:r>
      <w:r>
        <w:rPr>
          <w:i/>
          <w:iCs/>
          <w:lang w:val="en-US"/>
        </w:rPr>
        <w:t xml:space="preserve">vs.  </w:t>
      </w:r>
      <w:r>
        <w:t>γ</w:t>
      </w:r>
      <w:r>
        <w:rPr>
          <w:lang w:val="en-US"/>
        </w:rPr>
        <w:t xml:space="preserve">-ray. Functional classification of differential genes was performed according to KEGG Pathway annotation classification, calculating </w:t>
      </w:r>
      <w:r>
        <w:rPr>
          <w:i/>
          <w:iCs/>
          <w:lang w:val="en-US"/>
        </w:rPr>
        <w:t>P</w:t>
      </w:r>
      <w:r>
        <w:rPr>
          <w:lang w:val="en-US"/>
        </w:rPr>
        <w:t xml:space="preserve"> value, and then applying an FDR correction to </w:t>
      </w:r>
      <w:r>
        <w:rPr>
          <w:i/>
          <w:iCs/>
          <w:lang w:val="en-US"/>
        </w:rPr>
        <w:t>P</w:t>
      </w:r>
      <w:r>
        <w:rPr>
          <w:lang w:val="en-US"/>
        </w:rPr>
        <w:t xml:space="preserve"> value to obtain Q value, which is usually considered to be significantly enriched as a function of Q value ≤ 0.05.</w:t>
      </w:r>
    </w:p>
    <w:p w14:paraId="6C940291" w14:textId="77777777" w:rsidR="002A30D1" w:rsidRDefault="002A30D1" w:rsidP="002A30D1">
      <w:pPr>
        <w:jc w:val="both"/>
        <w:rPr>
          <w:lang w:val="en-US"/>
        </w:rPr>
      </w:pPr>
      <w:r>
        <w:rPr>
          <w:lang w:val="en-US"/>
        </w:rPr>
        <w:br w:type="page"/>
      </w:r>
    </w:p>
    <w:p w14:paraId="053365F9" w14:textId="77777777" w:rsidR="002A30D1" w:rsidRDefault="002A30D1" w:rsidP="002A30D1">
      <w:pPr>
        <w:jc w:val="center"/>
      </w:pPr>
      <w:r>
        <w:rPr>
          <w:noProof/>
        </w:rPr>
        <w:lastRenderedPageBreak/>
        <w:drawing>
          <wp:inline distT="0" distB="0" distL="0" distR="0" wp14:anchorId="51585B36" wp14:editId="45B00B78">
            <wp:extent cx="5367020" cy="4191000"/>
            <wp:effectExtent l="0" t="0" r="5080" b="0"/>
            <wp:docPr id="11319197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19726" name="图片 7"/>
                    <pic:cNvPicPr>
                      <a:picLocks noChangeAspect="1" noChangeArrowheads="1"/>
                    </pic:cNvPicPr>
                  </pic:nvPicPr>
                  <pic:blipFill>
                    <a:blip r:embed="rId40" cstate="hqprint"/>
                    <a:srcRect/>
                    <a:stretch>
                      <a:fillRect/>
                    </a:stretch>
                  </pic:blipFill>
                  <pic:spPr>
                    <a:xfrm>
                      <a:off x="0" y="0"/>
                      <a:ext cx="5370153" cy="4193426"/>
                    </a:xfrm>
                    <a:prstGeom prst="rect">
                      <a:avLst/>
                    </a:prstGeom>
                    <a:noFill/>
                    <a:ln>
                      <a:noFill/>
                    </a:ln>
                  </pic:spPr>
                </pic:pic>
              </a:graphicData>
            </a:graphic>
          </wp:inline>
        </w:drawing>
      </w:r>
    </w:p>
    <w:p w14:paraId="1FDBA726" w14:textId="77777777" w:rsidR="002A30D1" w:rsidRDefault="002A30D1" w:rsidP="002A30D1">
      <w:pPr>
        <w:jc w:val="both"/>
        <w:rPr>
          <w:lang w:val="en-US"/>
        </w:rPr>
      </w:pPr>
      <w:r>
        <w:rPr>
          <w:b/>
          <w:bCs/>
          <w:lang w:val="en-US"/>
        </w:rPr>
        <w:t xml:space="preserve">Figure S34. KEGG pathway enrichment bubble charts of up-regulated genes. </w:t>
      </w:r>
      <w:r>
        <w:rPr>
          <w:lang w:val="en-US"/>
        </w:rPr>
        <w:t xml:space="preserve">(A) </w:t>
      </w:r>
      <w:r>
        <w:t>γ</w:t>
      </w:r>
      <w:r>
        <w:rPr>
          <w:lang w:val="en-US"/>
        </w:rPr>
        <w:t xml:space="preserve">-ray </w:t>
      </w:r>
      <w:r>
        <w:rPr>
          <w:i/>
          <w:iCs/>
          <w:lang w:val="en-US"/>
        </w:rPr>
        <w:t>vs.</w:t>
      </w:r>
      <w:r>
        <w:rPr>
          <w:lang w:val="en-US"/>
        </w:rPr>
        <w:t xml:space="preserve"> Control. (B) </w:t>
      </w:r>
      <w:r>
        <w:t>γ</w:t>
      </w:r>
      <w:r>
        <w:rPr>
          <w:lang w:val="en-US"/>
        </w:rPr>
        <w:t xml:space="preserve">-ray+SeMNPs-1 </w:t>
      </w:r>
      <w:r>
        <w:rPr>
          <w:i/>
          <w:iCs/>
          <w:lang w:val="en-US"/>
        </w:rPr>
        <w:t>vs.</w:t>
      </w:r>
      <w:r>
        <w:rPr>
          <w:lang w:val="en-US"/>
        </w:rPr>
        <w:t xml:space="preserve"> </w:t>
      </w:r>
      <w:r>
        <w:t>γ</w:t>
      </w:r>
      <w:r>
        <w:rPr>
          <w:lang w:val="en-US"/>
        </w:rPr>
        <w:t xml:space="preserve">-ray. (C) </w:t>
      </w:r>
      <w:r>
        <w:t>γ</w:t>
      </w:r>
      <w:r>
        <w:rPr>
          <w:lang w:val="en-US"/>
        </w:rPr>
        <w:t xml:space="preserve">-ray+SeMNPs-2 </w:t>
      </w:r>
      <w:r>
        <w:rPr>
          <w:i/>
          <w:iCs/>
          <w:lang w:val="en-US"/>
        </w:rPr>
        <w:t>vs.</w:t>
      </w:r>
      <w:r>
        <w:rPr>
          <w:lang w:val="en-US"/>
        </w:rPr>
        <w:t xml:space="preserve"> </w:t>
      </w:r>
      <w:r>
        <w:t>γ</w:t>
      </w:r>
      <w:r>
        <w:rPr>
          <w:lang w:val="en-US"/>
        </w:rPr>
        <w:t xml:space="preserve">-ray. (D) </w:t>
      </w:r>
      <w:r>
        <w:t>γ</w:t>
      </w:r>
      <w:r>
        <w:rPr>
          <w:lang w:val="en-US"/>
        </w:rPr>
        <w:t xml:space="preserve">-ray+SeMNPs-4 versus </w:t>
      </w:r>
      <w:r>
        <w:t>γ</w:t>
      </w:r>
      <w:r>
        <w:rPr>
          <w:lang w:val="en-US"/>
        </w:rPr>
        <w:t xml:space="preserve">-ray. Functional classification of differential genes was performed according to KEGG Pathway annotation classification, calculating </w:t>
      </w:r>
      <w:r>
        <w:rPr>
          <w:i/>
          <w:iCs/>
          <w:lang w:val="en-US"/>
        </w:rPr>
        <w:t>P</w:t>
      </w:r>
      <w:r>
        <w:rPr>
          <w:lang w:val="en-US"/>
        </w:rPr>
        <w:t xml:space="preserve"> value, and then applying an FDR correction to </w:t>
      </w:r>
      <w:r>
        <w:rPr>
          <w:i/>
          <w:iCs/>
          <w:lang w:val="en-US"/>
        </w:rPr>
        <w:t>P</w:t>
      </w:r>
      <w:r>
        <w:rPr>
          <w:lang w:val="en-US"/>
        </w:rPr>
        <w:t xml:space="preserve"> value to obtain Q value, which is usually considered to be significantly enriched as a function of Q value ≤ 0.05.</w:t>
      </w:r>
    </w:p>
    <w:p w14:paraId="48A81E4B" w14:textId="77777777" w:rsidR="002A30D1" w:rsidRDefault="002A30D1" w:rsidP="002A30D1">
      <w:pPr>
        <w:jc w:val="both"/>
        <w:rPr>
          <w:lang w:val="en-US"/>
        </w:rPr>
      </w:pPr>
      <w:r>
        <w:rPr>
          <w:lang w:val="en-US"/>
        </w:rPr>
        <w:br w:type="page"/>
      </w:r>
    </w:p>
    <w:p w14:paraId="749EF3A4" w14:textId="77777777" w:rsidR="002A30D1" w:rsidRDefault="002A30D1" w:rsidP="002A30D1">
      <w:pPr>
        <w:jc w:val="center"/>
      </w:pPr>
      <w:r>
        <w:rPr>
          <w:noProof/>
        </w:rPr>
        <w:lastRenderedPageBreak/>
        <w:drawing>
          <wp:inline distT="0" distB="0" distL="0" distR="0" wp14:anchorId="0DB4E72B" wp14:editId="701517A9">
            <wp:extent cx="5034280" cy="4191000"/>
            <wp:effectExtent l="0" t="0" r="0" b="0"/>
            <wp:docPr id="7553279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27912" name="图片 6"/>
                    <pic:cNvPicPr>
                      <a:picLocks noChangeAspect="1" noChangeArrowheads="1"/>
                    </pic:cNvPicPr>
                  </pic:nvPicPr>
                  <pic:blipFill>
                    <a:blip r:embed="rId41" cstate="hqprint"/>
                    <a:srcRect/>
                    <a:stretch>
                      <a:fillRect/>
                    </a:stretch>
                  </pic:blipFill>
                  <pic:spPr>
                    <a:xfrm>
                      <a:off x="0" y="0"/>
                      <a:ext cx="5048255" cy="4202533"/>
                    </a:xfrm>
                    <a:prstGeom prst="rect">
                      <a:avLst/>
                    </a:prstGeom>
                    <a:noFill/>
                    <a:ln>
                      <a:noFill/>
                    </a:ln>
                  </pic:spPr>
                </pic:pic>
              </a:graphicData>
            </a:graphic>
          </wp:inline>
        </w:drawing>
      </w:r>
    </w:p>
    <w:p w14:paraId="10F5D6F6" w14:textId="77777777" w:rsidR="002A30D1" w:rsidRDefault="002A30D1" w:rsidP="002A30D1">
      <w:pPr>
        <w:jc w:val="both"/>
        <w:rPr>
          <w:lang w:val="en-US"/>
        </w:rPr>
      </w:pPr>
      <w:r>
        <w:rPr>
          <w:b/>
          <w:bCs/>
          <w:lang w:val="en-US"/>
        </w:rPr>
        <w:t xml:space="preserve">Figure S35. KEGG pathway enrichment bubble charts of down-regulated genes. </w:t>
      </w:r>
      <w:r>
        <w:rPr>
          <w:lang w:val="en-US"/>
        </w:rPr>
        <w:t xml:space="preserve">(A) </w:t>
      </w:r>
      <w:r>
        <w:t>γ</w:t>
      </w:r>
      <w:r>
        <w:rPr>
          <w:lang w:val="en-US"/>
        </w:rPr>
        <w:t xml:space="preserve">-ray </w:t>
      </w:r>
      <w:r>
        <w:rPr>
          <w:i/>
          <w:iCs/>
          <w:lang w:val="en-US"/>
        </w:rPr>
        <w:t>vs.</w:t>
      </w:r>
      <w:r>
        <w:rPr>
          <w:lang w:val="en-US"/>
        </w:rPr>
        <w:t xml:space="preserve"> Control. (B) </w:t>
      </w:r>
      <w:r>
        <w:t>γ</w:t>
      </w:r>
      <w:r>
        <w:rPr>
          <w:lang w:val="en-US"/>
        </w:rPr>
        <w:t>-ray+SeMNPs-1</w:t>
      </w:r>
      <w:r>
        <w:rPr>
          <w:i/>
          <w:iCs/>
          <w:lang w:val="en-US"/>
        </w:rPr>
        <w:t xml:space="preserve"> vs.</w:t>
      </w:r>
      <w:r>
        <w:rPr>
          <w:lang w:val="en-US"/>
        </w:rPr>
        <w:t xml:space="preserve"> </w:t>
      </w:r>
      <w:r>
        <w:t>γ</w:t>
      </w:r>
      <w:r>
        <w:rPr>
          <w:lang w:val="en-US"/>
        </w:rPr>
        <w:t xml:space="preserve">-ray. (C) </w:t>
      </w:r>
      <w:r>
        <w:t>γ</w:t>
      </w:r>
      <w:r>
        <w:rPr>
          <w:lang w:val="en-US"/>
        </w:rPr>
        <w:t xml:space="preserve">-ray+SeMNPs-2 </w:t>
      </w:r>
      <w:r>
        <w:rPr>
          <w:i/>
          <w:iCs/>
          <w:lang w:val="en-US"/>
        </w:rPr>
        <w:t xml:space="preserve">vs. </w:t>
      </w:r>
      <w:r>
        <w:t>γ</w:t>
      </w:r>
      <w:r>
        <w:rPr>
          <w:lang w:val="en-US"/>
        </w:rPr>
        <w:t xml:space="preserve">-ray. (D) </w:t>
      </w:r>
      <w:r>
        <w:t>γ</w:t>
      </w:r>
      <w:r>
        <w:rPr>
          <w:lang w:val="en-US"/>
        </w:rPr>
        <w:t xml:space="preserve">-ray+SeMNPs-4 </w:t>
      </w:r>
      <w:r>
        <w:rPr>
          <w:i/>
          <w:iCs/>
          <w:lang w:val="en-US"/>
        </w:rPr>
        <w:t>vs.</w:t>
      </w:r>
      <w:r>
        <w:rPr>
          <w:lang w:val="en-US"/>
        </w:rPr>
        <w:t xml:space="preserve"> </w:t>
      </w:r>
      <w:r>
        <w:t>γ</w:t>
      </w:r>
      <w:r>
        <w:rPr>
          <w:lang w:val="en-US"/>
        </w:rPr>
        <w:t xml:space="preserve">-ray. Functional classification of differential genes was performed according to KEGG Pathway annotation classification, calculating </w:t>
      </w:r>
      <w:r>
        <w:rPr>
          <w:i/>
          <w:iCs/>
          <w:lang w:val="en-US"/>
        </w:rPr>
        <w:t>P</w:t>
      </w:r>
      <w:r>
        <w:rPr>
          <w:lang w:val="en-US"/>
        </w:rPr>
        <w:t xml:space="preserve"> value, and then applying an FDR correction to </w:t>
      </w:r>
      <w:r>
        <w:rPr>
          <w:i/>
          <w:iCs/>
          <w:lang w:val="en-US"/>
        </w:rPr>
        <w:t>P</w:t>
      </w:r>
      <w:r>
        <w:rPr>
          <w:lang w:val="en-US"/>
        </w:rPr>
        <w:t xml:space="preserve"> value to obtain Q value, which is usually considered to be significantly enriched as a function of Q value ≤ 0.05.</w:t>
      </w:r>
    </w:p>
    <w:p w14:paraId="424462ED" w14:textId="77777777" w:rsidR="002A30D1" w:rsidRDefault="002A30D1" w:rsidP="002A30D1">
      <w:pPr>
        <w:jc w:val="both"/>
        <w:rPr>
          <w:lang w:val="en-US"/>
        </w:rPr>
      </w:pPr>
      <w:r>
        <w:rPr>
          <w:lang w:val="en-US"/>
        </w:rPr>
        <w:br w:type="page"/>
      </w:r>
    </w:p>
    <w:p w14:paraId="5493E37B" w14:textId="77777777" w:rsidR="002A30D1" w:rsidRDefault="002A30D1" w:rsidP="002A30D1">
      <w:pPr>
        <w:jc w:val="center"/>
        <w:rPr>
          <w:b/>
          <w:bCs/>
        </w:rPr>
      </w:pPr>
      <w:r>
        <w:rPr>
          <w:b/>
          <w:bCs/>
          <w:noProof/>
        </w:rPr>
        <w:lastRenderedPageBreak/>
        <w:drawing>
          <wp:inline distT="0" distB="0" distL="0" distR="0" wp14:anchorId="7439B3B0" wp14:editId="64AF6C88">
            <wp:extent cx="5273675" cy="4065905"/>
            <wp:effectExtent l="0" t="0" r="3175" b="0"/>
            <wp:docPr id="44786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6829" name="图片 1"/>
                    <pic:cNvPicPr>
                      <a:picLocks noChangeAspect="1" noChangeArrowheads="1"/>
                    </pic:cNvPicPr>
                  </pic:nvPicPr>
                  <pic:blipFill>
                    <a:blip r:embed="rId42" cstate="hqprint"/>
                    <a:srcRect/>
                    <a:stretch>
                      <a:fillRect/>
                    </a:stretch>
                  </pic:blipFill>
                  <pic:spPr>
                    <a:xfrm>
                      <a:off x="0" y="0"/>
                      <a:ext cx="5274310" cy="4066288"/>
                    </a:xfrm>
                    <a:prstGeom prst="rect">
                      <a:avLst/>
                    </a:prstGeom>
                    <a:noFill/>
                    <a:ln>
                      <a:noFill/>
                    </a:ln>
                  </pic:spPr>
                </pic:pic>
              </a:graphicData>
            </a:graphic>
          </wp:inline>
        </w:drawing>
      </w:r>
    </w:p>
    <w:p w14:paraId="488AC72A" w14:textId="77777777" w:rsidR="002A30D1" w:rsidRDefault="002A30D1" w:rsidP="002A30D1">
      <w:pPr>
        <w:jc w:val="both"/>
      </w:pPr>
      <w:r>
        <w:rPr>
          <w:b/>
          <w:bCs/>
          <w:lang w:val="en-US"/>
        </w:rPr>
        <w:t>Figure S36. GSEA analyses of gene sets.</w:t>
      </w:r>
      <w:r>
        <w:rPr>
          <w:bCs/>
          <w:kern w:val="21"/>
          <w:sz w:val="19"/>
          <w:lang w:val="en-US"/>
        </w:rPr>
        <w:t xml:space="preserve"> </w:t>
      </w:r>
      <w:r>
        <w:rPr>
          <w:lang w:val="en-US"/>
        </w:rPr>
        <w:t xml:space="preserve">(A) GSEA analyses of gene sets of cell cycle pathway in the </w:t>
      </w:r>
      <w:r>
        <w:t>γ</w:t>
      </w:r>
      <w:r>
        <w:rPr>
          <w:lang w:val="en-US"/>
        </w:rPr>
        <w:t xml:space="preserve">-ray and </w:t>
      </w:r>
      <w:r>
        <w:t>γ</w:t>
      </w:r>
      <w:r>
        <w:rPr>
          <w:lang w:val="en-US"/>
        </w:rPr>
        <w:t xml:space="preserve">-ray+SeMNPs-1 groups. (B) GSEA analyses of gene sets of DNA repair pathway in the </w:t>
      </w:r>
      <w:r>
        <w:t>γ</w:t>
      </w:r>
      <w:r>
        <w:rPr>
          <w:lang w:val="en-US"/>
        </w:rPr>
        <w:t xml:space="preserve">-ray and </w:t>
      </w:r>
      <w:r>
        <w:t>γ</w:t>
      </w:r>
      <w:r>
        <w:rPr>
          <w:lang w:val="en-US"/>
        </w:rPr>
        <w:t xml:space="preserve">-ray+SeMNPs-1 groups. (C) GSEA analyses of gene sets of ROS biosynthetic process pathway in the </w:t>
      </w:r>
      <w:r>
        <w:t>γ</w:t>
      </w:r>
      <w:r>
        <w:rPr>
          <w:lang w:val="en-US"/>
        </w:rPr>
        <w:t xml:space="preserve">-ray and </w:t>
      </w:r>
      <w:r>
        <w:t>γ</w:t>
      </w:r>
      <w:r>
        <w:rPr>
          <w:lang w:val="en-US"/>
        </w:rPr>
        <w:t>-ray+SeMNPs-1 groups. (</w:t>
      </w:r>
      <w:bookmarkStart w:id="41" w:name="_Hlk167298669"/>
      <w:r>
        <w:rPr>
          <w:lang w:val="en-US"/>
        </w:rPr>
        <w:t xml:space="preserve">D) GSEA analyses of gene sets of cell cycle pathway in the </w:t>
      </w:r>
      <w:r>
        <w:t>γ</w:t>
      </w:r>
      <w:r>
        <w:rPr>
          <w:lang w:val="en-US"/>
        </w:rPr>
        <w:t xml:space="preserve">-ray and </w:t>
      </w:r>
      <w:r>
        <w:t>γ</w:t>
      </w:r>
      <w:r>
        <w:rPr>
          <w:lang w:val="en-US"/>
        </w:rPr>
        <w:t xml:space="preserve">-ray+SeMNPs-2 groups. </w:t>
      </w:r>
      <w:bookmarkStart w:id="42" w:name="_Hlk167281101"/>
      <w:r>
        <w:rPr>
          <w:lang w:val="en-US"/>
        </w:rPr>
        <w:t xml:space="preserve">(E) GSEA analyses of gene sets of DNA repair pathway in the </w:t>
      </w:r>
      <w:r>
        <w:t>γ</w:t>
      </w:r>
      <w:r>
        <w:rPr>
          <w:lang w:val="en-US"/>
        </w:rPr>
        <w:t xml:space="preserve">-ray and </w:t>
      </w:r>
      <w:r>
        <w:t>γ</w:t>
      </w:r>
      <w:r>
        <w:rPr>
          <w:lang w:val="en-US"/>
        </w:rPr>
        <w:t xml:space="preserve">-ray+SeMNPs-2 groups. (F) GSEA analyses of gene sets of ROS biosynthetic process pathway in the </w:t>
      </w:r>
      <w:r>
        <w:t>γ</w:t>
      </w:r>
      <w:r>
        <w:rPr>
          <w:lang w:val="en-US"/>
        </w:rPr>
        <w:t xml:space="preserve">-ray and </w:t>
      </w:r>
      <w:r>
        <w:t>γ</w:t>
      </w:r>
      <w:r>
        <w:rPr>
          <w:lang w:val="en-US"/>
        </w:rPr>
        <w:t xml:space="preserve">-ray+SeMNPs-2 groups. (G) GSEA analyses of gene sets of DNA repair pathway in the </w:t>
      </w:r>
      <w:r>
        <w:t>γ</w:t>
      </w:r>
      <w:r>
        <w:rPr>
          <w:lang w:val="en-US"/>
        </w:rPr>
        <w:t xml:space="preserve">-ray and </w:t>
      </w:r>
      <w:r>
        <w:t>γ</w:t>
      </w:r>
      <w:r>
        <w:rPr>
          <w:lang w:val="en-US"/>
        </w:rPr>
        <w:t>-ray+SeMNPs-4 groups. NES, normalized enrichment score.</w:t>
      </w:r>
      <w:bookmarkEnd w:id="42"/>
      <w:r>
        <w:rPr>
          <w:lang w:val="en-US"/>
        </w:rPr>
        <w:t xml:space="preserve"> FDR, false discovery rate. NES </w:t>
      </w:r>
      <w:bookmarkStart w:id="43" w:name="_Hlk166677819"/>
      <w:r>
        <w:rPr>
          <w:lang w:val="en-US"/>
        </w:rPr>
        <w:t>values &gt; 0</w:t>
      </w:r>
      <w:bookmarkEnd w:id="43"/>
      <w:r>
        <w:rPr>
          <w:lang w:val="en-US"/>
        </w:rPr>
        <w:t xml:space="preserve"> indicate that the core gene set is located to the left of the peak and is highly expressed in the left group compared to the right group, and this pathway is activated in the left group. NES values &lt; 0 indicate that the core gene set is located to the right of the peak and is highly expressed in the right group compared to the left group, and this pathway is activated in the right group. </w:t>
      </w:r>
      <w:r>
        <w:t>Pathways with |NES| &gt; 1 and FDR &lt; 0.25 are significantly enriched.</w:t>
      </w:r>
      <w:bookmarkEnd w:id="41"/>
    </w:p>
    <w:p w14:paraId="0F077C2A" w14:textId="77777777" w:rsidR="002A30D1" w:rsidRDefault="002A30D1" w:rsidP="002A30D1">
      <w:pPr>
        <w:jc w:val="both"/>
      </w:pPr>
      <w:r>
        <w:br w:type="page"/>
      </w:r>
    </w:p>
    <w:p w14:paraId="2D330BEF" w14:textId="77777777" w:rsidR="002A30D1" w:rsidRDefault="002A30D1" w:rsidP="002A30D1">
      <w:pPr>
        <w:jc w:val="center"/>
        <w:rPr>
          <w:b/>
          <w:bCs/>
        </w:rPr>
      </w:pPr>
      <w:r>
        <w:rPr>
          <w:noProof/>
        </w:rPr>
        <w:lastRenderedPageBreak/>
        <w:drawing>
          <wp:inline distT="0" distB="0" distL="0" distR="0" wp14:anchorId="38E39884" wp14:editId="0E5EC424">
            <wp:extent cx="5493385" cy="2024380"/>
            <wp:effectExtent l="0" t="0" r="0" b="0"/>
            <wp:docPr id="1810412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12895" name="图片 1"/>
                    <pic:cNvPicPr>
                      <a:picLocks noChangeAspect="1" noChangeArrowheads="1"/>
                    </pic:cNvPicPr>
                  </pic:nvPicPr>
                  <pic:blipFill>
                    <a:blip r:embed="rId43" cstate="hqprint"/>
                    <a:srcRect/>
                    <a:stretch>
                      <a:fillRect/>
                    </a:stretch>
                  </pic:blipFill>
                  <pic:spPr>
                    <a:xfrm>
                      <a:off x="0" y="0"/>
                      <a:ext cx="5507326" cy="2029873"/>
                    </a:xfrm>
                    <a:prstGeom prst="rect">
                      <a:avLst/>
                    </a:prstGeom>
                    <a:noFill/>
                    <a:ln>
                      <a:noFill/>
                    </a:ln>
                  </pic:spPr>
                </pic:pic>
              </a:graphicData>
            </a:graphic>
          </wp:inline>
        </w:drawing>
      </w:r>
    </w:p>
    <w:p w14:paraId="1A5D9DE7" w14:textId="77777777" w:rsidR="002A30D1" w:rsidRDefault="002A30D1" w:rsidP="002A30D1">
      <w:pPr>
        <w:jc w:val="both"/>
        <w:rPr>
          <w:b/>
          <w:bCs/>
        </w:rPr>
      </w:pPr>
      <w:r>
        <w:rPr>
          <w:b/>
          <w:bCs/>
          <w:lang w:val="en-US"/>
        </w:rPr>
        <w:t xml:space="preserve">Figure S37. The SeMNPs-4 material displayed a good biosafety profile. </w:t>
      </w:r>
      <w:r>
        <w:rPr>
          <w:lang w:val="en-US"/>
        </w:rPr>
        <w:t xml:space="preserve">(A) H&amp;E staining of spleen, lungs, kidneys, testes and liver 4 days after SeMNPs-4 injection. (B) Morphological detection of heart 4 days after SeMNPs-4 injection, including H&amp;E staining, Masson staining and Sirius red staining. </w:t>
      </w:r>
      <w:r>
        <w:t>Scale bar: 50 μm.</w:t>
      </w:r>
    </w:p>
    <w:p w14:paraId="147F64BD" w14:textId="77777777" w:rsidR="002A30D1" w:rsidRDefault="002A30D1" w:rsidP="002A30D1">
      <w:pPr>
        <w:jc w:val="both"/>
        <w:rPr>
          <w:b/>
          <w:bCs/>
        </w:rPr>
      </w:pPr>
      <w:r>
        <w:rPr>
          <w:b/>
          <w:bCs/>
        </w:rPr>
        <w:br w:type="page"/>
      </w:r>
    </w:p>
    <w:p w14:paraId="76485483" w14:textId="77777777" w:rsidR="002A30D1" w:rsidRDefault="002A30D1" w:rsidP="002A30D1">
      <w:pPr>
        <w:jc w:val="center"/>
      </w:pPr>
      <w:r>
        <w:rPr>
          <w:noProof/>
        </w:rPr>
        <w:lastRenderedPageBreak/>
        <w:drawing>
          <wp:inline distT="0" distB="0" distL="0" distR="0" wp14:anchorId="649757CB" wp14:editId="1D0FE1DD">
            <wp:extent cx="5273675" cy="937260"/>
            <wp:effectExtent l="0" t="0" r="3175" b="0"/>
            <wp:docPr id="17553436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43632" name="图片 2"/>
                    <pic:cNvPicPr>
                      <a:picLocks noChangeAspect="1" noChangeArrowheads="1"/>
                    </pic:cNvPicPr>
                  </pic:nvPicPr>
                  <pic:blipFill>
                    <a:blip r:embed="rId44" cstate="hqprint"/>
                    <a:srcRect/>
                    <a:stretch>
                      <a:fillRect/>
                    </a:stretch>
                  </pic:blipFill>
                  <pic:spPr>
                    <a:xfrm>
                      <a:off x="0" y="0"/>
                      <a:ext cx="5274310" cy="937729"/>
                    </a:xfrm>
                    <a:prstGeom prst="rect">
                      <a:avLst/>
                    </a:prstGeom>
                    <a:noFill/>
                    <a:ln>
                      <a:noFill/>
                    </a:ln>
                  </pic:spPr>
                </pic:pic>
              </a:graphicData>
            </a:graphic>
          </wp:inline>
        </w:drawing>
      </w:r>
    </w:p>
    <w:p w14:paraId="4FDF2C16" w14:textId="77777777" w:rsidR="002A30D1" w:rsidRDefault="002A30D1" w:rsidP="002A30D1">
      <w:pPr>
        <w:jc w:val="both"/>
        <w:rPr>
          <w:lang w:val="en-US"/>
        </w:rPr>
      </w:pPr>
      <w:r>
        <w:rPr>
          <w:b/>
          <w:bCs/>
          <w:lang w:val="en-US"/>
        </w:rPr>
        <w:t>Figure S38. H&amp;E staining of liver, spleen, lungs, kidneys and heart 4 days after 6 Gy irradiation for multi-organ damage observation.</w:t>
      </w:r>
      <w:r>
        <w:rPr>
          <w:lang w:val="en-US"/>
        </w:rPr>
        <w:t xml:space="preserve"> There was no significant damage to any of the organs under 6 Gy irradiation.</w:t>
      </w:r>
    </w:p>
    <w:p w14:paraId="3FAB23A1" w14:textId="77777777" w:rsidR="002A30D1" w:rsidRDefault="002A30D1" w:rsidP="002A30D1">
      <w:pPr>
        <w:jc w:val="both"/>
        <w:rPr>
          <w:lang w:val="en-US"/>
        </w:rPr>
      </w:pPr>
      <w:r>
        <w:rPr>
          <w:lang w:val="en-US"/>
        </w:rPr>
        <w:br w:type="page"/>
      </w:r>
    </w:p>
    <w:p w14:paraId="2382B6F3" w14:textId="4BF9DE26" w:rsidR="002A30D1" w:rsidRDefault="001B63BC" w:rsidP="002A30D1">
      <w:pPr>
        <w:jc w:val="center"/>
        <w:rPr>
          <w:b/>
          <w:bCs/>
        </w:rPr>
      </w:pPr>
      <w:r w:rsidRPr="001B63BC">
        <w:rPr>
          <w:b/>
          <w:bCs/>
          <w:noProof/>
        </w:rPr>
        <w:lastRenderedPageBreak/>
        <w:drawing>
          <wp:inline distT="0" distB="0" distL="0" distR="0" wp14:anchorId="4BED8DD6" wp14:editId="1FDFE120">
            <wp:extent cx="1778586" cy="5696123"/>
            <wp:effectExtent l="3175" t="0" r="0" b="0"/>
            <wp:docPr id="850951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737" t="3410" r="45533" b="6286"/>
                    <a:stretch/>
                  </pic:blipFill>
                  <pic:spPr bwMode="auto">
                    <a:xfrm rot="5400000">
                      <a:off x="0" y="0"/>
                      <a:ext cx="1795676" cy="5750854"/>
                    </a:xfrm>
                    <a:prstGeom prst="rect">
                      <a:avLst/>
                    </a:prstGeom>
                    <a:noFill/>
                    <a:ln>
                      <a:noFill/>
                    </a:ln>
                    <a:extLst>
                      <a:ext uri="{53640926-AAD7-44D8-BBD7-CCE9431645EC}">
                        <a14:shadowObscured xmlns:a14="http://schemas.microsoft.com/office/drawing/2010/main"/>
                      </a:ext>
                    </a:extLst>
                  </pic:spPr>
                </pic:pic>
              </a:graphicData>
            </a:graphic>
          </wp:inline>
        </w:drawing>
      </w:r>
    </w:p>
    <w:p w14:paraId="68B14B7C" w14:textId="0FC4A05B" w:rsidR="001B63BC" w:rsidRPr="001B63BC" w:rsidRDefault="002A30D1" w:rsidP="002A30D1">
      <w:pPr>
        <w:jc w:val="both"/>
        <w:rPr>
          <w:lang w:val="en-US"/>
        </w:rPr>
      </w:pPr>
      <w:r>
        <w:rPr>
          <w:b/>
          <w:bCs/>
          <w:lang w:val="en-US"/>
        </w:rPr>
        <w:t xml:space="preserve">Figure S39. </w:t>
      </w:r>
      <w:bookmarkStart w:id="44" w:name="_Hlk184585187"/>
      <w:r w:rsidRPr="001B63BC">
        <w:rPr>
          <w:b/>
          <w:bCs/>
          <w:lang w:val="en-US"/>
        </w:rPr>
        <w:t>Morphological detection of heart 4 days after 8 Gy irradiation</w:t>
      </w:r>
      <w:r>
        <w:rPr>
          <w:lang w:val="en-US"/>
        </w:rPr>
        <w:t xml:space="preserve">, including H&amp;E staining, Masson staining and Sirius red staining. Scale bar: 50 </w:t>
      </w:r>
      <w:r>
        <w:t>μ</w:t>
      </w:r>
      <w:r>
        <w:rPr>
          <w:lang w:val="en-US"/>
        </w:rPr>
        <w:t xml:space="preserve">m. </w:t>
      </w:r>
      <w:bookmarkEnd w:id="44"/>
      <w:r>
        <w:rPr>
          <w:lang w:val="en-US"/>
        </w:rPr>
        <w:t xml:space="preserve">The cardiac morphology among all groups did not differ significantly. </w:t>
      </w:r>
      <w:r w:rsidR="001B63BC" w:rsidRPr="001B63BC">
        <w:rPr>
          <w:rFonts w:cs="Arial"/>
          <w:szCs w:val="17"/>
          <w:lang w:val="en-US"/>
        </w:rPr>
        <w:t xml:space="preserve">Grouping details: The 0 Gy group comprised normal mice (neither irradiation nor injection). The </w:t>
      </w:r>
      <w:r w:rsidR="001B63BC" w:rsidRPr="0038727A">
        <w:rPr>
          <w:rFonts w:cs="Arial"/>
          <w:szCs w:val="17"/>
        </w:rPr>
        <w:t>γ</w:t>
      </w:r>
      <w:r w:rsidR="001B63BC" w:rsidRPr="001B63BC">
        <w:rPr>
          <w:rFonts w:cs="Arial"/>
          <w:szCs w:val="17"/>
          <w:lang w:val="en-US"/>
        </w:rPr>
        <w:t xml:space="preserve">-ray group was irradiated with 8 Gy without injection. The </w:t>
      </w:r>
      <w:r w:rsidR="001B63BC" w:rsidRPr="0038727A">
        <w:rPr>
          <w:rFonts w:cs="Arial"/>
          <w:szCs w:val="17"/>
        </w:rPr>
        <w:t>γ</w:t>
      </w:r>
      <w:r w:rsidR="001B63BC" w:rsidRPr="001B63BC">
        <w:rPr>
          <w:rFonts w:cs="Arial"/>
          <w:szCs w:val="17"/>
          <w:lang w:val="en-US"/>
        </w:rPr>
        <w:t xml:space="preserve">-ray+SeMNPs-4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7.5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 SeMNPs-4.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ray+low-AMF</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30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w:t>
      </w:r>
      <w:r w:rsidR="001B63BC" w:rsidRPr="001B63BC">
        <w:rPr>
          <w:rFonts w:cs="Arial"/>
          <w:szCs w:val="17"/>
          <w:lang w:val="en-US"/>
        </w:rPr>
        <w:t xml:space="preserve">AMF.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ray+high-AMF</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100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w:t>
      </w:r>
      <w:r w:rsidR="001B63BC" w:rsidRPr="001B63BC">
        <w:rPr>
          <w:rFonts w:cs="Arial"/>
          <w:szCs w:val="17"/>
          <w:lang w:val="en-US"/>
        </w:rPr>
        <w:t xml:space="preserve">AMF.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ray+SOD</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30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SOD</w:t>
      </w:r>
    </w:p>
    <w:p w14:paraId="6541705F" w14:textId="5F22F89C" w:rsidR="002A30D1" w:rsidRPr="001B63BC" w:rsidRDefault="001B63BC" w:rsidP="001B63BC">
      <w:pPr>
        <w:rPr>
          <w:rFonts w:eastAsiaTheme="minorEastAsia" w:hint="eastAsia"/>
          <w:lang w:val="en-US" w:eastAsia="zh-CN"/>
        </w:rPr>
      </w:pPr>
      <w:r>
        <w:rPr>
          <w:lang w:val="en-US"/>
        </w:rPr>
        <w:br w:type="page"/>
      </w:r>
    </w:p>
    <w:p w14:paraId="74A9D1A0" w14:textId="77777777" w:rsidR="002A30D1" w:rsidRDefault="002A30D1" w:rsidP="002A30D1">
      <w:pPr>
        <w:jc w:val="center"/>
      </w:pPr>
      <w:r>
        <w:rPr>
          <w:noProof/>
        </w:rPr>
        <w:lastRenderedPageBreak/>
        <w:drawing>
          <wp:inline distT="0" distB="0" distL="0" distR="0" wp14:anchorId="2AA521FA" wp14:editId="1C15506F">
            <wp:extent cx="5074920" cy="1894840"/>
            <wp:effectExtent l="0" t="0" r="0" b="0"/>
            <wp:docPr id="734853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3357" name="图片 1"/>
                    <pic:cNvPicPr>
                      <a:picLocks noChangeAspect="1" noChangeArrowheads="1"/>
                    </pic:cNvPicPr>
                  </pic:nvPicPr>
                  <pic:blipFill>
                    <a:blip r:embed="rId46" cstate="hqprint"/>
                    <a:srcRect/>
                    <a:stretch>
                      <a:fillRect/>
                    </a:stretch>
                  </pic:blipFill>
                  <pic:spPr>
                    <a:xfrm>
                      <a:off x="0" y="0"/>
                      <a:ext cx="5074920" cy="1894840"/>
                    </a:xfrm>
                    <a:prstGeom prst="rect">
                      <a:avLst/>
                    </a:prstGeom>
                    <a:noFill/>
                    <a:ln>
                      <a:noFill/>
                    </a:ln>
                  </pic:spPr>
                </pic:pic>
              </a:graphicData>
            </a:graphic>
          </wp:inline>
        </w:drawing>
      </w:r>
    </w:p>
    <w:p w14:paraId="31DBD173" w14:textId="4BD8467D" w:rsidR="002A30D1" w:rsidRPr="001B63BC" w:rsidRDefault="002A30D1" w:rsidP="002A30D1">
      <w:pPr>
        <w:jc w:val="both"/>
        <w:rPr>
          <w:b/>
          <w:bCs/>
          <w:lang w:val="en-US"/>
        </w:rPr>
      </w:pPr>
      <w:r>
        <w:rPr>
          <w:b/>
          <w:bCs/>
          <w:lang w:val="en-US"/>
        </w:rPr>
        <w:t xml:space="preserve">Figure S40. Mice survival of each group 4 days after 8 Gy irradiation. </w:t>
      </w:r>
      <w:r>
        <w:rPr>
          <w:lang w:val="en-US"/>
        </w:rPr>
        <w:t>(A) Survival rate curve. (B) Comparison of survival of mice in each group at day 4 post-irradiation.</w:t>
      </w:r>
      <w:r w:rsidR="001B63BC" w:rsidRPr="001B63BC">
        <w:rPr>
          <w:rFonts w:cs="Arial"/>
          <w:szCs w:val="17"/>
          <w:lang w:val="en-US"/>
        </w:rPr>
        <w:t xml:space="preserve"> </w:t>
      </w:r>
      <w:r w:rsidR="001B63BC" w:rsidRPr="001B63BC">
        <w:rPr>
          <w:rFonts w:cs="Arial"/>
          <w:szCs w:val="17"/>
          <w:lang w:val="en-US"/>
        </w:rPr>
        <w:t xml:space="preserve">Grouping details: The 0 Gy group comprised normal mice (neither irradiation nor injection). The </w:t>
      </w:r>
      <w:r w:rsidR="001B63BC" w:rsidRPr="0038727A">
        <w:rPr>
          <w:rFonts w:cs="Arial"/>
          <w:szCs w:val="17"/>
        </w:rPr>
        <w:t>γ</w:t>
      </w:r>
      <w:r w:rsidR="001B63BC" w:rsidRPr="001B63BC">
        <w:rPr>
          <w:rFonts w:cs="Arial"/>
          <w:szCs w:val="17"/>
          <w:lang w:val="en-US"/>
        </w:rPr>
        <w:t xml:space="preserve">-ray group was irradiated with 8 Gy without injection. The </w:t>
      </w:r>
      <w:r w:rsidR="001B63BC" w:rsidRPr="0038727A">
        <w:rPr>
          <w:rFonts w:cs="Arial"/>
          <w:szCs w:val="17"/>
        </w:rPr>
        <w:t>γ</w:t>
      </w:r>
      <w:r w:rsidR="001B63BC" w:rsidRPr="001B63BC">
        <w:rPr>
          <w:rFonts w:cs="Arial"/>
          <w:szCs w:val="17"/>
          <w:lang w:val="en-US"/>
        </w:rPr>
        <w:t xml:space="preserve">-ray+SeMNPs-4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7.5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 SeMNPs-4.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ray+low-AMF</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30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w:t>
      </w:r>
      <w:r w:rsidR="001B63BC" w:rsidRPr="001B63BC">
        <w:rPr>
          <w:rFonts w:cs="Arial"/>
          <w:szCs w:val="17"/>
          <w:lang w:val="en-US"/>
        </w:rPr>
        <w:t xml:space="preserve">AMF.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ray+high-AMF</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100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w:t>
      </w:r>
      <w:r w:rsidR="001B63BC" w:rsidRPr="001B63BC">
        <w:rPr>
          <w:rFonts w:cs="Arial"/>
          <w:szCs w:val="17"/>
          <w:lang w:val="en-US"/>
        </w:rPr>
        <w:t xml:space="preserve">AMF. The </w:t>
      </w:r>
      <w:r w:rsidR="001B63BC" w:rsidRPr="0038727A">
        <w:rPr>
          <w:rFonts w:cs="Arial"/>
          <w:szCs w:val="17"/>
        </w:rPr>
        <w:t>γ</w:t>
      </w:r>
      <w:r w:rsidR="001B63BC" w:rsidRPr="001B63BC">
        <w:rPr>
          <w:rFonts w:cs="Arial"/>
          <w:szCs w:val="17"/>
          <w:lang w:val="en-US"/>
        </w:rPr>
        <w:t>-</w:t>
      </w:r>
      <w:proofErr w:type="spellStart"/>
      <w:r w:rsidR="001B63BC" w:rsidRPr="001B63BC">
        <w:rPr>
          <w:rFonts w:cs="Arial"/>
          <w:szCs w:val="17"/>
          <w:lang w:val="en-US"/>
        </w:rPr>
        <w:t>ray+SOD</w:t>
      </w:r>
      <w:proofErr w:type="spellEnd"/>
      <w:r w:rsidR="001B63BC" w:rsidRPr="001B63BC">
        <w:rPr>
          <w:rFonts w:cs="Arial"/>
          <w:szCs w:val="17"/>
          <w:lang w:val="en-US"/>
        </w:rPr>
        <w:t xml:space="preserve"> group was both irradiated with </w:t>
      </w:r>
      <w:r w:rsidR="001B63BC" w:rsidRPr="001B63BC">
        <w:rPr>
          <w:rFonts w:eastAsiaTheme="minorEastAsia" w:cs="Arial" w:hint="eastAsia"/>
          <w:szCs w:val="17"/>
          <w:lang w:val="en-US" w:eastAsia="zh-CN"/>
        </w:rPr>
        <w:t>8</w:t>
      </w:r>
      <w:r w:rsidR="001B63BC" w:rsidRPr="001B63BC">
        <w:rPr>
          <w:rFonts w:cs="Arial"/>
          <w:szCs w:val="17"/>
          <w:lang w:val="en-US"/>
        </w:rPr>
        <w:t xml:space="preserve"> Gy and intraperitoneally injected </w:t>
      </w:r>
      <w:r w:rsidR="001B63BC" w:rsidRPr="001B63BC">
        <w:rPr>
          <w:rFonts w:eastAsiaTheme="minorEastAsia" w:cs="Arial" w:hint="eastAsia"/>
          <w:szCs w:val="17"/>
          <w:lang w:val="en-US" w:eastAsia="zh-CN"/>
        </w:rPr>
        <w:t>30</w:t>
      </w:r>
      <w:r w:rsidR="001B63BC" w:rsidRPr="001B63BC">
        <w:rPr>
          <w:rFonts w:cs="Arial"/>
          <w:szCs w:val="17"/>
          <w:lang w:val="en-US"/>
        </w:rPr>
        <w:t xml:space="preserve"> mg</w:t>
      </w:r>
      <w:r w:rsidR="001B63BC" w:rsidRPr="001B63BC">
        <w:rPr>
          <w:rFonts w:eastAsiaTheme="minorEastAsia" w:cs="Arial"/>
          <w:szCs w:val="17"/>
          <w:lang w:val="en-US" w:eastAsia="zh-CN"/>
        </w:rPr>
        <w:t xml:space="preserve"> </w:t>
      </w:r>
      <w:r w:rsidR="001B63BC" w:rsidRPr="001B63BC">
        <w:rPr>
          <w:rFonts w:cs="Arial"/>
          <w:szCs w:val="17"/>
          <w:lang w:val="en-US"/>
        </w:rPr>
        <w:t>kg</w:t>
      </w:r>
      <w:r w:rsidR="001B63BC" w:rsidRPr="001B63BC">
        <w:rPr>
          <w:rFonts w:cs="Arial"/>
          <w:szCs w:val="17"/>
          <w:vertAlign w:val="superscript"/>
          <w:lang w:val="en-US"/>
        </w:rPr>
        <w:t>−1</w:t>
      </w:r>
      <w:r w:rsidR="001B63BC" w:rsidRPr="001B63BC">
        <w:rPr>
          <w:rFonts w:cs="Arial"/>
          <w:szCs w:val="17"/>
          <w:lang w:val="en-US"/>
        </w:rPr>
        <w:t xml:space="preserve"> body weight</w:t>
      </w:r>
      <w:r w:rsidR="001B63BC" w:rsidRPr="001B63BC">
        <w:rPr>
          <w:rFonts w:eastAsiaTheme="minorEastAsia" w:cs="Arial" w:hint="eastAsia"/>
          <w:szCs w:val="17"/>
          <w:lang w:val="en-US" w:eastAsia="zh-CN"/>
        </w:rPr>
        <w:t xml:space="preserve"> SOD</w:t>
      </w:r>
    </w:p>
    <w:p w14:paraId="58FEF906" w14:textId="77777777" w:rsidR="002A30D1" w:rsidRDefault="002A30D1" w:rsidP="002A30D1">
      <w:pPr>
        <w:jc w:val="both"/>
        <w:rPr>
          <w:b/>
          <w:bCs/>
          <w:lang w:val="en-US"/>
        </w:rPr>
      </w:pPr>
      <w:r>
        <w:rPr>
          <w:b/>
          <w:bCs/>
          <w:lang w:val="en-US"/>
        </w:rPr>
        <w:br w:type="page"/>
      </w:r>
    </w:p>
    <w:p w14:paraId="48A449A0" w14:textId="77777777" w:rsidR="002A30D1" w:rsidRDefault="002A30D1" w:rsidP="002A30D1">
      <w:pPr>
        <w:jc w:val="center"/>
        <w:rPr>
          <w:b/>
          <w:bCs/>
        </w:rPr>
      </w:pPr>
      <w:r>
        <w:rPr>
          <w:noProof/>
        </w:rPr>
        <w:lastRenderedPageBreak/>
        <w:drawing>
          <wp:inline distT="0" distB="0" distL="0" distR="0" wp14:anchorId="78BB7947" wp14:editId="4B289985">
            <wp:extent cx="4533900" cy="4459605"/>
            <wp:effectExtent l="0" t="0" r="0" b="0"/>
            <wp:docPr id="533249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49557" name="图片 1"/>
                    <pic:cNvPicPr>
                      <a:picLocks noChangeAspect="1" noChangeArrowheads="1"/>
                    </pic:cNvPicPr>
                  </pic:nvPicPr>
                  <pic:blipFill>
                    <a:blip r:embed="rId47" cstate="hqprint"/>
                    <a:srcRect t="4751" b="27154"/>
                    <a:stretch>
                      <a:fillRect/>
                    </a:stretch>
                  </pic:blipFill>
                  <pic:spPr>
                    <a:xfrm>
                      <a:off x="0" y="0"/>
                      <a:ext cx="4535388" cy="4461127"/>
                    </a:xfrm>
                    <a:prstGeom prst="rect">
                      <a:avLst/>
                    </a:prstGeom>
                    <a:noFill/>
                    <a:ln>
                      <a:noFill/>
                    </a:ln>
                  </pic:spPr>
                </pic:pic>
              </a:graphicData>
            </a:graphic>
          </wp:inline>
        </w:drawing>
      </w:r>
    </w:p>
    <w:p w14:paraId="61A94EEC" w14:textId="1105BA05" w:rsidR="002A30D1" w:rsidRDefault="002A30D1" w:rsidP="002A30D1">
      <w:pPr>
        <w:jc w:val="both"/>
        <w:rPr>
          <w:lang w:val="en-US"/>
        </w:rPr>
      </w:pPr>
      <w:r>
        <w:rPr>
          <w:b/>
          <w:bCs/>
          <w:lang w:val="en-US"/>
        </w:rPr>
        <w:t>Figure S41. Blood routine indices at day 30 after irradiation for long-term radioprotective evaluation.</w:t>
      </w:r>
      <w:r>
        <w:rPr>
          <w:lang w:val="en-US"/>
        </w:rPr>
        <w:t xml:space="preserve"> </w:t>
      </w:r>
      <w:r w:rsidR="001B63BC" w:rsidRPr="001B63BC">
        <w:rPr>
          <w:lang w:val="en-US"/>
        </w:rPr>
        <w:t xml:space="preserve">Grouping details: The 0 Gy group comprises normal mice (neither irradiation nor injection). The </w:t>
      </w:r>
      <w:r w:rsidR="001B63BC" w:rsidRPr="001B63BC">
        <w:t>γ</w:t>
      </w:r>
      <w:r w:rsidR="001B63BC" w:rsidRPr="001B63BC">
        <w:rPr>
          <w:lang w:val="en-US"/>
        </w:rPr>
        <w:t xml:space="preserve">-ray group was only irradiated with 6 Gy </w:t>
      </w:r>
      <w:r w:rsidR="001B63BC" w:rsidRPr="001B63BC">
        <w:t>γ</w:t>
      </w:r>
      <w:r w:rsidR="001B63BC" w:rsidRPr="001B63BC">
        <w:rPr>
          <w:lang w:val="en-US"/>
        </w:rPr>
        <w:t xml:space="preserve">-ray without injection. The </w:t>
      </w:r>
      <w:r w:rsidR="001B63BC" w:rsidRPr="001B63BC">
        <w:t>γ</w:t>
      </w:r>
      <w:r w:rsidR="001B63BC" w:rsidRPr="001B63BC">
        <w:rPr>
          <w:lang w:val="en-US"/>
        </w:rPr>
        <w:t>-ray+SeMNPs-4 group was both irradiated with 6 Gy and intraperitoneally injected 7.5 mg</w:t>
      </w:r>
      <w:r w:rsidR="001B63BC" w:rsidRPr="001B63BC">
        <w:rPr>
          <w:rFonts w:eastAsiaTheme="minorEastAsia"/>
          <w:lang w:val="en-US" w:eastAsia="zh-CN"/>
        </w:rPr>
        <w:t xml:space="preserve"> </w:t>
      </w:r>
      <w:r w:rsidR="001B63BC" w:rsidRPr="001B63BC">
        <w:rPr>
          <w:lang w:val="en-US"/>
        </w:rPr>
        <w:t>kg</w:t>
      </w:r>
      <w:r w:rsidR="001B63BC" w:rsidRPr="001B63BC">
        <w:rPr>
          <w:vertAlign w:val="superscript"/>
          <w:lang w:val="en-US"/>
        </w:rPr>
        <w:t>−1</w:t>
      </w:r>
      <w:r w:rsidR="001B63BC" w:rsidRPr="001B63BC">
        <w:rPr>
          <w:lang w:val="en-US"/>
        </w:rPr>
        <w:t xml:space="preserve"> body weight SeMNPs-4. The 0 Gy+SeMNPs-4 group was intraperitoneally injected 7.5 mg</w:t>
      </w:r>
      <w:r w:rsidR="001B63BC" w:rsidRPr="001B63BC">
        <w:rPr>
          <w:rFonts w:eastAsiaTheme="minorEastAsia"/>
          <w:lang w:val="en-US" w:eastAsia="zh-CN"/>
        </w:rPr>
        <w:t xml:space="preserve"> </w:t>
      </w:r>
      <w:r w:rsidR="001B63BC" w:rsidRPr="001B63BC">
        <w:rPr>
          <w:lang w:val="en-US"/>
        </w:rPr>
        <w:t>kg</w:t>
      </w:r>
      <w:r w:rsidR="001B63BC" w:rsidRPr="001B63BC">
        <w:rPr>
          <w:vertAlign w:val="superscript"/>
          <w:lang w:val="en-US"/>
        </w:rPr>
        <w:t>−1</w:t>
      </w:r>
      <w:r w:rsidR="001B63BC" w:rsidRPr="001B63BC">
        <w:rPr>
          <w:lang w:val="en-US"/>
        </w:rPr>
        <w:t xml:space="preserve"> body weight SeMNPs-4 without irradiation. </w:t>
      </w:r>
      <w:r>
        <w:rPr>
          <w:lang w:val="en-US"/>
        </w:rPr>
        <w:t>Error bars represent standard deviation from ≥ three experiments. NS means no statistical difference (</w:t>
      </w:r>
      <w:r>
        <w:rPr>
          <w:i/>
          <w:iCs/>
          <w:lang w:val="en-US"/>
        </w:rPr>
        <w:t>P</w:t>
      </w:r>
      <w:r>
        <w:rPr>
          <w:lang w:val="en-US"/>
        </w:rPr>
        <w:t xml:space="preserve"> &gt; 0.05).</w:t>
      </w:r>
    </w:p>
    <w:p w14:paraId="37459EBC" w14:textId="77777777" w:rsidR="002A30D1" w:rsidRDefault="002A30D1" w:rsidP="002A30D1">
      <w:pPr>
        <w:rPr>
          <w:lang w:val="en-US"/>
        </w:rPr>
      </w:pPr>
      <w:r>
        <w:rPr>
          <w:lang w:val="en-US"/>
        </w:rPr>
        <w:br w:type="page"/>
      </w:r>
    </w:p>
    <w:p w14:paraId="04E75476" w14:textId="77777777" w:rsidR="002A30D1" w:rsidRPr="003B12D5" w:rsidRDefault="002A30D1" w:rsidP="002A30D1">
      <w:pPr>
        <w:jc w:val="center"/>
        <w:rPr>
          <w:b/>
          <w:bCs/>
          <w:lang w:val="en-US"/>
        </w:rPr>
      </w:pPr>
      <w:r w:rsidRPr="00085E4A">
        <w:rPr>
          <w:b/>
          <w:bCs/>
          <w:noProof/>
          <w:lang w:val="en-US"/>
        </w:rPr>
        <w:lastRenderedPageBreak/>
        <w:drawing>
          <wp:inline distT="0" distB="0" distL="0" distR="0" wp14:anchorId="6F965F8D" wp14:editId="097C969D">
            <wp:extent cx="4191000" cy="6242050"/>
            <wp:effectExtent l="0" t="0" r="0" b="6350"/>
            <wp:docPr id="1360092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929" t="2442" r="18320" b="22542"/>
                    <a:stretch/>
                  </pic:blipFill>
                  <pic:spPr bwMode="auto">
                    <a:xfrm>
                      <a:off x="0" y="0"/>
                      <a:ext cx="4191000" cy="6242050"/>
                    </a:xfrm>
                    <a:prstGeom prst="rect">
                      <a:avLst/>
                    </a:prstGeom>
                    <a:noFill/>
                    <a:ln>
                      <a:noFill/>
                    </a:ln>
                    <a:extLst>
                      <a:ext uri="{53640926-AAD7-44D8-BBD7-CCE9431645EC}">
                        <a14:shadowObscured xmlns:a14="http://schemas.microsoft.com/office/drawing/2010/main"/>
                      </a:ext>
                    </a:extLst>
                  </pic:spPr>
                </pic:pic>
              </a:graphicData>
            </a:graphic>
          </wp:inline>
        </w:drawing>
      </w:r>
    </w:p>
    <w:p w14:paraId="4C1D3894" w14:textId="463B3725" w:rsidR="001B63BC" w:rsidRPr="001B63BC" w:rsidRDefault="002A30D1" w:rsidP="001B63BC">
      <w:pPr>
        <w:pStyle w:val="P1"/>
        <w:spacing w:after="240" w:line="240" w:lineRule="atLeast"/>
        <w:rPr>
          <w:rFonts w:ascii="Times New Roman" w:eastAsiaTheme="minorEastAsia" w:hAnsi="Times New Roman"/>
          <w:sz w:val="24"/>
          <w:lang w:eastAsia="zh-CN"/>
        </w:rPr>
      </w:pPr>
      <w:r w:rsidRPr="001B63BC">
        <w:rPr>
          <w:rFonts w:ascii="Times New Roman" w:hAnsi="Times New Roman"/>
          <w:b/>
          <w:bCs/>
          <w:sz w:val="24"/>
        </w:rPr>
        <w:t>Figure S4</w:t>
      </w:r>
      <w:r w:rsidRPr="001B63BC">
        <w:rPr>
          <w:rFonts w:ascii="Times New Roman" w:eastAsiaTheme="minorEastAsia" w:hAnsi="Times New Roman"/>
          <w:b/>
          <w:bCs/>
          <w:sz w:val="24"/>
          <w:lang w:eastAsia="zh-CN"/>
        </w:rPr>
        <w:t>2</w:t>
      </w:r>
      <w:r w:rsidRPr="001B63BC">
        <w:rPr>
          <w:rFonts w:ascii="Times New Roman" w:hAnsi="Times New Roman"/>
          <w:b/>
          <w:bCs/>
          <w:sz w:val="24"/>
        </w:rPr>
        <w:t xml:space="preserve">. </w:t>
      </w:r>
      <w:r w:rsidRPr="001B63BC">
        <w:rPr>
          <w:rFonts w:ascii="Times New Roman" w:eastAsiaTheme="minorEastAsia" w:hAnsi="Times New Roman"/>
          <w:b/>
          <w:bCs/>
          <w:sz w:val="24"/>
          <w:lang w:eastAsia="zh-CN"/>
        </w:rPr>
        <w:t>Long-term</w:t>
      </w:r>
      <w:r w:rsidRPr="001B63BC">
        <w:rPr>
          <w:rFonts w:ascii="Times New Roman" w:hAnsi="Times New Roman"/>
          <w:b/>
          <w:bCs/>
          <w:sz w:val="24"/>
        </w:rPr>
        <w:t xml:space="preserve"> organ protection after </w:t>
      </w:r>
      <w:r w:rsidRPr="001B63BC">
        <w:rPr>
          <w:rFonts w:ascii="Times New Roman" w:eastAsiaTheme="minorEastAsia" w:hAnsi="Times New Roman"/>
          <w:b/>
          <w:bCs/>
          <w:sz w:val="24"/>
          <w:lang w:eastAsia="zh-CN"/>
        </w:rPr>
        <w:t>6</w:t>
      </w:r>
      <w:r w:rsidRPr="001B63BC">
        <w:rPr>
          <w:rFonts w:ascii="Times New Roman" w:hAnsi="Times New Roman"/>
          <w:b/>
          <w:bCs/>
          <w:sz w:val="24"/>
        </w:rPr>
        <w:t xml:space="preserve"> Gy irradiation.</w:t>
      </w:r>
      <w:r w:rsidRPr="001B63BC">
        <w:rPr>
          <w:rFonts w:ascii="Times New Roman" w:hAnsi="Times New Roman"/>
          <w:sz w:val="24"/>
        </w:rPr>
        <w:t xml:space="preserve"> (A) H&amp;E staining of spleen, lungs, kidneys, liver</w:t>
      </w:r>
      <w:r w:rsidRPr="001B63BC">
        <w:rPr>
          <w:rFonts w:ascii="Times New Roman" w:eastAsiaTheme="minorEastAsia" w:hAnsi="Times New Roman"/>
          <w:sz w:val="24"/>
          <w:lang w:eastAsia="zh-CN"/>
        </w:rPr>
        <w:t>,</w:t>
      </w:r>
      <w:r w:rsidRPr="001B63BC">
        <w:rPr>
          <w:rFonts w:ascii="Times New Roman" w:hAnsi="Times New Roman"/>
          <w:sz w:val="24"/>
        </w:rPr>
        <w:t xml:space="preserve"> </w:t>
      </w:r>
      <w:r w:rsidRPr="001B63BC">
        <w:rPr>
          <w:rFonts w:ascii="Times New Roman" w:eastAsiaTheme="minorEastAsia" w:hAnsi="Times New Roman"/>
          <w:sz w:val="24"/>
          <w:lang w:eastAsia="zh-CN"/>
        </w:rPr>
        <w:t xml:space="preserve">intestines and </w:t>
      </w:r>
      <w:r w:rsidRPr="001B63BC">
        <w:rPr>
          <w:rFonts w:ascii="Times New Roman" w:hAnsi="Times New Roman"/>
          <w:sz w:val="24"/>
        </w:rPr>
        <w:t>stomach</w:t>
      </w:r>
      <w:r w:rsidRPr="001B63BC">
        <w:rPr>
          <w:rFonts w:ascii="Times New Roman" w:eastAsiaTheme="minorEastAsia" w:hAnsi="Times New Roman"/>
          <w:sz w:val="24"/>
          <w:lang w:eastAsia="zh-CN"/>
        </w:rPr>
        <w:t xml:space="preserve"> 30</w:t>
      </w:r>
      <w:r w:rsidRPr="001B63BC">
        <w:rPr>
          <w:rFonts w:ascii="Times New Roman" w:hAnsi="Times New Roman"/>
          <w:sz w:val="24"/>
        </w:rPr>
        <w:t xml:space="preserve"> days after irradiation for multi-organ observation. (B) Morphological detection of heart 4 days after irradiation, including H&amp;E staining, Masson staining and Sirius red staining. Scale bar: 50 </w:t>
      </w:r>
      <w:proofErr w:type="spellStart"/>
      <w:r w:rsidRPr="001B63BC">
        <w:rPr>
          <w:rFonts w:ascii="Times New Roman" w:hAnsi="Times New Roman"/>
          <w:sz w:val="24"/>
        </w:rPr>
        <w:t>μm</w:t>
      </w:r>
      <w:proofErr w:type="spellEnd"/>
      <w:r w:rsidRPr="001B63BC">
        <w:rPr>
          <w:rFonts w:ascii="Times New Roman" w:hAnsi="Times New Roman"/>
          <w:sz w:val="24"/>
        </w:rPr>
        <w:t>.</w:t>
      </w:r>
      <w:r w:rsidR="001B63BC" w:rsidRPr="001B63BC">
        <w:rPr>
          <w:rFonts w:ascii="Times New Roman" w:hAnsi="Times New Roman"/>
          <w:sz w:val="24"/>
        </w:rPr>
        <w:t xml:space="preserve"> </w:t>
      </w:r>
      <w:r w:rsidR="001B63BC" w:rsidRPr="001B63BC">
        <w:rPr>
          <w:rFonts w:ascii="Times New Roman" w:hAnsi="Times New Roman"/>
          <w:sz w:val="24"/>
        </w:rPr>
        <w:t>Grouping details: The 0 Gy group comprises normal mice (neither irradiation nor injection). The γ-ray group was only irradiated with 6 Gy γ-ray without injection. The γ-ray+SeMNPs-4 group was both irradiated with 6 Gy and intraperitoneally injected 7.5 mg</w:t>
      </w:r>
      <w:r w:rsidR="001B63BC" w:rsidRPr="001B63BC">
        <w:rPr>
          <w:rFonts w:ascii="Times New Roman" w:eastAsiaTheme="minorEastAsia" w:hAnsi="Times New Roman"/>
          <w:sz w:val="24"/>
          <w:lang w:eastAsia="zh-CN"/>
        </w:rPr>
        <w:t xml:space="preserve"> </w:t>
      </w:r>
      <w:r w:rsidR="001B63BC" w:rsidRPr="001B63BC">
        <w:rPr>
          <w:rFonts w:ascii="Times New Roman" w:hAnsi="Times New Roman"/>
          <w:sz w:val="24"/>
        </w:rPr>
        <w:t>kg</w:t>
      </w:r>
      <w:r w:rsidR="001B63BC" w:rsidRPr="001B63BC">
        <w:rPr>
          <w:rFonts w:ascii="Times New Roman" w:hAnsi="Times New Roman"/>
          <w:sz w:val="24"/>
          <w:vertAlign w:val="superscript"/>
        </w:rPr>
        <w:t>−1</w:t>
      </w:r>
      <w:r w:rsidR="001B63BC" w:rsidRPr="001B63BC">
        <w:rPr>
          <w:rFonts w:ascii="Times New Roman" w:hAnsi="Times New Roman"/>
          <w:sz w:val="24"/>
        </w:rPr>
        <w:t xml:space="preserve"> body weight SeMNPs-4. The 0 Gy+SeMNPs-4 group was intraperitoneally injected 7.5 mg</w:t>
      </w:r>
      <w:r w:rsidR="001B63BC" w:rsidRPr="001B63BC">
        <w:rPr>
          <w:rFonts w:ascii="Times New Roman" w:eastAsiaTheme="minorEastAsia" w:hAnsi="Times New Roman"/>
          <w:sz w:val="24"/>
          <w:lang w:eastAsia="zh-CN"/>
        </w:rPr>
        <w:t xml:space="preserve"> </w:t>
      </w:r>
      <w:r w:rsidR="001B63BC" w:rsidRPr="001B63BC">
        <w:rPr>
          <w:rFonts w:ascii="Times New Roman" w:hAnsi="Times New Roman"/>
          <w:sz w:val="24"/>
        </w:rPr>
        <w:t>kg</w:t>
      </w:r>
      <w:r w:rsidR="001B63BC" w:rsidRPr="001B63BC">
        <w:rPr>
          <w:rFonts w:ascii="Times New Roman" w:hAnsi="Times New Roman"/>
          <w:sz w:val="24"/>
          <w:vertAlign w:val="superscript"/>
        </w:rPr>
        <w:t>−1</w:t>
      </w:r>
      <w:r w:rsidR="001B63BC" w:rsidRPr="001B63BC">
        <w:rPr>
          <w:rFonts w:ascii="Times New Roman" w:hAnsi="Times New Roman"/>
          <w:sz w:val="24"/>
        </w:rPr>
        <w:t xml:space="preserve"> body weight SeMNPs-4 without irradiation. </w:t>
      </w:r>
    </w:p>
    <w:p w14:paraId="399FF541" w14:textId="18107111" w:rsidR="002A30D1" w:rsidRPr="001B63BC" w:rsidRDefault="002A30D1" w:rsidP="002A30D1">
      <w:pPr>
        <w:jc w:val="both"/>
        <w:rPr>
          <w:lang w:val="en-US"/>
        </w:rPr>
      </w:pPr>
    </w:p>
    <w:p w14:paraId="489095E8" w14:textId="77777777" w:rsidR="002A30D1" w:rsidRDefault="002A30D1" w:rsidP="002A30D1">
      <w:pPr>
        <w:jc w:val="both"/>
        <w:rPr>
          <w:b/>
          <w:bCs/>
          <w:lang w:val="en-US"/>
        </w:rPr>
      </w:pPr>
      <w:r>
        <w:rPr>
          <w:b/>
          <w:bCs/>
          <w:lang w:val="en-US"/>
        </w:rPr>
        <w:br w:type="page"/>
      </w:r>
    </w:p>
    <w:p w14:paraId="6DD3B035" w14:textId="77777777" w:rsidR="002A30D1" w:rsidRDefault="002A30D1" w:rsidP="002A30D1">
      <w:pPr>
        <w:jc w:val="both"/>
        <w:rPr>
          <w:b/>
          <w:bCs/>
          <w:lang w:val="en-US"/>
        </w:rPr>
      </w:pPr>
      <w:bookmarkStart w:id="45" w:name="OLE_LINK27"/>
      <w:r>
        <w:rPr>
          <w:b/>
          <w:bCs/>
          <w:lang w:val="en-US"/>
        </w:rPr>
        <w:lastRenderedPageBreak/>
        <w:t>Supporting Tables</w:t>
      </w:r>
    </w:p>
    <w:bookmarkEnd w:id="45"/>
    <w:p w14:paraId="6D1BD3AB" w14:textId="77777777" w:rsidR="002A30D1" w:rsidRDefault="002A30D1" w:rsidP="002A30D1">
      <w:pPr>
        <w:jc w:val="both"/>
        <w:rPr>
          <w:b/>
          <w:bCs/>
          <w:lang w:val="en-US"/>
        </w:rPr>
      </w:pPr>
    </w:p>
    <w:p w14:paraId="5F942F0C" w14:textId="77777777" w:rsidR="002A30D1" w:rsidRDefault="002A30D1" w:rsidP="002A30D1">
      <w:pPr>
        <w:jc w:val="both"/>
        <w:rPr>
          <w:lang w:val="en-US"/>
        </w:rPr>
      </w:pPr>
      <w:r>
        <w:rPr>
          <w:b/>
          <w:bCs/>
          <w:lang w:val="en-US"/>
        </w:rPr>
        <w:t xml:space="preserve">Table S1. Estimation of </w:t>
      </w:r>
      <w:bookmarkStart w:id="46" w:name="_Hlk163591531"/>
      <w:bookmarkStart w:id="47" w:name="_Hlk163591544"/>
      <w:r>
        <w:rPr>
          <w:b/>
          <w:bCs/>
          <w:lang w:val="en-US"/>
        </w:rPr>
        <w:t>decarboxylation</w:t>
      </w:r>
      <w:bookmarkEnd w:id="46"/>
      <w:r>
        <w:rPr>
          <w:b/>
          <w:bCs/>
          <w:lang w:val="en-US"/>
        </w:rPr>
        <w:t xml:space="preserve"> ratio</w:t>
      </w:r>
      <w:bookmarkEnd w:id="47"/>
      <w:r>
        <w:rPr>
          <w:b/>
          <w:bCs/>
          <w:lang w:val="en-US"/>
        </w:rPr>
        <w:t xml:space="preserve"> of SeMNPs-1 and SeMNPs-2.</w:t>
      </w:r>
      <w:r>
        <w:rPr>
          <w:lang w:val="en-US"/>
        </w:rPr>
        <w:t xml:space="preserve"> </w:t>
      </w:r>
    </w:p>
    <w:p w14:paraId="52DDB6CD" w14:textId="77777777" w:rsidR="002A30D1" w:rsidRDefault="002A30D1" w:rsidP="002A30D1">
      <w:pPr>
        <w:jc w:val="both"/>
        <w:rPr>
          <w:lang w:val="en-US"/>
        </w:rPr>
      </w:pPr>
      <w:r>
        <w:rPr>
          <w:lang w:val="en-US"/>
        </w:rPr>
        <w:t>The theoretical C content was calculated from the elemental ratios of Se and N in XPS spectra, and the decarboxylation ratio was estimated by comparing that with the actual C content in XPS spectra. For example, for SeMNPs-1, the monomers are L-DOPA (C</w:t>
      </w:r>
      <w:r>
        <w:rPr>
          <w:vertAlign w:val="subscript"/>
          <w:lang w:val="en-US"/>
        </w:rPr>
        <w:t>9</w:t>
      </w:r>
      <w:r>
        <w:rPr>
          <w:lang w:val="en-US"/>
        </w:rPr>
        <w:t>H</w:t>
      </w:r>
      <w:r>
        <w:rPr>
          <w:vertAlign w:val="subscript"/>
          <w:lang w:val="en-US"/>
        </w:rPr>
        <w:t>11</w:t>
      </w:r>
      <w:r>
        <w:rPr>
          <w:lang w:val="en-US"/>
        </w:rPr>
        <w:t>NO</w:t>
      </w:r>
      <w:r>
        <w:rPr>
          <w:vertAlign w:val="subscript"/>
          <w:lang w:val="en-US"/>
        </w:rPr>
        <w:t>4</w:t>
      </w:r>
      <w:r>
        <w:rPr>
          <w:lang w:val="en-US"/>
        </w:rPr>
        <w:t>) and selenocysteine (Sec, C</w:t>
      </w:r>
      <w:r>
        <w:rPr>
          <w:vertAlign w:val="subscript"/>
          <w:lang w:val="en-US"/>
        </w:rPr>
        <w:t>3</w:t>
      </w:r>
      <w:r>
        <w:rPr>
          <w:lang w:val="en-US"/>
        </w:rPr>
        <w:t>H7NO</w:t>
      </w:r>
      <w:r>
        <w:rPr>
          <w:vertAlign w:val="subscript"/>
          <w:lang w:val="en-US"/>
        </w:rPr>
        <w:t>2</w:t>
      </w:r>
      <w:r>
        <w:rPr>
          <w:lang w:val="en-US"/>
        </w:rPr>
        <w:t xml:space="preserve">Se). Experimental Se atomic content was </w:t>
      </w:r>
      <w:proofErr w:type="spellStart"/>
      <w:r>
        <w:rPr>
          <w:i/>
          <w:iCs/>
          <w:lang w:val="en-US"/>
        </w:rPr>
        <w:t>At</w:t>
      </w:r>
      <w:r>
        <w:rPr>
          <w:i/>
          <w:iCs/>
          <w:vertAlign w:val="subscript"/>
          <w:lang w:val="en-US"/>
        </w:rPr>
        <w:t>actual</w:t>
      </w:r>
      <w:proofErr w:type="spellEnd"/>
      <w:r>
        <w:rPr>
          <w:i/>
          <w:iCs/>
          <w:lang w:val="en-US"/>
        </w:rPr>
        <w:t>(Se)</w:t>
      </w:r>
      <w:r>
        <w:rPr>
          <w:lang w:val="en-US"/>
        </w:rPr>
        <w:t xml:space="preserve">=1.0 at%, which is from the monomer selenocysteine. Thus, N content from selenocysteine was </w:t>
      </w:r>
      <w:proofErr w:type="spellStart"/>
      <w:r>
        <w:rPr>
          <w:i/>
          <w:iCs/>
          <w:lang w:val="en-US"/>
        </w:rPr>
        <w:t>At</w:t>
      </w:r>
      <w:r>
        <w:rPr>
          <w:i/>
          <w:iCs/>
          <w:vertAlign w:val="subscript"/>
          <w:lang w:val="en-US"/>
        </w:rPr>
        <w:t>Sec</w:t>
      </w:r>
      <w:proofErr w:type="spellEnd"/>
      <w:r>
        <w:rPr>
          <w:i/>
          <w:iCs/>
          <w:lang w:val="en-US"/>
        </w:rPr>
        <w:t>(N)</w:t>
      </w:r>
      <w:r>
        <w:rPr>
          <w:lang w:val="en-US"/>
        </w:rPr>
        <w:t>=</w:t>
      </w:r>
      <w:proofErr w:type="spellStart"/>
      <w:r>
        <w:rPr>
          <w:i/>
          <w:iCs/>
          <w:lang w:val="en-US"/>
        </w:rPr>
        <w:t>At</w:t>
      </w:r>
      <w:r>
        <w:rPr>
          <w:i/>
          <w:iCs/>
          <w:vertAlign w:val="subscript"/>
          <w:lang w:val="en-US"/>
        </w:rPr>
        <w:t>actual</w:t>
      </w:r>
      <w:proofErr w:type="spellEnd"/>
      <w:r>
        <w:rPr>
          <w:i/>
          <w:iCs/>
          <w:lang w:val="en-US"/>
        </w:rPr>
        <w:t>(Se)</w:t>
      </w:r>
      <w:r>
        <w:rPr>
          <w:lang w:val="en-US"/>
        </w:rPr>
        <w:t xml:space="preserve">=1.0 at%, so theoretical C content from selenocysteine was </w:t>
      </w:r>
      <w:proofErr w:type="spellStart"/>
      <w:r>
        <w:rPr>
          <w:i/>
          <w:iCs/>
          <w:lang w:val="en-US"/>
        </w:rPr>
        <w:t>At</w:t>
      </w:r>
      <w:r>
        <w:rPr>
          <w:i/>
          <w:iCs/>
          <w:vertAlign w:val="subscript"/>
          <w:lang w:val="en-US"/>
        </w:rPr>
        <w:t>Sec</w:t>
      </w:r>
      <w:proofErr w:type="spellEnd"/>
      <w:r>
        <w:rPr>
          <w:i/>
          <w:iCs/>
          <w:lang w:val="en-US"/>
        </w:rPr>
        <w:t>(C)</w:t>
      </w:r>
      <w:r>
        <w:rPr>
          <w:lang w:val="en-US"/>
        </w:rPr>
        <w:t>=3*</w:t>
      </w:r>
      <w:proofErr w:type="spellStart"/>
      <w:r>
        <w:rPr>
          <w:i/>
          <w:iCs/>
          <w:lang w:val="en-US"/>
        </w:rPr>
        <w:t>At</w:t>
      </w:r>
      <w:r>
        <w:rPr>
          <w:i/>
          <w:iCs/>
          <w:vertAlign w:val="subscript"/>
          <w:lang w:val="en-US"/>
        </w:rPr>
        <w:t>Sec</w:t>
      </w:r>
      <w:proofErr w:type="spellEnd"/>
      <w:r>
        <w:rPr>
          <w:i/>
          <w:iCs/>
          <w:lang w:val="en-US"/>
        </w:rPr>
        <w:t>(N)</w:t>
      </w:r>
      <w:r>
        <w:rPr>
          <w:lang w:val="en-US"/>
        </w:rPr>
        <w:t xml:space="preserve">=3*1.0 at%=3.0 at%. Experimental N content was </w:t>
      </w:r>
      <w:proofErr w:type="spellStart"/>
      <w:r>
        <w:rPr>
          <w:i/>
          <w:iCs/>
          <w:lang w:val="en-US"/>
        </w:rPr>
        <w:t>At</w:t>
      </w:r>
      <w:r>
        <w:rPr>
          <w:i/>
          <w:iCs/>
          <w:vertAlign w:val="subscript"/>
          <w:lang w:val="en-US"/>
        </w:rPr>
        <w:t>actual</w:t>
      </w:r>
      <w:proofErr w:type="spellEnd"/>
      <w:r>
        <w:rPr>
          <w:i/>
          <w:iCs/>
          <w:lang w:val="en-US"/>
        </w:rPr>
        <w:t>(N)</w:t>
      </w:r>
      <w:r>
        <w:rPr>
          <w:lang w:val="en-US"/>
        </w:rPr>
        <w:t xml:space="preserve">=8.4 at%, so N content from L-DOPA was </w:t>
      </w:r>
      <w:proofErr w:type="spellStart"/>
      <w:r>
        <w:rPr>
          <w:i/>
          <w:iCs/>
          <w:lang w:val="en-US"/>
        </w:rPr>
        <w:t>At</w:t>
      </w:r>
      <w:r>
        <w:rPr>
          <w:i/>
          <w:iCs/>
          <w:vertAlign w:val="subscript"/>
          <w:lang w:val="en-US"/>
        </w:rPr>
        <w:t>L</w:t>
      </w:r>
      <w:proofErr w:type="spellEnd"/>
      <w:r>
        <w:rPr>
          <w:i/>
          <w:iCs/>
          <w:vertAlign w:val="subscript"/>
          <w:lang w:val="en-US"/>
        </w:rPr>
        <w:t>-DOPA</w:t>
      </w:r>
      <w:r>
        <w:rPr>
          <w:i/>
          <w:iCs/>
          <w:lang w:val="en-US"/>
        </w:rPr>
        <w:t>(N)</w:t>
      </w:r>
      <w:r>
        <w:rPr>
          <w:lang w:val="en-US"/>
        </w:rPr>
        <w:t>=</w:t>
      </w:r>
      <w:proofErr w:type="spellStart"/>
      <w:r>
        <w:rPr>
          <w:i/>
          <w:iCs/>
          <w:lang w:val="en-US"/>
        </w:rPr>
        <w:t>At</w:t>
      </w:r>
      <w:r>
        <w:rPr>
          <w:i/>
          <w:iCs/>
          <w:vertAlign w:val="subscript"/>
          <w:lang w:val="en-US"/>
        </w:rPr>
        <w:t>actual</w:t>
      </w:r>
      <w:proofErr w:type="spellEnd"/>
      <w:r>
        <w:rPr>
          <w:i/>
          <w:iCs/>
          <w:lang w:val="en-US"/>
        </w:rPr>
        <w:t>(N)</w:t>
      </w:r>
      <w:r>
        <w:rPr>
          <w:lang w:val="en-US"/>
        </w:rPr>
        <w:t xml:space="preserve">- </w:t>
      </w:r>
      <w:proofErr w:type="spellStart"/>
      <w:r>
        <w:rPr>
          <w:i/>
          <w:iCs/>
          <w:lang w:val="en-US"/>
        </w:rPr>
        <w:t>At</w:t>
      </w:r>
      <w:r>
        <w:rPr>
          <w:i/>
          <w:iCs/>
          <w:vertAlign w:val="subscript"/>
          <w:lang w:val="en-US"/>
        </w:rPr>
        <w:t>Sec</w:t>
      </w:r>
      <w:proofErr w:type="spellEnd"/>
      <w:r>
        <w:rPr>
          <w:i/>
          <w:iCs/>
          <w:lang w:val="en-US"/>
        </w:rPr>
        <w:t>(N)</w:t>
      </w:r>
      <w:r>
        <w:rPr>
          <w:lang w:val="en-US"/>
        </w:rPr>
        <w:t xml:space="preserve">=8.4 at%-1.0 at%=7.4 at%, and theoretical C content from selenocysteine was </w:t>
      </w:r>
      <w:proofErr w:type="spellStart"/>
      <w:r>
        <w:rPr>
          <w:i/>
          <w:iCs/>
          <w:lang w:val="en-US"/>
        </w:rPr>
        <w:t>At</w:t>
      </w:r>
      <w:r>
        <w:rPr>
          <w:i/>
          <w:iCs/>
          <w:vertAlign w:val="subscript"/>
          <w:lang w:val="en-US"/>
        </w:rPr>
        <w:t>L</w:t>
      </w:r>
      <w:proofErr w:type="spellEnd"/>
      <w:r>
        <w:rPr>
          <w:i/>
          <w:iCs/>
          <w:vertAlign w:val="subscript"/>
          <w:lang w:val="en-US"/>
        </w:rPr>
        <w:t>-DOPA</w:t>
      </w:r>
      <w:r>
        <w:rPr>
          <w:i/>
          <w:iCs/>
          <w:lang w:val="en-US"/>
        </w:rPr>
        <w:t xml:space="preserve"> (C)</w:t>
      </w:r>
      <w:r>
        <w:rPr>
          <w:lang w:val="en-US"/>
        </w:rPr>
        <w:t>=9*</w:t>
      </w:r>
      <w:proofErr w:type="spellStart"/>
      <w:r>
        <w:rPr>
          <w:i/>
          <w:iCs/>
          <w:lang w:val="en-US"/>
        </w:rPr>
        <w:t>At</w:t>
      </w:r>
      <w:r>
        <w:rPr>
          <w:i/>
          <w:iCs/>
          <w:vertAlign w:val="subscript"/>
          <w:lang w:val="en-US"/>
        </w:rPr>
        <w:t>L</w:t>
      </w:r>
      <w:proofErr w:type="spellEnd"/>
      <w:r>
        <w:rPr>
          <w:i/>
          <w:iCs/>
          <w:vertAlign w:val="subscript"/>
          <w:lang w:val="en-US"/>
        </w:rPr>
        <w:t>-DOPA</w:t>
      </w:r>
      <w:r>
        <w:rPr>
          <w:i/>
          <w:iCs/>
          <w:lang w:val="en-US"/>
        </w:rPr>
        <w:t>(N)</w:t>
      </w:r>
      <w:r>
        <w:rPr>
          <w:lang w:val="en-US"/>
        </w:rPr>
        <w:t xml:space="preserve">=9*7.4 at%=66.6 at%. Thus, total theoretical C content was </w:t>
      </w:r>
      <w:proofErr w:type="spellStart"/>
      <w:r>
        <w:rPr>
          <w:i/>
          <w:iCs/>
          <w:lang w:val="en-US"/>
        </w:rPr>
        <w:t>At</w:t>
      </w:r>
      <w:r>
        <w:rPr>
          <w:i/>
          <w:iCs/>
          <w:vertAlign w:val="subscript"/>
          <w:lang w:val="en-US"/>
        </w:rPr>
        <w:t>theoretical</w:t>
      </w:r>
      <w:proofErr w:type="spellEnd"/>
      <w:r>
        <w:rPr>
          <w:i/>
          <w:iCs/>
          <w:vertAlign w:val="subscript"/>
          <w:lang w:val="en-US"/>
        </w:rPr>
        <w:t xml:space="preserve"> </w:t>
      </w:r>
      <w:r>
        <w:rPr>
          <w:i/>
          <w:iCs/>
          <w:lang w:val="en-US"/>
        </w:rPr>
        <w:t>(C)</w:t>
      </w:r>
      <w:r>
        <w:rPr>
          <w:lang w:val="en-US"/>
        </w:rPr>
        <w:t xml:space="preserve">= </w:t>
      </w:r>
      <w:proofErr w:type="spellStart"/>
      <w:r>
        <w:rPr>
          <w:i/>
          <w:iCs/>
          <w:lang w:val="en-US"/>
        </w:rPr>
        <w:t>At</w:t>
      </w:r>
      <w:r>
        <w:rPr>
          <w:i/>
          <w:iCs/>
          <w:vertAlign w:val="subscript"/>
          <w:lang w:val="en-US"/>
        </w:rPr>
        <w:t>Sec</w:t>
      </w:r>
      <w:proofErr w:type="spellEnd"/>
      <w:r>
        <w:rPr>
          <w:i/>
          <w:iCs/>
          <w:lang w:val="en-US"/>
        </w:rPr>
        <w:t>(C)</w:t>
      </w:r>
      <w:r>
        <w:rPr>
          <w:lang w:val="en-US"/>
        </w:rPr>
        <w:t xml:space="preserve">+ </w:t>
      </w:r>
      <w:proofErr w:type="spellStart"/>
      <w:r>
        <w:rPr>
          <w:i/>
          <w:iCs/>
          <w:lang w:val="en-US"/>
        </w:rPr>
        <w:t>At</w:t>
      </w:r>
      <w:r>
        <w:rPr>
          <w:i/>
          <w:iCs/>
          <w:vertAlign w:val="subscript"/>
          <w:lang w:val="en-US"/>
        </w:rPr>
        <w:t>L</w:t>
      </w:r>
      <w:proofErr w:type="spellEnd"/>
      <w:r>
        <w:rPr>
          <w:i/>
          <w:iCs/>
          <w:vertAlign w:val="subscript"/>
          <w:lang w:val="en-US"/>
        </w:rPr>
        <w:t>-DOPA</w:t>
      </w:r>
      <w:r>
        <w:rPr>
          <w:i/>
          <w:iCs/>
          <w:lang w:val="en-US"/>
        </w:rPr>
        <w:t>(C)</w:t>
      </w:r>
      <w:r>
        <w:rPr>
          <w:lang w:val="en-US"/>
        </w:rPr>
        <w:t xml:space="preserve">=3.0 at%+66.6 at%=69.6 at%. As actual C content was </w:t>
      </w:r>
      <w:proofErr w:type="spellStart"/>
      <w:r>
        <w:rPr>
          <w:i/>
          <w:iCs/>
          <w:lang w:val="en-US"/>
        </w:rPr>
        <w:t>At</w:t>
      </w:r>
      <w:r>
        <w:rPr>
          <w:i/>
          <w:iCs/>
          <w:vertAlign w:val="subscript"/>
          <w:lang w:val="en-US"/>
        </w:rPr>
        <w:t>actual</w:t>
      </w:r>
      <w:proofErr w:type="spellEnd"/>
      <w:r>
        <w:rPr>
          <w:i/>
          <w:iCs/>
          <w:lang w:val="en-US"/>
        </w:rPr>
        <w:t>(C)</w:t>
      </w:r>
      <w:r>
        <w:rPr>
          <w:lang w:val="en-US"/>
        </w:rPr>
        <w:t xml:space="preserve">=61.6 at%, which was less than </w:t>
      </w:r>
      <w:proofErr w:type="spellStart"/>
      <w:r>
        <w:rPr>
          <w:i/>
          <w:iCs/>
          <w:lang w:val="en-US"/>
        </w:rPr>
        <w:t>At</w:t>
      </w:r>
      <w:r>
        <w:rPr>
          <w:i/>
          <w:iCs/>
          <w:vertAlign w:val="subscript"/>
          <w:lang w:val="en-US"/>
        </w:rPr>
        <w:t>theoretical</w:t>
      </w:r>
      <w:proofErr w:type="spellEnd"/>
      <w:r>
        <w:rPr>
          <w:i/>
          <w:iCs/>
          <w:lang w:val="en-US"/>
        </w:rPr>
        <w:t>(C)</w:t>
      </w:r>
      <w:r>
        <w:rPr>
          <w:lang w:val="en-US"/>
        </w:rPr>
        <w:t xml:space="preserve"> because of decarboxylation, decarboxylation ratio was estimated by </w:t>
      </w:r>
      <w:r>
        <w:rPr>
          <w:i/>
          <w:iCs/>
          <w:lang w:val="en-US"/>
        </w:rPr>
        <w:t>R</w:t>
      </w:r>
      <w:r>
        <w:rPr>
          <w:lang w:val="en-US"/>
        </w:rPr>
        <w:t>=[</w:t>
      </w:r>
      <w:proofErr w:type="spellStart"/>
      <w:r>
        <w:rPr>
          <w:i/>
          <w:iCs/>
          <w:lang w:val="en-US"/>
        </w:rPr>
        <w:t>At</w:t>
      </w:r>
      <w:r>
        <w:rPr>
          <w:i/>
          <w:iCs/>
          <w:vertAlign w:val="subscript"/>
          <w:lang w:val="en-US"/>
        </w:rPr>
        <w:t>theoretical</w:t>
      </w:r>
      <w:proofErr w:type="spellEnd"/>
      <w:r>
        <w:rPr>
          <w:i/>
          <w:iCs/>
          <w:lang w:val="en-US"/>
        </w:rPr>
        <w:t>(C)</w:t>
      </w:r>
      <w:r>
        <w:rPr>
          <w:lang w:val="en-US"/>
        </w:rPr>
        <w:t xml:space="preserve">- </w:t>
      </w:r>
      <w:proofErr w:type="spellStart"/>
      <w:r>
        <w:rPr>
          <w:i/>
          <w:iCs/>
          <w:lang w:val="en-US"/>
        </w:rPr>
        <w:t>At</w:t>
      </w:r>
      <w:r>
        <w:rPr>
          <w:i/>
          <w:iCs/>
          <w:vertAlign w:val="subscript"/>
          <w:lang w:val="en-US"/>
        </w:rPr>
        <w:t>actual</w:t>
      </w:r>
      <w:proofErr w:type="spellEnd"/>
      <w:r>
        <w:rPr>
          <w:i/>
          <w:iCs/>
          <w:lang w:val="en-US"/>
        </w:rPr>
        <w:t>(C)</w:t>
      </w:r>
      <w:r>
        <w:rPr>
          <w:lang w:val="en-US"/>
        </w:rPr>
        <w:t>]/</w:t>
      </w:r>
      <w:proofErr w:type="spellStart"/>
      <w:r>
        <w:rPr>
          <w:i/>
          <w:iCs/>
          <w:lang w:val="en-US"/>
        </w:rPr>
        <w:t>At</w:t>
      </w:r>
      <w:r>
        <w:rPr>
          <w:i/>
          <w:iCs/>
          <w:vertAlign w:val="subscript"/>
          <w:lang w:val="en-US"/>
        </w:rPr>
        <w:t>theoretical</w:t>
      </w:r>
      <w:proofErr w:type="spellEnd"/>
      <w:r>
        <w:rPr>
          <w:i/>
          <w:iCs/>
          <w:lang w:val="en-US"/>
        </w:rPr>
        <w:t>(C)</w:t>
      </w:r>
      <w:r>
        <w:rPr>
          <w:lang w:val="en-US"/>
        </w:rPr>
        <w:t>*100%= (69.6 at%-61.6 at%)/69.6 at%*100%=11.5%</w:t>
      </w:r>
    </w:p>
    <w:p w14:paraId="1EBAAF57" w14:textId="77777777" w:rsidR="002A30D1" w:rsidRDefault="002A30D1" w:rsidP="002A30D1">
      <w:pPr>
        <w:jc w:val="both"/>
        <w:rPr>
          <w:lang w:val="en-US"/>
        </w:rPr>
      </w:pPr>
    </w:p>
    <w:tbl>
      <w:tblPr>
        <w:tblW w:w="5000" w:type="pct"/>
        <w:jc w:val="center"/>
        <w:tblCellMar>
          <w:left w:w="0" w:type="dxa"/>
          <w:right w:w="0" w:type="dxa"/>
        </w:tblCellMar>
        <w:tblLook w:val="04A0" w:firstRow="1" w:lastRow="0" w:firstColumn="1" w:lastColumn="0" w:noHBand="0" w:noVBand="1"/>
      </w:tblPr>
      <w:tblGrid>
        <w:gridCol w:w="1512"/>
        <w:gridCol w:w="1512"/>
        <w:gridCol w:w="1513"/>
        <w:gridCol w:w="1511"/>
        <w:gridCol w:w="1511"/>
        <w:gridCol w:w="1513"/>
      </w:tblGrid>
      <w:tr w:rsidR="002A30D1" w14:paraId="1A783BEC" w14:textId="77777777" w:rsidTr="00DB4DFC">
        <w:trPr>
          <w:trHeight w:val="598"/>
          <w:jc w:val="center"/>
        </w:trPr>
        <w:tc>
          <w:tcPr>
            <w:tcW w:w="833"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7AE5606A"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Sample</w:t>
            </w:r>
          </w:p>
        </w:tc>
        <w:tc>
          <w:tcPr>
            <w:tcW w:w="833"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4CB0AB1B"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Actual</w:t>
            </w:r>
          </w:p>
          <w:p w14:paraId="30A11A87"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Se Content</w:t>
            </w:r>
          </w:p>
        </w:tc>
        <w:tc>
          <w:tcPr>
            <w:tcW w:w="834"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2F838037"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Actual</w:t>
            </w:r>
          </w:p>
          <w:p w14:paraId="62DA8948"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N Content</w:t>
            </w:r>
          </w:p>
        </w:tc>
        <w:tc>
          <w:tcPr>
            <w:tcW w:w="833"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74D17E0C"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Actual</w:t>
            </w:r>
          </w:p>
          <w:p w14:paraId="23DD8BF8"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C Content</w:t>
            </w:r>
          </w:p>
        </w:tc>
        <w:tc>
          <w:tcPr>
            <w:tcW w:w="833"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054F7B72"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Theoretical</w:t>
            </w:r>
          </w:p>
          <w:p w14:paraId="553F696D"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C Content</w:t>
            </w:r>
          </w:p>
        </w:tc>
        <w:tc>
          <w:tcPr>
            <w:tcW w:w="834"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7CBC7075"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Decarboxylation</w:t>
            </w:r>
          </w:p>
          <w:p w14:paraId="64332DFD"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ratio</w:t>
            </w:r>
          </w:p>
        </w:tc>
      </w:tr>
      <w:tr w:rsidR="002A30D1" w14:paraId="3022C92B" w14:textId="77777777" w:rsidTr="00DB4DFC">
        <w:trPr>
          <w:trHeight w:val="598"/>
          <w:jc w:val="center"/>
        </w:trPr>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tcPr>
          <w:p w14:paraId="119F8DA0"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SeMNPs-1</w:t>
            </w:r>
          </w:p>
        </w:tc>
        <w:tc>
          <w:tcPr>
            <w:tcW w:w="833" w:type="pct"/>
            <w:tcBorders>
              <w:top w:val="single" w:sz="8" w:space="0" w:color="000000"/>
              <w:left w:val="nil"/>
              <w:bottom w:val="single" w:sz="8" w:space="0" w:color="FFFFFF"/>
              <w:right w:val="nil"/>
            </w:tcBorders>
            <w:shd w:val="clear" w:color="auto" w:fill="auto"/>
            <w:tcMar>
              <w:top w:w="15" w:type="dxa"/>
              <w:left w:w="15" w:type="dxa"/>
              <w:bottom w:w="0" w:type="dxa"/>
              <w:right w:w="15" w:type="dxa"/>
            </w:tcMar>
            <w:vAlign w:val="center"/>
          </w:tcPr>
          <w:p w14:paraId="3108F224"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1.0 at%</w:t>
            </w:r>
          </w:p>
        </w:tc>
        <w:tc>
          <w:tcPr>
            <w:tcW w:w="834" w:type="pct"/>
            <w:tcBorders>
              <w:top w:val="single" w:sz="8" w:space="0" w:color="000000"/>
              <w:left w:val="nil"/>
              <w:bottom w:val="single" w:sz="8" w:space="0" w:color="FFFFFF"/>
              <w:right w:val="nil"/>
            </w:tcBorders>
            <w:shd w:val="clear" w:color="auto" w:fill="auto"/>
            <w:tcMar>
              <w:top w:w="15" w:type="dxa"/>
              <w:left w:w="15" w:type="dxa"/>
              <w:bottom w:w="0" w:type="dxa"/>
              <w:right w:w="15" w:type="dxa"/>
            </w:tcMar>
            <w:vAlign w:val="center"/>
          </w:tcPr>
          <w:p w14:paraId="3F3E1FB4"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8.4 at%</w:t>
            </w:r>
          </w:p>
        </w:tc>
        <w:tc>
          <w:tcPr>
            <w:tcW w:w="833" w:type="pct"/>
            <w:tcBorders>
              <w:top w:val="single" w:sz="8" w:space="0" w:color="000000"/>
              <w:left w:val="nil"/>
              <w:bottom w:val="single" w:sz="8" w:space="0" w:color="FFFFFF"/>
              <w:right w:val="nil"/>
            </w:tcBorders>
            <w:shd w:val="clear" w:color="auto" w:fill="auto"/>
            <w:tcMar>
              <w:top w:w="15" w:type="dxa"/>
              <w:left w:w="15" w:type="dxa"/>
              <w:bottom w:w="0" w:type="dxa"/>
              <w:right w:w="15" w:type="dxa"/>
            </w:tcMar>
            <w:vAlign w:val="center"/>
          </w:tcPr>
          <w:p w14:paraId="4D5300F3"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61.6 at%</w:t>
            </w:r>
          </w:p>
        </w:tc>
        <w:tc>
          <w:tcPr>
            <w:tcW w:w="833" w:type="pct"/>
            <w:tcBorders>
              <w:top w:val="single" w:sz="8" w:space="0" w:color="000000"/>
              <w:left w:val="nil"/>
              <w:bottom w:val="single" w:sz="8" w:space="0" w:color="FFFFFF"/>
              <w:right w:val="nil"/>
            </w:tcBorders>
            <w:shd w:val="clear" w:color="auto" w:fill="auto"/>
            <w:tcMar>
              <w:top w:w="15" w:type="dxa"/>
              <w:left w:w="15" w:type="dxa"/>
              <w:bottom w:w="0" w:type="dxa"/>
              <w:right w:w="15" w:type="dxa"/>
            </w:tcMar>
            <w:vAlign w:val="center"/>
          </w:tcPr>
          <w:p w14:paraId="04584BD7"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69.0 at%</w:t>
            </w:r>
          </w:p>
        </w:tc>
        <w:tc>
          <w:tcPr>
            <w:tcW w:w="834" w:type="pct"/>
            <w:tcBorders>
              <w:top w:val="single" w:sz="8" w:space="0" w:color="000000"/>
              <w:left w:val="nil"/>
              <w:bottom w:val="single" w:sz="8" w:space="0" w:color="FFFFFF"/>
              <w:right w:val="nil"/>
            </w:tcBorders>
            <w:shd w:val="clear" w:color="auto" w:fill="auto"/>
            <w:tcMar>
              <w:top w:w="15" w:type="dxa"/>
              <w:left w:w="15" w:type="dxa"/>
              <w:bottom w:w="0" w:type="dxa"/>
              <w:right w:w="15" w:type="dxa"/>
            </w:tcMar>
            <w:vAlign w:val="center"/>
          </w:tcPr>
          <w:p w14:paraId="4A621740"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11.5%</w:t>
            </w:r>
          </w:p>
        </w:tc>
      </w:tr>
      <w:tr w:rsidR="002A30D1" w14:paraId="54E2AC4B" w14:textId="77777777" w:rsidTr="00DB4DFC">
        <w:trPr>
          <w:trHeight w:val="598"/>
          <w:jc w:val="center"/>
        </w:trPr>
        <w:tc>
          <w:tcPr>
            <w:tcW w:w="833" w:type="pct"/>
            <w:tcBorders>
              <w:top w:val="nil"/>
              <w:left w:val="nil"/>
              <w:bottom w:val="single" w:sz="8" w:space="0" w:color="000000"/>
              <w:right w:val="nil"/>
            </w:tcBorders>
            <w:shd w:val="clear" w:color="auto" w:fill="auto"/>
            <w:tcMar>
              <w:top w:w="15" w:type="dxa"/>
              <w:left w:w="15" w:type="dxa"/>
              <w:bottom w:w="0" w:type="dxa"/>
              <w:right w:w="15" w:type="dxa"/>
            </w:tcMar>
            <w:vAlign w:val="center"/>
          </w:tcPr>
          <w:p w14:paraId="418C4512"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SeMNPs-2</w:t>
            </w:r>
          </w:p>
        </w:tc>
        <w:tc>
          <w:tcPr>
            <w:tcW w:w="833" w:type="pct"/>
            <w:tcBorders>
              <w:top w:val="single" w:sz="8" w:space="0" w:color="FFFFFF"/>
              <w:left w:val="nil"/>
              <w:bottom w:val="single" w:sz="8" w:space="0" w:color="000000"/>
              <w:right w:val="nil"/>
            </w:tcBorders>
            <w:shd w:val="clear" w:color="auto" w:fill="auto"/>
            <w:tcMar>
              <w:top w:w="15" w:type="dxa"/>
              <w:left w:w="15" w:type="dxa"/>
              <w:bottom w:w="0" w:type="dxa"/>
              <w:right w:w="15" w:type="dxa"/>
            </w:tcMar>
            <w:vAlign w:val="center"/>
          </w:tcPr>
          <w:p w14:paraId="3D42A432"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5.1 at%</w:t>
            </w:r>
          </w:p>
        </w:tc>
        <w:tc>
          <w:tcPr>
            <w:tcW w:w="834" w:type="pct"/>
            <w:tcBorders>
              <w:top w:val="single" w:sz="8" w:space="0" w:color="FFFFFF"/>
              <w:left w:val="nil"/>
              <w:bottom w:val="single" w:sz="8" w:space="0" w:color="000000"/>
              <w:right w:val="nil"/>
            </w:tcBorders>
            <w:shd w:val="clear" w:color="auto" w:fill="auto"/>
            <w:tcMar>
              <w:top w:w="15" w:type="dxa"/>
              <w:left w:w="15" w:type="dxa"/>
              <w:bottom w:w="0" w:type="dxa"/>
              <w:right w:w="15" w:type="dxa"/>
            </w:tcMar>
            <w:vAlign w:val="center"/>
          </w:tcPr>
          <w:p w14:paraId="40A1F824"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11.4 at%</w:t>
            </w:r>
          </w:p>
        </w:tc>
        <w:tc>
          <w:tcPr>
            <w:tcW w:w="833" w:type="pct"/>
            <w:tcBorders>
              <w:top w:val="single" w:sz="8" w:space="0" w:color="FFFFFF"/>
              <w:left w:val="nil"/>
              <w:bottom w:val="single" w:sz="8" w:space="0" w:color="000000"/>
              <w:right w:val="nil"/>
            </w:tcBorders>
            <w:shd w:val="clear" w:color="auto" w:fill="auto"/>
            <w:tcMar>
              <w:top w:w="15" w:type="dxa"/>
              <w:left w:w="15" w:type="dxa"/>
              <w:bottom w:w="0" w:type="dxa"/>
              <w:right w:w="15" w:type="dxa"/>
            </w:tcMar>
            <w:vAlign w:val="center"/>
          </w:tcPr>
          <w:p w14:paraId="20B95F16"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64.9 at%</w:t>
            </w:r>
          </w:p>
        </w:tc>
        <w:tc>
          <w:tcPr>
            <w:tcW w:w="833" w:type="pct"/>
            <w:tcBorders>
              <w:top w:val="single" w:sz="8" w:space="0" w:color="FFFFFF"/>
              <w:left w:val="nil"/>
              <w:bottom w:val="single" w:sz="8" w:space="0" w:color="000000"/>
              <w:right w:val="nil"/>
            </w:tcBorders>
            <w:shd w:val="clear" w:color="auto" w:fill="auto"/>
            <w:tcMar>
              <w:top w:w="15" w:type="dxa"/>
              <w:left w:w="15" w:type="dxa"/>
              <w:bottom w:w="0" w:type="dxa"/>
              <w:right w:w="15" w:type="dxa"/>
            </w:tcMar>
            <w:vAlign w:val="center"/>
          </w:tcPr>
          <w:p w14:paraId="028198F3"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66.9 at%</w:t>
            </w:r>
          </w:p>
        </w:tc>
        <w:tc>
          <w:tcPr>
            <w:tcW w:w="834" w:type="pct"/>
            <w:tcBorders>
              <w:top w:val="single" w:sz="8" w:space="0" w:color="FFFFFF"/>
              <w:left w:val="nil"/>
              <w:bottom w:val="single" w:sz="8" w:space="0" w:color="000000"/>
              <w:right w:val="nil"/>
            </w:tcBorders>
            <w:shd w:val="clear" w:color="auto" w:fill="auto"/>
            <w:tcMar>
              <w:top w:w="15" w:type="dxa"/>
              <w:left w:w="15" w:type="dxa"/>
              <w:bottom w:w="0" w:type="dxa"/>
              <w:right w:w="15" w:type="dxa"/>
            </w:tcMar>
            <w:vAlign w:val="center"/>
          </w:tcPr>
          <w:p w14:paraId="40D56078"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3.0%</w:t>
            </w:r>
          </w:p>
        </w:tc>
      </w:tr>
    </w:tbl>
    <w:p w14:paraId="16F89BC8" w14:textId="77777777" w:rsidR="002A30D1" w:rsidRDefault="002A30D1" w:rsidP="002A30D1">
      <w:pPr>
        <w:jc w:val="center"/>
        <w:rPr>
          <w:rFonts w:ascii="Arial" w:hAnsi="Arial" w:cs="Arial"/>
          <w:sz w:val="16"/>
          <w:szCs w:val="16"/>
        </w:rPr>
      </w:pPr>
    </w:p>
    <w:p w14:paraId="5A7CF5A9" w14:textId="77777777" w:rsidR="002A30D1" w:rsidRDefault="002A30D1" w:rsidP="002A30D1">
      <w:pPr>
        <w:jc w:val="both"/>
        <w:rPr>
          <w:lang w:val="en-US"/>
        </w:rPr>
      </w:pPr>
      <w:r>
        <w:rPr>
          <w:lang w:val="en-US"/>
        </w:rPr>
        <w:br w:type="page"/>
      </w:r>
      <w:r>
        <w:rPr>
          <w:b/>
          <w:bCs/>
          <w:lang w:val="en-US"/>
        </w:rPr>
        <w:lastRenderedPageBreak/>
        <w:t xml:space="preserve">Table S2. Calculated </w:t>
      </w:r>
      <w:r>
        <w:rPr>
          <w:b/>
          <w:bCs/>
          <w:i/>
          <w:iCs/>
          <w:lang w:val="en-US"/>
        </w:rPr>
        <w:t>g</w:t>
      </w:r>
      <w:r>
        <w:rPr>
          <w:b/>
          <w:bCs/>
          <w:lang w:val="en-US"/>
        </w:rPr>
        <w:t xml:space="preserve"> factors for the EPR spectra of the selenomelanin samples. </w:t>
      </w:r>
      <w:r>
        <w:rPr>
          <w:i/>
          <w:iCs/>
          <w:lang w:val="en-US"/>
        </w:rPr>
        <w:t>g</w:t>
      </w:r>
      <w:r>
        <w:rPr>
          <w:lang w:val="en-US"/>
        </w:rPr>
        <w:t xml:space="preserve"> values in liquid-state are both higher than in solid-state, with the liquid-state </w:t>
      </w:r>
      <w:r>
        <w:rPr>
          <w:i/>
          <w:iCs/>
          <w:lang w:val="en-US"/>
        </w:rPr>
        <w:t xml:space="preserve">g </w:t>
      </w:r>
      <w:r>
        <w:rPr>
          <w:lang w:val="en-US"/>
        </w:rPr>
        <w:t xml:space="preserve">corresponding to semiquinone radical and the solid-state </w:t>
      </w:r>
      <w:r>
        <w:rPr>
          <w:i/>
          <w:iCs/>
          <w:lang w:val="en-US"/>
        </w:rPr>
        <w:t xml:space="preserve">g </w:t>
      </w:r>
      <w:r>
        <w:rPr>
          <w:lang w:val="en-US"/>
        </w:rPr>
        <w:t xml:space="preserve">to semi-localized ring-based carbon radicals. </w:t>
      </w:r>
    </w:p>
    <w:p w14:paraId="06E94278" w14:textId="77777777" w:rsidR="002A30D1" w:rsidRDefault="002A30D1" w:rsidP="002A30D1">
      <w:pPr>
        <w:jc w:val="both"/>
        <w:rPr>
          <w:lang w:val="en-US"/>
        </w:rPr>
      </w:pPr>
    </w:p>
    <w:tbl>
      <w:tblPr>
        <w:tblW w:w="5000" w:type="pct"/>
        <w:tblCellMar>
          <w:left w:w="0" w:type="dxa"/>
          <w:right w:w="0" w:type="dxa"/>
        </w:tblCellMar>
        <w:tblLook w:val="04A0" w:firstRow="1" w:lastRow="0" w:firstColumn="1" w:lastColumn="0" w:noHBand="0" w:noVBand="1"/>
      </w:tblPr>
      <w:tblGrid>
        <w:gridCol w:w="4536"/>
        <w:gridCol w:w="4536"/>
      </w:tblGrid>
      <w:tr w:rsidR="002A30D1" w14:paraId="0ACA9986" w14:textId="77777777" w:rsidTr="00DB4DFC">
        <w:trPr>
          <w:trHeight w:val="330"/>
        </w:trPr>
        <w:tc>
          <w:tcPr>
            <w:tcW w:w="2500"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3DA7A28D" w14:textId="77777777" w:rsidR="002A30D1" w:rsidRDefault="002A30D1" w:rsidP="00DB4DFC">
            <w:pPr>
              <w:jc w:val="center"/>
              <w:rPr>
                <w:rFonts w:ascii="Arial" w:hAnsi="Arial" w:cs="Arial"/>
                <w:kern w:val="20"/>
                <w:sz w:val="16"/>
                <w:szCs w:val="16"/>
              </w:rPr>
            </w:pPr>
            <w:r>
              <w:rPr>
                <w:rFonts w:ascii="Arial" w:hAnsi="Arial" w:cs="Arial"/>
                <w:kern w:val="20"/>
                <w:sz w:val="16"/>
                <w:szCs w:val="16"/>
                <w:lang w:eastAsia="en-US"/>
              </w:rPr>
              <w:t>Sample</w:t>
            </w:r>
          </w:p>
        </w:tc>
        <w:tc>
          <w:tcPr>
            <w:tcW w:w="2500" w:type="pct"/>
            <w:tcBorders>
              <w:top w:val="single" w:sz="12" w:space="0" w:color="000000"/>
              <w:left w:val="nil"/>
              <w:bottom w:val="single" w:sz="8" w:space="0" w:color="000000"/>
              <w:right w:val="nil"/>
            </w:tcBorders>
            <w:shd w:val="clear" w:color="auto" w:fill="auto"/>
            <w:tcMar>
              <w:top w:w="15" w:type="dxa"/>
              <w:left w:w="15" w:type="dxa"/>
              <w:bottom w:w="0" w:type="dxa"/>
              <w:right w:w="15" w:type="dxa"/>
            </w:tcMar>
            <w:vAlign w:val="center"/>
          </w:tcPr>
          <w:p w14:paraId="6313D476"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g factors</w:t>
            </w:r>
          </w:p>
        </w:tc>
      </w:tr>
      <w:tr w:rsidR="002A30D1" w14:paraId="7337F5CE" w14:textId="77777777" w:rsidTr="00DB4DFC">
        <w:trPr>
          <w:trHeight w:val="330"/>
        </w:trPr>
        <w:tc>
          <w:tcPr>
            <w:tcW w:w="2500" w:type="pct"/>
            <w:tcBorders>
              <w:top w:val="single" w:sz="8" w:space="0" w:color="000000"/>
              <w:left w:val="nil"/>
              <w:bottom w:val="nil"/>
              <w:right w:val="nil"/>
            </w:tcBorders>
            <w:shd w:val="clear" w:color="auto" w:fill="auto"/>
            <w:tcMar>
              <w:top w:w="15" w:type="dxa"/>
              <w:left w:w="15" w:type="dxa"/>
              <w:bottom w:w="0" w:type="dxa"/>
              <w:right w:w="15" w:type="dxa"/>
            </w:tcMar>
            <w:vAlign w:val="center"/>
          </w:tcPr>
          <w:p w14:paraId="19705750"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liquid-state SeMNPs-2</w:t>
            </w:r>
          </w:p>
        </w:tc>
        <w:tc>
          <w:tcPr>
            <w:tcW w:w="2500" w:type="pct"/>
            <w:tcBorders>
              <w:top w:val="single" w:sz="8" w:space="0" w:color="000000"/>
              <w:left w:val="nil"/>
              <w:bottom w:val="nil"/>
              <w:right w:val="nil"/>
            </w:tcBorders>
            <w:shd w:val="clear" w:color="auto" w:fill="auto"/>
            <w:tcMar>
              <w:top w:w="15" w:type="dxa"/>
              <w:left w:w="15" w:type="dxa"/>
              <w:bottom w:w="0" w:type="dxa"/>
              <w:right w:w="15" w:type="dxa"/>
            </w:tcMar>
            <w:vAlign w:val="center"/>
          </w:tcPr>
          <w:p w14:paraId="05D2634B"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2.00454</w:t>
            </w:r>
          </w:p>
        </w:tc>
      </w:tr>
      <w:tr w:rsidR="002A30D1" w14:paraId="58D8F013" w14:textId="77777777" w:rsidTr="00DB4DFC">
        <w:trPr>
          <w:trHeight w:val="330"/>
        </w:trPr>
        <w:tc>
          <w:tcPr>
            <w:tcW w:w="2500" w:type="pct"/>
            <w:tcBorders>
              <w:top w:val="nil"/>
              <w:left w:val="nil"/>
              <w:bottom w:val="nil"/>
              <w:right w:val="nil"/>
            </w:tcBorders>
            <w:shd w:val="clear" w:color="auto" w:fill="auto"/>
            <w:tcMar>
              <w:top w:w="15" w:type="dxa"/>
              <w:left w:w="15" w:type="dxa"/>
              <w:bottom w:w="0" w:type="dxa"/>
              <w:right w:w="15" w:type="dxa"/>
            </w:tcMar>
            <w:vAlign w:val="center"/>
          </w:tcPr>
          <w:p w14:paraId="44DDDD91"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liquid-state SeMNPs-4</w:t>
            </w:r>
          </w:p>
        </w:tc>
        <w:tc>
          <w:tcPr>
            <w:tcW w:w="2500" w:type="pct"/>
            <w:tcBorders>
              <w:top w:val="nil"/>
              <w:left w:val="nil"/>
              <w:bottom w:val="nil"/>
              <w:right w:val="nil"/>
            </w:tcBorders>
            <w:shd w:val="clear" w:color="auto" w:fill="auto"/>
            <w:tcMar>
              <w:top w:w="15" w:type="dxa"/>
              <w:left w:w="15" w:type="dxa"/>
              <w:bottom w:w="0" w:type="dxa"/>
              <w:right w:w="15" w:type="dxa"/>
            </w:tcMar>
            <w:vAlign w:val="center"/>
          </w:tcPr>
          <w:p w14:paraId="0E89D5BA"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2.00466</w:t>
            </w:r>
          </w:p>
        </w:tc>
      </w:tr>
      <w:tr w:rsidR="002A30D1" w14:paraId="182AC517" w14:textId="77777777" w:rsidTr="00DB4DFC">
        <w:trPr>
          <w:trHeight w:val="330"/>
        </w:trPr>
        <w:tc>
          <w:tcPr>
            <w:tcW w:w="2500" w:type="pct"/>
            <w:tcBorders>
              <w:top w:val="nil"/>
              <w:left w:val="nil"/>
              <w:bottom w:val="nil"/>
              <w:right w:val="nil"/>
            </w:tcBorders>
            <w:shd w:val="clear" w:color="auto" w:fill="auto"/>
            <w:tcMar>
              <w:top w:w="15" w:type="dxa"/>
              <w:left w:w="15" w:type="dxa"/>
              <w:bottom w:w="0" w:type="dxa"/>
              <w:right w:w="15" w:type="dxa"/>
            </w:tcMar>
            <w:vAlign w:val="center"/>
          </w:tcPr>
          <w:p w14:paraId="157EE8E3"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solid-state SeMNPs-2</w:t>
            </w:r>
          </w:p>
        </w:tc>
        <w:tc>
          <w:tcPr>
            <w:tcW w:w="2500" w:type="pct"/>
            <w:tcBorders>
              <w:top w:val="nil"/>
              <w:left w:val="nil"/>
              <w:bottom w:val="nil"/>
              <w:right w:val="nil"/>
            </w:tcBorders>
            <w:shd w:val="clear" w:color="auto" w:fill="auto"/>
            <w:tcMar>
              <w:top w:w="15" w:type="dxa"/>
              <w:left w:w="15" w:type="dxa"/>
              <w:bottom w:w="0" w:type="dxa"/>
              <w:right w:w="15" w:type="dxa"/>
            </w:tcMar>
            <w:vAlign w:val="center"/>
          </w:tcPr>
          <w:p w14:paraId="40B91A17"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2.00377</w:t>
            </w:r>
          </w:p>
        </w:tc>
      </w:tr>
      <w:tr w:rsidR="002A30D1" w14:paraId="7E3CD53A" w14:textId="77777777" w:rsidTr="00DB4DFC">
        <w:trPr>
          <w:trHeight w:val="330"/>
        </w:trPr>
        <w:tc>
          <w:tcPr>
            <w:tcW w:w="2500" w:type="pct"/>
            <w:tcBorders>
              <w:top w:val="nil"/>
              <w:left w:val="nil"/>
              <w:bottom w:val="single" w:sz="12" w:space="0" w:color="000000"/>
              <w:right w:val="nil"/>
            </w:tcBorders>
            <w:shd w:val="clear" w:color="auto" w:fill="auto"/>
            <w:tcMar>
              <w:top w:w="15" w:type="dxa"/>
              <w:left w:w="15" w:type="dxa"/>
              <w:bottom w:w="0" w:type="dxa"/>
              <w:right w:w="15" w:type="dxa"/>
            </w:tcMar>
            <w:vAlign w:val="center"/>
          </w:tcPr>
          <w:p w14:paraId="3BD7C9F0"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solid-state SeMNPs-4</w:t>
            </w:r>
          </w:p>
        </w:tc>
        <w:tc>
          <w:tcPr>
            <w:tcW w:w="2500" w:type="pct"/>
            <w:tcBorders>
              <w:top w:val="nil"/>
              <w:left w:val="nil"/>
              <w:bottom w:val="single" w:sz="12" w:space="0" w:color="000000"/>
              <w:right w:val="nil"/>
            </w:tcBorders>
            <w:shd w:val="clear" w:color="auto" w:fill="auto"/>
            <w:tcMar>
              <w:top w:w="15" w:type="dxa"/>
              <w:left w:w="15" w:type="dxa"/>
              <w:bottom w:w="0" w:type="dxa"/>
              <w:right w:w="15" w:type="dxa"/>
            </w:tcMar>
            <w:vAlign w:val="center"/>
          </w:tcPr>
          <w:p w14:paraId="606ADA12" w14:textId="77777777" w:rsidR="002A30D1" w:rsidRDefault="002A30D1" w:rsidP="00DB4DFC">
            <w:pPr>
              <w:jc w:val="center"/>
              <w:rPr>
                <w:rFonts w:ascii="Arial" w:hAnsi="Arial" w:cs="Arial"/>
                <w:kern w:val="20"/>
                <w:sz w:val="16"/>
                <w:szCs w:val="16"/>
                <w:lang w:eastAsia="en-US"/>
              </w:rPr>
            </w:pPr>
            <w:r>
              <w:rPr>
                <w:rFonts w:ascii="Arial" w:hAnsi="Arial" w:cs="Arial"/>
                <w:kern w:val="20"/>
                <w:sz w:val="16"/>
                <w:szCs w:val="16"/>
                <w:lang w:eastAsia="en-US"/>
              </w:rPr>
              <w:t>2.00398</w:t>
            </w:r>
          </w:p>
        </w:tc>
      </w:tr>
    </w:tbl>
    <w:p w14:paraId="7ECD1976" w14:textId="77777777" w:rsidR="002A30D1" w:rsidRDefault="002A30D1" w:rsidP="002A30D1">
      <w:pPr>
        <w:jc w:val="both"/>
      </w:pPr>
      <w:r>
        <w:br w:type="page"/>
      </w:r>
    </w:p>
    <w:p w14:paraId="1D56CCC3" w14:textId="77777777" w:rsidR="002A30D1" w:rsidRDefault="002A30D1" w:rsidP="002A30D1">
      <w:pPr>
        <w:jc w:val="both"/>
        <w:rPr>
          <w:lang w:val="en-US"/>
        </w:rPr>
      </w:pPr>
      <w:r>
        <w:rPr>
          <w:b/>
          <w:bCs/>
          <w:lang w:val="en-US"/>
        </w:rPr>
        <w:lastRenderedPageBreak/>
        <w:t xml:space="preserve">Table S3. DFT calculations of </w:t>
      </w:r>
      <w:r>
        <w:rPr>
          <w:b/>
          <w:bCs/>
          <w:i/>
          <w:iCs/>
          <w:lang w:val="en-US"/>
        </w:rPr>
        <w:t>E</w:t>
      </w:r>
      <w:r>
        <w:rPr>
          <w:b/>
          <w:bCs/>
          <w:lang w:val="en-US"/>
        </w:rPr>
        <w:t xml:space="preserve">, </w:t>
      </w:r>
      <w:r>
        <w:rPr>
          <w:b/>
          <w:bCs/>
          <w:i/>
          <w:iCs/>
          <w:lang w:val="en-US"/>
        </w:rPr>
        <w:t>G</w:t>
      </w:r>
      <w:r>
        <w:rPr>
          <w:b/>
          <w:bCs/>
          <w:lang w:val="en-US"/>
        </w:rPr>
        <w:t xml:space="preserve">, </w:t>
      </w:r>
      <w:r>
        <w:rPr>
          <w:b/>
          <w:bCs/>
          <w:i/>
          <w:iCs/>
        </w:rPr>
        <w:t>Δ</w:t>
      </w:r>
      <w:r>
        <w:rPr>
          <w:b/>
          <w:bCs/>
          <w:i/>
          <w:iCs/>
          <w:lang w:val="en-US"/>
        </w:rPr>
        <w:t>E</w:t>
      </w:r>
      <w:r>
        <w:rPr>
          <w:b/>
          <w:bCs/>
          <w:lang w:val="en-US"/>
        </w:rPr>
        <w:t xml:space="preserve"> and </w:t>
      </w:r>
      <w:r>
        <w:rPr>
          <w:b/>
          <w:bCs/>
          <w:i/>
          <w:iCs/>
        </w:rPr>
        <w:t>Δ</w:t>
      </w:r>
      <w:r>
        <w:rPr>
          <w:b/>
          <w:bCs/>
          <w:i/>
          <w:iCs/>
          <w:lang w:val="en-US"/>
        </w:rPr>
        <w:t>G</w:t>
      </w:r>
      <w:r>
        <w:rPr>
          <w:b/>
          <w:bCs/>
          <w:lang w:val="en-US"/>
        </w:rPr>
        <w:t xml:space="preserve"> of forming pyrrole ring. </w:t>
      </w:r>
      <w:r>
        <w:rPr>
          <w:i/>
          <w:iCs/>
          <w:lang w:val="en-US"/>
        </w:rPr>
        <w:t>E</w:t>
      </w:r>
      <w:r>
        <w:rPr>
          <w:lang w:val="en-US"/>
        </w:rPr>
        <w:t xml:space="preserve">, energies of reactants and products. </w:t>
      </w:r>
      <w:r>
        <w:rPr>
          <w:i/>
          <w:iCs/>
          <w:lang w:val="en-US"/>
        </w:rPr>
        <w:t>G</w:t>
      </w:r>
      <w:r>
        <w:rPr>
          <w:lang w:val="en-US"/>
        </w:rPr>
        <w:t xml:space="preserve">, Gibbs free energies of reactants and products. </w:t>
      </w:r>
      <w:r>
        <w:rPr>
          <w:i/>
          <w:iCs/>
        </w:rPr>
        <w:t>Δ</w:t>
      </w:r>
      <w:r>
        <w:rPr>
          <w:i/>
          <w:iCs/>
          <w:lang w:val="en-US"/>
        </w:rPr>
        <w:t>E</w:t>
      </w:r>
      <w:r>
        <w:rPr>
          <w:lang w:val="en-US"/>
        </w:rPr>
        <w:t>, energy difference of the reaction (</w:t>
      </w:r>
      <w:r>
        <w:rPr>
          <w:i/>
          <w:iCs/>
          <w:lang w:val="en-US"/>
        </w:rPr>
        <w:t>E</w:t>
      </w:r>
      <w:r>
        <w:rPr>
          <w:lang w:val="en-US"/>
        </w:rPr>
        <w:t xml:space="preserve"> of products minus </w:t>
      </w:r>
      <w:r>
        <w:rPr>
          <w:i/>
          <w:iCs/>
          <w:lang w:val="en-US"/>
        </w:rPr>
        <w:t>E</w:t>
      </w:r>
      <w:r>
        <w:rPr>
          <w:lang w:val="en-US"/>
        </w:rPr>
        <w:t xml:space="preserve"> of reactants). </w:t>
      </w:r>
      <w:r>
        <w:rPr>
          <w:i/>
          <w:iCs/>
        </w:rPr>
        <w:t>Δ</w:t>
      </w:r>
      <w:r>
        <w:rPr>
          <w:i/>
          <w:iCs/>
          <w:lang w:val="en-US"/>
        </w:rPr>
        <w:t>G</w:t>
      </w:r>
      <w:r>
        <w:rPr>
          <w:lang w:val="en-US"/>
        </w:rPr>
        <w:t>, Gibbs free energies difference of the reaction (</w:t>
      </w:r>
      <w:r>
        <w:rPr>
          <w:i/>
          <w:iCs/>
          <w:lang w:val="en-US"/>
        </w:rPr>
        <w:t>G</w:t>
      </w:r>
      <w:r>
        <w:rPr>
          <w:lang w:val="en-US"/>
        </w:rPr>
        <w:t xml:space="preserve"> of products minus </w:t>
      </w:r>
      <w:r>
        <w:rPr>
          <w:i/>
          <w:iCs/>
          <w:lang w:val="en-US"/>
        </w:rPr>
        <w:t>G</w:t>
      </w:r>
      <w:r>
        <w:rPr>
          <w:lang w:val="en-US"/>
        </w:rPr>
        <w:t xml:space="preserve"> of reactants). Negative values of </w:t>
      </w:r>
      <w:r>
        <w:rPr>
          <w:i/>
          <w:iCs/>
          <w:lang w:val="en-US"/>
        </w:rPr>
        <w:t>∆E</w:t>
      </w:r>
      <w:r>
        <w:rPr>
          <w:lang w:val="en-US"/>
        </w:rPr>
        <w:t xml:space="preserve"> and </w:t>
      </w:r>
      <w:r>
        <w:rPr>
          <w:i/>
          <w:iCs/>
          <w:lang w:val="en-US"/>
        </w:rPr>
        <w:t>∆G</w:t>
      </w:r>
      <w:r>
        <w:rPr>
          <w:lang w:val="en-US"/>
        </w:rPr>
        <w:t xml:space="preserve"> indicated that the closed-loop product energy is lower.</w:t>
      </w:r>
    </w:p>
    <w:p w14:paraId="25FA2949" w14:textId="22CFB862" w:rsidR="00703622" w:rsidRDefault="002A30D1" w:rsidP="002A30D1">
      <w:pPr>
        <w:jc w:val="center"/>
      </w:pPr>
      <w:r>
        <w:rPr>
          <w:noProof/>
        </w:rPr>
        <w:drawing>
          <wp:inline distT="0" distB="0" distL="0" distR="0" wp14:anchorId="074F75EF" wp14:editId="0E6C13B1">
            <wp:extent cx="4521835" cy="3815715"/>
            <wp:effectExtent l="0" t="0" r="0" b="0"/>
            <wp:docPr id="1081569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6976" name="图片 4"/>
                    <pic:cNvPicPr>
                      <a:picLocks noChangeAspect="1" noChangeArrowheads="1"/>
                    </pic:cNvPicPr>
                  </pic:nvPicPr>
                  <pic:blipFill>
                    <a:blip r:embed="rId49" cstate="hqprint"/>
                    <a:srcRect/>
                    <a:stretch>
                      <a:fillRect/>
                    </a:stretch>
                  </pic:blipFill>
                  <pic:spPr>
                    <a:xfrm>
                      <a:off x="0" y="0"/>
                      <a:ext cx="4530348" cy="3822554"/>
                    </a:xfrm>
                    <a:prstGeom prst="rect">
                      <a:avLst/>
                    </a:prstGeom>
                    <a:noFill/>
                    <a:ln>
                      <a:noFill/>
                    </a:ln>
                  </pic:spPr>
                </pic:pic>
              </a:graphicData>
            </a:graphic>
          </wp:inline>
        </w:drawing>
      </w:r>
    </w:p>
    <w:p w14:paraId="15E13BAE" w14:textId="77777777" w:rsidR="00703622" w:rsidRDefault="00703622">
      <w:r>
        <w:br w:type="page"/>
      </w:r>
    </w:p>
    <w:p w14:paraId="3C7B8666" w14:textId="5B88052E" w:rsidR="002A30D1" w:rsidRDefault="002A30D1" w:rsidP="002A30D1">
      <w:pPr>
        <w:rPr>
          <w:b/>
          <w:bCs/>
          <w:szCs w:val="21"/>
        </w:rPr>
      </w:pPr>
      <w:r>
        <w:rPr>
          <w:b/>
          <w:bCs/>
          <w:szCs w:val="21"/>
        </w:rPr>
        <w:lastRenderedPageBreak/>
        <w:t>References</w:t>
      </w:r>
    </w:p>
    <w:p w14:paraId="69DFDA2F"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lang w:val="de-DE"/>
        </w:rPr>
        <w:t>1.</w:t>
      </w:r>
      <w:r>
        <w:rPr>
          <w:rFonts w:ascii="Times New Roman" w:hAnsi="Times New Roman" w:cs="Times New Roman"/>
          <w:sz w:val="24"/>
          <w:szCs w:val="24"/>
          <w:lang w:val="de-DE"/>
        </w:rPr>
        <w:tab/>
        <w:t xml:space="preserve">Cao, W.; McCallum, N. C.; Ni, Q. Z.; Li, W.; Boyce, H.; Mao, H.; Zhou, X.; Sun, H.; Thompson, M. P.; Battistella, C.; Wasielewski, M. R.; Dhinojwala, A.; Shawkey, M. D.; Burkart, M. D.; Wang, Z.; Gianneschi, N. C., Selenomelanin: An Abiotic Selenium Analogue of Pheomelanin. </w:t>
      </w:r>
      <w:r>
        <w:rPr>
          <w:rFonts w:ascii="Times New Roman" w:hAnsi="Times New Roman" w:cs="Times New Roman"/>
          <w:i/>
          <w:sz w:val="24"/>
          <w:szCs w:val="24"/>
        </w:rPr>
        <w:t xml:space="preserve">J. Am. Chem. Soc. </w:t>
      </w:r>
      <w:r>
        <w:rPr>
          <w:rFonts w:ascii="Times New Roman" w:hAnsi="Times New Roman" w:cs="Times New Roman"/>
          <w:b/>
          <w:sz w:val="24"/>
          <w:szCs w:val="24"/>
        </w:rPr>
        <w:t>2020,</w:t>
      </w:r>
      <w:r>
        <w:rPr>
          <w:rFonts w:ascii="Times New Roman" w:hAnsi="Times New Roman" w:cs="Times New Roman"/>
          <w:sz w:val="24"/>
          <w:szCs w:val="24"/>
        </w:rPr>
        <w:t xml:space="preserve"> </w:t>
      </w:r>
      <w:r>
        <w:rPr>
          <w:rFonts w:ascii="Times New Roman" w:hAnsi="Times New Roman" w:cs="Times New Roman"/>
          <w:i/>
          <w:sz w:val="24"/>
          <w:szCs w:val="24"/>
        </w:rPr>
        <w:t>142</w:t>
      </w:r>
      <w:r>
        <w:rPr>
          <w:rFonts w:ascii="Times New Roman" w:hAnsi="Times New Roman" w:cs="Times New Roman"/>
          <w:sz w:val="24"/>
          <w:szCs w:val="24"/>
        </w:rPr>
        <w:t xml:space="preserve"> (29), 12802-12810.</w:t>
      </w:r>
    </w:p>
    <w:p w14:paraId="4BC222D4"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 xml:space="preserve">Pyo, J.; Ju, K.-Y.; Lee, J.-K., Artificial pheomelanin nanoparticles and their photo-sensitization properties. </w:t>
      </w:r>
      <w:r>
        <w:rPr>
          <w:rFonts w:ascii="Times New Roman" w:hAnsi="Times New Roman" w:cs="Times New Roman"/>
          <w:i/>
          <w:sz w:val="24"/>
          <w:szCs w:val="24"/>
        </w:rPr>
        <w:t xml:space="preserve">J. </w:t>
      </w:r>
      <w:proofErr w:type="spellStart"/>
      <w:r>
        <w:rPr>
          <w:rFonts w:ascii="Times New Roman" w:hAnsi="Times New Roman" w:cs="Times New Roman"/>
          <w:i/>
          <w:sz w:val="24"/>
          <w:szCs w:val="24"/>
        </w:rPr>
        <w:t>Photoch</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Photobiol</w:t>
      </w:r>
      <w:proofErr w:type="spellEnd"/>
      <w:r>
        <w:rPr>
          <w:rFonts w:ascii="Times New Roman" w:hAnsi="Times New Roman" w:cs="Times New Roman"/>
          <w:i/>
          <w:sz w:val="24"/>
          <w:szCs w:val="24"/>
        </w:rPr>
        <w:t xml:space="preserve">. B </w:t>
      </w:r>
      <w:r>
        <w:rPr>
          <w:rFonts w:ascii="Times New Roman" w:hAnsi="Times New Roman" w:cs="Times New Roman"/>
          <w:b/>
          <w:sz w:val="24"/>
          <w:szCs w:val="24"/>
        </w:rPr>
        <w:t>2016,</w:t>
      </w:r>
      <w:r>
        <w:rPr>
          <w:rFonts w:ascii="Times New Roman" w:hAnsi="Times New Roman" w:cs="Times New Roman"/>
          <w:sz w:val="24"/>
          <w:szCs w:val="24"/>
        </w:rPr>
        <w:t xml:space="preserve"> </w:t>
      </w:r>
      <w:r>
        <w:rPr>
          <w:rFonts w:ascii="Times New Roman" w:hAnsi="Times New Roman" w:cs="Times New Roman"/>
          <w:i/>
          <w:sz w:val="24"/>
          <w:szCs w:val="24"/>
        </w:rPr>
        <w:t>160</w:t>
      </w:r>
      <w:r>
        <w:rPr>
          <w:rFonts w:ascii="Times New Roman" w:hAnsi="Times New Roman" w:cs="Times New Roman"/>
          <w:sz w:val="24"/>
          <w:szCs w:val="24"/>
        </w:rPr>
        <w:t>, 330-335.</w:t>
      </w:r>
    </w:p>
    <w:p w14:paraId="71BEEC1D"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t xml:space="preserve">Huang, Y.; Li, Y.; Hu, Z.; Yue, X.; </w:t>
      </w:r>
      <w:proofErr w:type="spellStart"/>
      <w:r>
        <w:rPr>
          <w:rFonts w:ascii="Times New Roman" w:hAnsi="Times New Roman" w:cs="Times New Roman"/>
          <w:sz w:val="24"/>
          <w:szCs w:val="24"/>
        </w:rPr>
        <w:t>Proetto</w:t>
      </w:r>
      <w:proofErr w:type="spellEnd"/>
      <w:r>
        <w:rPr>
          <w:rFonts w:ascii="Times New Roman" w:hAnsi="Times New Roman" w:cs="Times New Roman"/>
          <w:sz w:val="24"/>
          <w:szCs w:val="24"/>
        </w:rPr>
        <w:t xml:space="preserve">, M. T.; Jones, Y.; Gianneschi, N. C., Mimicking Melanosomes: Polydopamine Nanoparticles as Artificial </w:t>
      </w:r>
      <w:proofErr w:type="spellStart"/>
      <w:r>
        <w:rPr>
          <w:rFonts w:ascii="Times New Roman" w:hAnsi="Times New Roman" w:cs="Times New Roman"/>
          <w:sz w:val="24"/>
          <w:szCs w:val="24"/>
        </w:rPr>
        <w:t>Microparasols</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ACS Cent. Sci. </w:t>
      </w:r>
      <w:r>
        <w:rPr>
          <w:rFonts w:ascii="Times New Roman" w:hAnsi="Times New Roman" w:cs="Times New Roman"/>
          <w:b/>
          <w:sz w:val="24"/>
          <w:szCs w:val="24"/>
        </w:rPr>
        <w:t>2017,</w:t>
      </w:r>
      <w:r>
        <w:rPr>
          <w:rFonts w:ascii="Times New Roman" w:hAnsi="Times New Roman" w:cs="Times New Roman"/>
          <w:sz w:val="24"/>
          <w:szCs w:val="24"/>
        </w:rPr>
        <w:t xml:space="preserve"> </w:t>
      </w:r>
      <w:r>
        <w:rPr>
          <w:rFonts w:ascii="Times New Roman" w:hAnsi="Times New Roman" w:cs="Times New Roman"/>
          <w:i/>
          <w:sz w:val="24"/>
          <w:szCs w:val="24"/>
        </w:rPr>
        <w:t>3</w:t>
      </w:r>
      <w:r>
        <w:rPr>
          <w:rFonts w:ascii="Times New Roman" w:hAnsi="Times New Roman" w:cs="Times New Roman"/>
          <w:sz w:val="24"/>
          <w:szCs w:val="24"/>
        </w:rPr>
        <w:t xml:space="preserve"> (6), 564-569.</w:t>
      </w:r>
    </w:p>
    <w:p w14:paraId="44751137"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t xml:space="preserve">Stephens, P. J.; Devlin, F. J.; </w:t>
      </w:r>
      <w:proofErr w:type="spellStart"/>
      <w:r>
        <w:rPr>
          <w:rFonts w:ascii="Times New Roman" w:hAnsi="Times New Roman" w:cs="Times New Roman"/>
          <w:sz w:val="24"/>
          <w:szCs w:val="24"/>
        </w:rPr>
        <w:t>Chabalowski</w:t>
      </w:r>
      <w:proofErr w:type="spellEnd"/>
      <w:r>
        <w:rPr>
          <w:rFonts w:ascii="Times New Roman" w:hAnsi="Times New Roman" w:cs="Times New Roman"/>
          <w:sz w:val="24"/>
          <w:szCs w:val="24"/>
        </w:rPr>
        <w:t xml:space="preserve">, C. F.; Frisch, M. J., Ab Initio Calculation of Vibrational Absorption and Circular Dichroism Spectra Using Density Functional Force Fields. </w:t>
      </w:r>
      <w:r>
        <w:rPr>
          <w:rFonts w:ascii="Times New Roman" w:hAnsi="Times New Roman" w:cs="Times New Roman"/>
          <w:i/>
          <w:sz w:val="24"/>
          <w:szCs w:val="24"/>
        </w:rPr>
        <w:t xml:space="preserve">J. Phys. Chem. </w:t>
      </w:r>
      <w:r>
        <w:rPr>
          <w:rFonts w:ascii="Times New Roman" w:hAnsi="Times New Roman" w:cs="Times New Roman"/>
          <w:b/>
          <w:sz w:val="24"/>
          <w:szCs w:val="24"/>
        </w:rPr>
        <w:t>1994,</w:t>
      </w:r>
      <w:r>
        <w:rPr>
          <w:rFonts w:ascii="Times New Roman" w:hAnsi="Times New Roman" w:cs="Times New Roman"/>
          <w:sz w:val="24"/>
          <w:szCs w:val="24"/>
        </w:rPr>
        <w:t xml:space="preserve"> </w:t>
      </w:r>
      <w:r>
        <w:rPr>
          <w:rFonts w:ascii="Times New Roman" w:hAnsi="Times New Roman" w:cs="Times New Roman"/>
          <w:i/>
          <w:sz w:val="24"/>
          <w:szCs w:val="24"/>
        </w:rPr>
        <w:t>98</w:t>
      </w:r>
      <w:r>
        <w:rPr>
          <w:rFonts w:ascii="Times New Roman" w:hAnsi="Times New Roman" w:cs="Times New Roman"/>
          <w:sz w:val="24"/>
          <w:szCs w:val="24"/>
        </w:rPr>
        <w:t xml:space="preserve"> (45), 11623-11627.</w:t>
      </w:r>
    </w:p>
    <w:p w14:paraId="5A224E69"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t xml:space="preserve">Grimme, S.; Antony, J.; Ehrlich, S.; Krieg, H., A consistent and accurate ab initio parametrization of density functional dispersion correction (DFT-D) for the 94 elements H-Pu. </w:t>
      </w:r>
      <w:r>
        <w:rPr>
          <w:rFonts w:ascii="Times New Roman" w:hAnsi="Times New Roman" w:cs="Times New Roman"/>
          <w:i/>
          <w:sz w:val="24"/>
          <w:szCs w:val="24"/>
        </w:rPr>
        <w:t xml:space="preserve">J. Chem. Phys. </w:t>
      </w:r>
      <w:r>
        <w:rPr>
          <w:rFonts w:ascii="Times New Roman" w:hAnsi="Times New Roman" w:cs="Times New Roman"/>
          <w:b/>
          <w:sz w:val="24"/>
          <w:szCs w:val="24"/>
        </w:rPr>
        <w:t>2010,</w:t>
      </w:r>
      <w:r>
        <w:rPr>
          <w:rFonts w:ascii="Times New Roman" w:hAnsi="Times New Roman" w:cs="Times New Roman"/>
          <w:sz w:val="24"/>
          <w:szCs w:val="24"/>
        </w:rPr>
        <w:t xml:space="preserve"> </w:t>
      </w:r>
      <w:r>
        <w:rPr>
          <w:rFonts w:ascii="Times New Roman" w:hAnsi="Times New Roman" w:cs="Times New Roman"/>
          <w:i/>
          <w:sz w:val="24"/>
          <w:szCs w:val="24"/>
        </w:rPr>
        <w:t>132</w:t>
      </w:r>
      <w:r>
        <w:rPr>
          <w:rFonts w:ascii="Times New Roman" w:hAnsi="Times New Roman" w:cs="Times New Roman"/>
          <w:sz w:val="24"/>
          <w:szCs w:val="24"/>
        </w:rPr>
        <w:t xml:space="preserve"> (15), 154104.</w:t>
      </w:r>
    </w:p>
    <w:p w14:paraId="7126ED68"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t xml:space="preserve">Grimme, S.; Ehrlich, S.; </w:t>
      </w:r>
      <w:proofErr w:type="spellStart"/>
      <w:r>
        <w:rPr>
          <w:rFonts w:ascii="Times New Roman" w:hAnsi="Times New Roman" w:cs="Times New Roman"/>
          <w:sz w:val="24"/>
          <w:szCs w:val="24"/>
        </w:rPr>
        <w:t>Goerigk</w:t>
      </w:r>
      <w:proofErr w:type="spellEnd"/>
      <w:r>
        <w:rPr>
          <w:rFonts w:ascii="Times New Roman" w:hAnsi="Times New Roman" w:cs="Times New Roman"/>
          <w:sz w:val="24"/>
          <w:szCs w:val="24"/>
        </w:rPr>
        <w:t xml:space="preserve">, L., Effect of the damping function in dispersion corrected density functional theory. </w:t>
      </w:r>
      <w:r>
        <w:rPr>
          <w:rFonts w:ascii="Times New Roman" w:hAnsi="Times New Roman" w:cs="Times New Roman"/>
          <w:i/>
          <w:sz w:val="24"/>
          <w:szCs w:val="24"/>
        </w:rPr>
        <w:t xml:space="preserve">J. </w:t>
      </w:r>
      <w:proofErr w:type="spellStart"/>
      <w:r>
        <w:rPr>
          <w:rFonts w:ascii="Times New Roman" w:hAnsi="Times New Roman" w:cs="Times New Roman"/>
          <w:i/>
          <w:sz w:val="24"/>
          <w:szCs w:val="24"/>
        </w:rPr>
        <w:t>Comput</w:t>
      </w:r>
      <w:proofErr w:type="spellEnd"/>
      <w:r>
        <w:rPr>
          <w:rFonts w:ascii="Times New Roman" w:hAnsi="Times New Roman" w:cs="Times New Roman"/>
          <w:i/>
          <w:sz w:val="24"/>
          <w:szCs w:val="24"/>
        </w:rPr>
        <w:t xml:space="preserve">. Chem. </w:t>
      </w:r>
      <w:r>
        <w:rPr>
          <w:rFonts w:ascii="Times New Roman" w:hAnsi="Times New Roman" w:cs="Times New Roman"/>
          <w:b/>
          <w:sz w:val="24"/>
          <w:szCs w:val="24"/>
        </w:rPr>
        <w:t>2011,</w:t>
      </w:r>
      <w:r>
        <w:rPr>
          <w:rFonts w:ascii="Times New Roman" w:hAnsi="Times New Roman" w:cs="Times New Roman"/>
          <w:sz w:val="24"/>
          <w:szCs w:val="24"/>
        </w:rPr>
        <w:t xml:space="preserve"> </w:t>
      </w:r>
      <w:r>
        <w:rPr>
          <w:rFonts w:ascii="Times New Roman" w:hAnsi="Times New Roman" w:cs="Times New Roman"/>
          <w:i/>
          <w:sz w:val="24"/>
          <w:szCs w:val="24"/>
        </w:rPr>
        <w:t>32</w:t>
      </w:r>
      <w:r>
        <w:rPr>
          <w:rFonts w:ascii="Times New Roman" w:hAnsi="Times New Roman" w:cs="Times New Roman"/>
          <w:sz w:val="24"/>
          <w:szCs w:val="24"/>
        </w:rPr>
        <w:t xml:space="preserve"> (7), 1456-1465.</w:t>
      </w:r>
    </w:p>
    <w:p w14:paraId="7D6E91C2"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t xml:space="preserve">Hariharan, P. C.; </w:t>
      </w:r>
      <w:proofErr w:type="spellStart"/>
      <w:r>
        <w:rPr>
          <w:rFonts w:ascii="Times New Roman" w:hAnsi="Times New Roman" w:cs="Times New Roman"/>
          <w:sz w:val="24"/>
          <w:szCs w:val="24"/>
        </w:rPr>
        <w:t>Pople</w:t>
      </w:r>
      <w:proofErr w:type="spellEnd"/>
      <w:r>
        <w:rPr>
          <w:rFonts w:ascii="Times New Roman" w:hAnsi="Times New Roman" w:cs="Times New Roman"/>
          <w:sz w:val="24"/>
          <w:szCs w:val="24"/>
        </w:rPr>
        <w:t xml:space="preserve">, J. A., The influence of polarization functions on molecular orbital hydrogenation energies. </w:t>
      </w:r>
      <w:r>
        <w:rPr>
          <w:rFonts w:ascii="Times New Roman" w:hAnsi="Times New Roman" w:cs="Times New Roman"/>
          <w:i/>
          <w:sz w:val="24"/>
          <w:szCs w:val="24"/>
        </w:rPr>
        <w:t xml:space="preserve">Theor. Chim. Acta </w:t>
      </w:r>
      <w:r>
        <w:rPr>
          <w:rFonts w:ascii="Times New Roman" w:hAnsi="Times New Roman" w:cs="Times New Roman"/>
          <w:b/>
          <w:sz w:val="24"/>
          <w:szCs w:val="24"/>
        </w:rPr>
        <w:t>1973,</w:t>
      </w:r>
      <w:r>
        <w:rPr>
          <w:rFonts w:ascii="Times New Roman" w:hAnsi="Times New Roman" w:cs="Times New Roman"/>
          <w:sz w:val="24"/>
          <w:szCs w:val="24"/>
        </w:rPr>
        <w:t xml:space="preserve"> </w:t>
      </w:r>
      <w:r>
        <w:rPr>
          <w:rFonts w:ascii="Times New Roman" w:hAnsi="Times New Roman" w:cs="Times New Roman"/>
          <w:i/>
          <w:sz w:val="24"/>
          <w:szCs w:val="24"/>
        </w:rPr>
        <w:t>28</w:t>
      </w:r>
      <w:r>
        <w:rPr>
          <w:rFonts w:ascii="Times New Roman" w:hAnsi="Times New Roman" w:cs="Times New Roman"/>
          <w:sz w:val="24"/>
          <w:szCs w:val="24"/>
        </w:rPr>
        <w:t xml:space="preserve"> (3), 213-222.</w:t>
      </w:r>
    </w:p>
    <w:p w14:paraId="15DABDBC"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rPr>
        <w:tab/>
      </w:r>
      <w:proofErr w:type="spellStart"/>
      <w:r>
        <w:rPr>
          <w:rFonts w:ascii="Times New Roman" w:hAnsi="Times New Roman" w:cs="Times New Roman"/>
          <w:sz w:val="24"/>
          <w:szCs w:val="24"/>
        </w:rPr>
        <w:t>Hehre</w:t>
      </w:r>
      <w:proofErr w:type="spellEnd"/>
      <w:r>
        <w:rPr>
          <w:rFonts w:ascii="Times New Roman" w:hAnsi="Times New Roman" w:cs="Times New Roman"/>
          <w:sz w:val="24"/>
          <w:szCs w:val="24"/>
        </w:rPr>
        <w:t xml:space="preserve">, W. J.; Ditchfield, R.; </w:t>
      </w:r>
      <w:proofErr w:type="spellStart"/>
      <w:r>
        <w:rPr>
          <w:rFonts w:ascii="Times New Roman" w:hAnsi="Times New Roman" w:cs="Times New Roman"/>
          <w:sz w:val="24"/>
          <w:szCs w:val="24"/>
        </w:rPr>
        <w:t>Pople</w:t>
      </w:r>
      <w:proofErr w:type="spellEnd"/>
      <w:r>
        <w:rPr>
          <w:rFonts w:ascii="Times New Roman" w:hAnsi="Times New Roman" w:cs="Times New Roman"/>
          <w:sz w:val="24"/>
          <w:szCs w:val="24"/>
        </w:rPr>
        <w:t xml:space="preserve">, J. A., Self-Consistent Molecular Orbital Methods. XII. Further Extensions of Gaussian—Type Basis Sets for Use in Molecular Orbital Studies of Organic Molecules. </w:t>
      </w:r>
      <w:r>
        <w:rPr>
          <w:rFonts w:ascii="Times New Roman" w:hAnsi="Times New Roman" w:cs="Times New Roman"/>
          <w:i/>
          <w:sz w:val="24"/>
          <w:szCs w:val="24"/>
        </w:rPr>
        <w:t xml:space="preserve">J. Chem. Phys. </w:t>
      </w:r>
      <w:r>
        <w:rPr>
          <w:rFonts w:ascii="Times New Roman" w:hAnsi="Times New Roman" w:cs="Times New Roman"/>
          <w:b/>
          <w:sz w:val="24"/>
          <w:szCs w:val="24"/>
        </w:rPr>
        <w:t>1972,</w:t>
      </w:r>
      <w:r>
        <w:rPr>
          <w:rFonts w:ascii="Times New Roman" w:hAnsi="Times New Roman" w:cs="Times New Roman"/>
          <w:sz w:val="24"/>
          <w:szCs w:val="24"/>
        </w:rPr>
        <w:t xml:space="preserve"> </w:t>
      </w:r>
      <w:r>
        <w:rPr>
          <w:rFonts w:ascii="Times New Roman" w:hAnsi="Times New Roman" w:cs="Times New Roman"/>
          <w:i/>
          <w:sz w:val="24"/>
          <w:szCs w:val="24"/>
        </w:rPr>
        <w:t>56</w:t>
      </w:r>
      <w:r>
        <w:rPr>
          <w:rFonts w:ascii="Times New Roman" w:hAnsi="Times New Roman" w:cs="Times New Roman"/>
          <w:sz w:val="24"/>
          <w:szCs w:val="24"/>
        </w:rPr>
        <w:t xml:space="preserve"> (5), 2257-2261.</w:t>
      </w:r>
    </w:p>
    <w:p w14:paraId="03AD8B53"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9.</w:t>
      </w:r>
      <w:r>
        <w:rPr>
          <w:rFonts w:ascii="Times New Roman" w:hAnsi="Times New Roman" w:cs="Times New Roman"/>
          <w:sz w:val="24"/>
          <w:szCs w:val="24"/>
        </w:rPr>
        <w:tab/>
        <w:t xml:space="preserve">Ditchfield, R.; </w:t>
      </w:r>
      <w:proofErr w:type="spellStart"/>
      <w:r>
        <w:rPr>
          <w:rFonts w:ascii="Times New Roman" w:hAnsi="Times New Roman" w:cs="Times New Roman"/>
          <w:sz w:val="24"/>
          <w:szCs w:val="24"/>
        </w:rPr>
        <w:t>Hehre</w:t>
      </w:r>
      <w:proofErr w:type="spellEnd"/>
      <w:r>
        <w:rPr>
          <w:rFonts w:ascii="Times New Roman" w:hAnsi="Times New Roman" w:cs="Times New Roman"/>
          <w:sz w:val="24"/>
          <w:szCs w:val="24"/>
        </w:rPr>
        <w:t xml:space="preserve">, W. J.; </w:t>
      </w:r>
      <w:proofErr w:type="spellStart"/>
      <w:r>
        <w:rPr>
          <w:rFonts w:ascii="Times New Roman" w:hAnsi="Times New Roman" w:cs="Times New Roman"/>
          <w:sz w:val="24"/>
          <w:szCs w:val="24"/>
        </w:rPr>
        <w:t>Pople</w:t>
      </w:r>
      <w:proofErr w:type="spellEnd"/>
      <w:r>
        <w:rPr>
          <w:rFonts w:ascii="Times New Roman" w:hAnsi="Times New Roman" w:cs="Times New Roman"/>
          <w:sz w:val="24"/>
          <w:szCs w:val="24"/>
        </w:rPr>
        <w:t xml:space="preserve">, J. A., Self‐Consistent Molecular‐Orbital Methods. IX. An Extended Gaussian‐Type Basis for Molecular‐Orbital Studies of Organic Molecules. </w:t>
      </w:r>
      <w:r>
        <w:rPr>
          <w:rFonts w:ascii="Times New Roman" w:hAnsi="Times New Roman" w:cs="Times New Roman"/>
          <w:i/>
          <w:sz w:val="24"/>
          <w:szCs w:val="24"/>
        </w:rPr>
        <w:t xml:space="preserve">J. Chem. Phys. </w:t>
      </w:r>
      <w:r>
        <w:rPr>
          <w:rFonts w:ascii="Times New Roman" w:hAnsi="Times New Roman" w:cs="Times New Roman"/>
          <w:b/>
          <w:sz w:val="24"/>
          <w:szCs w:val="24"/>
        </w:rPr>
        <w:t>1971,</w:t>
      </w:r>
      <w:r>
        <w:rPr>
          <w:rFonts w:ascii="Times New Roman" w:hAnsi="Times New Roman" w:cs="Times New Roman"/>
          <w:sz w:val="24"/>
          <w:szCs w:val="24"/>
        </w:rPr>
        <w:t xml:space="preserve"> </w:t>
      </w:r>
      <w:r>
        <w:rPr>
          <w:rFonts w:ascii="Times New Roman" w:hAnsi="Times New Roman" w:cs="Times New Roman"/>
          <w:i/>
          <w:sz w:val="24"/>
          <w:szCs w:val="24"/>
        </w:rPr>
        <w:t>54</w:t>
      </w:r>
      <w:r>
        <w:rPr>
          <w:rFonts w:ascii="Times New Roman" w:hAnsi="Times New Roman" w:cs="Times New Roman"/>
          <w:sz w:val="24"/>
          <w:szCs w:val="24"/>
        </w:rPr>
        <w:t xml:space="preserve"> (2), 724-728.</w:t>
      </w:r>
    </w:p>
    <w:p w14:paraId="33C6A135"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t xml:space="preserve">Frisch, M. J.; Trucks, G. W.; Schlegel, H. B.; </w:t>
      </w:r>
      <w:proofErr w:type="spellStart"/>
      <w:r>
        <w:rPr>
          <w:rFonts w:ascii="Times New Roman" w:hAnsi="Times New Roman" w:cs="Times New Roman"/>
          <w:sz w:val="24"/>
          <w:szCs w:val="24"/>
        </w:rPr>
        <w:t>Scuseria</w:t>
      </w:r>
      <w:proofErr w:type="spellEnd"/>
      <w:r>
        <w:rPr>
          <w:rFonts w:ascii="Times New Roman" w:hAnsi="Times New Roman" w:cs="Times New Roman"/>
          <w:sz w:val="24"/>
          <w:szCs w:val="24"/>
        </w:rPr>
        <w:t xml:space="preserve">, G. E.; Robb, M. A.; Cheeseman, J. R.; </w:t>
      </w:r>
      <w:proofErr w:type="spellStart"/>
      <w:r>
        <w:rPr>
          <w:rFonts w:ascii="Times New Roman" w:hAnsi="Times New Roman" w:cs="Times New Roman"/>
          <w:sz w:val="24"/>
          <w:szCs w:val="24"/>
        </w:rPr>
        <w:t>Scalmani</w:t>
      </w:r>
      <w:proofErr w:type="spellEnd"/>
      <w:r>
        <w:rPr>
          <w:rFonts w:ascii="Times New Roman" w:hAnsi="Times New Roman" w:cs="Times New Roman"/>
          <w:sz w:val="24"/>
          <w:szCs w:val="24"/>
        </w:rPr>
        <w:t xml:space="preserve">, G.; Barone, V.; Petersson, G. A.; </w:t>
      </w:r>
      <w:proofErr w:type="spellStart"/>
      <w:r>
        <w:rPr>
          <w:rFonts w:ascii="Times New Roman" w:hAnsi="Times New Roman" w:cs="Times New Roman"/>
          <w:sz w:val="24"/>
          <w:szCs w:val="24"/>
        </w:rPr>
        <w:t>Nakatsuji</w:t>
      </w:r>
      <w:proofErr w:type="spellEnd"/>
      <w:r>
        <w:rPr>
          <w:rFonts w:ascii="Times New Roman" w:hAnsi="Times New Roman" w:cs="Times New Roman"/>
          <w:sz w:val="24"/>
          <w:szCs w:val="24"/>
        </w:rPr>
        <w:t xml:space="preserve">, H.; Li, X.; Caricato, M.; </w:t>
      </w:r>
      <w:proofErr w:type="spellStart"/>
      <w:r>
        <w:rPr>
          <w:rFonts w:ascii="Times New Roman" w:hAnsi="Times New Roman" w:cs="Times New Roman"/>
          <w:sz w:val="24"/>
          <w:szCs w:val="24"/>
        </w:rPr>
        <w:t>Marenich</w:t>
      </w:r>
      <w:proofErr w:type="spellEnd"/>
      <w:r>
        <w:rPr>
          <w:rFonts w:ascii="Times New Roman" w:hAnsi="Times New Roman" w:cs="Times New Roman"/>
          <w:sz w:val="24"/>
          <w:szCs w:val="24"/>
        </w:rPr>
        <w:t xml:space="preserve">, A. V.; </w:t>
      </w:r>
      <w:proofErr w:type="spellStart"/>
      <w:r>
        <w:rPr>
          <w:rFonts w:ascii="Times New Roman" w:hAnsi="Times New Roman" w:cs="Times New Roman"/>
          <w:sz w:val="24"/>
          <w:szCs w:val="24"/>
        </w:rPr>
        <w:t>Bloino</w:t>
      </w:r>
      <w:proofErr w:type="spellEnd"/>
      <w:r>
        <w:rPr>
          <w:rFonts w:ascii="Times New Roman" w:hAnsi="Times New Roman" w:cs="Times New Roman"/>
          <w:sz w:val="24"/>
          <w:szCs w:val="24"/>
        </w:rPr>
        <w:t xml:space="preserve">, J.; Janesko, B. G.; Gomperts, R.; </w:t>
      </w:r>
      <w:proofErr w:type="spellStart"/>
      <w:r>
        <w:rPr>
          <w:rFonts w:ascii="Times New Roman" w:hAnsi="Times New Roman" w:cs="Times New Roman"/>
          <w:sz w:val="24"/>
          <w:szCs w:val="24"/>
        </w:rPr>
        <w:t>Mennucci</w:t>
      </w:r>
      <w:proofErr w:type="spellEnd"/>
      <w:r>
        <w:rPr>
          <w:rFonts w:ascii="Times New Roman" w:hAnsi="Times New Roman" w:cs="Times New Roman"/>
          <w:sz w:val="24"/>
          <w:szCs w:val="24"/>
        </w:rPr>
        <w:t xml:space="preserve">, B.; </w:t>
      </w:r>
      <w:proofErr w:type="spellStart"/>
      <w:r>
        <w:rPr>
          <w:rFonts w:ascii="Times New Roman" w:hAnsi="Times New Roman" w:cs="Times New Roman"/>
          <w:sz w:val="24"/>
          <w:szCs w:val="24"/>
        </w:rPr>
        <w:t>Hratchian</w:t>
      </w:r>
      <w:proofErr w:type="spellEnd"/>
      <w:r>
        <w:rPr>
          <w:rFonts w:ascii="Times New Roman" w:hAnsi="Times New Roman" w:cs="Times New Roman"/>
          <w:sz w:val="24"/>
          <w:szCs w:val="24"/>
        </w:rPr>
        <w:t xml:space="preserve">, H. P.; Ortiz, J. V.; Izmaylov, A. F.; Sonnenberg, J. L.; Williams; Ding, F.; </w:t>
      </w:r>
      <w:proofErr w:type="spellStart"/>
      <w:r>
        <w:rPr>
          <w:rFonts w:ascii="Times New Roman" w:hAnsi="Times New Roman" w:cs="Times New Roman"/>
          <w:sz w:val="24"/>
          <w:szCs w:val="24"/>
        </w:rPr>
        <w:t>Lipparini</w:t>
      </w:r>
      <w:proofErr w:type="spellEnd"/>
      <w:r>
        <w:rPr>
          <w:rFonts w:ascii="Times New Roman" w:hAnsi="Times New Roman" w:cs="Times New Roman"/>
          <w:sz w:val="24"/>
          <w:szCs w:val="24"/>
        </w:rPr>
        <w:t xml:space="preserve">, F.; Egidi, F.; Goings, J.; Peng, B.; Petrone, A.; Henderson, T.; Ranasinghe, D.; Zakrzewski, V. G.; Gao, J.; Rega, N.; Zheng, G.; Liang, W.; Hada, M.; Ehara, M.; Toyota, K.; Fukuda, R.; Hasegawa, J.; Ishida, M.; Nakajima, T.; Honda, Y.; Kitao, O.; Nakai, H.; </w:t>
      </w:r>
      <w:proofErr w:type="spellStart"/>
      <w:r>
        <w:rPr>
          <w:rFonts w:ascii="Times New Roman" w:hAnsi="Times New Roman" w:cs="Times New Roman"/>
          <w:sz w:val="24"/>
          <w:szCs w:val="24"/>
        </w:rPr>
        <w:t>Vreven</w:t>
      </w:r>
      <w:proofErr w:type="spellEnd"/>
      <w:r>
        <w:rPr>
          <w:rFonts w:ascii="Times New Roman" w:hAnsi="Times New Roman" w:cs="Times New Roman"/>
          <w:sz w:val="24"/>
          <w:szCs w:val="24"/>
        </w:rPr>
        <w:t xml:space="preserve">, T.; Throssell, K.; Montgomery Jr., J. A.; Peralta, J. E.; </w:t>
      </w:r>
      <w:proofErr w:type="spellStart"/>
      <w:r>
        <w:rPr>
          <w:rFonts w:ascii="Times New Roman" w:hAnsi="Times New Roman" w:cs="Times New Roman"/>
          <w:sz w:val="24"/>
          <w:szCs w:val="24"/>
        </w:rPr>
        <w:t>Ogliaro</w:t>
      </w:r>
      <w:proofErr w:type="spellEnd"/>
      <w:r>
        <w:rPr>
          <w:rFonts w:ascii="Times New Roman" w:hAnsi="Times New Roman" w:cs="Times New Roman"/>
          <w:sz w:val="24"/>
          <w:szCs w:val="24"/>
        </w:rPr>
        <w:t xml:space="preserve">, F.; Bearpark, M. J.; Heyd, J. J.; Brothers, E. N.; Kudin, K. N.; Staroverov, V. N.; Keith, T. A.; Kobayashi, R.; Normand, J.; </w:t>
      </w:r>
      <w:proofErr w:type="spellStart"/>
      <w:r>
        <w:rPr>
          <w:rFonts w:ascii="Times New Roman" w:hAnsi="Times New Roman" w:cs="Times New Roman"/>
          <w:sz w:val="24"/>
          <w:szCs w:val="24"/>
        </w:rPr>
        <w:t>Raghavachari</w:t>
      </w:r>
      <w:proofErr w:type="spellEnd"/>
      <w:r>
        <w:rPr>
          <w:rFonts w:ascii="Times New Roman" w:hAnsi="Times New Roman" w:cs="Times New Roman"/>
          <w:sz w:val="24"/>
          <w:szCs w:val="24"/>
        </w:rPr>
        <w:t xml:space="preserve">, K.; Rendell, A. P.; Burant, J. C.; Iyengar, S. S.; Tomasi, J.; Cossi, M.; Millam, J. M.; Klene, M.; Adamo, C.; Cammi, R.; </w:t>
      </w:r>
      <w:proofErr w:type="spellStart"/>
      <w:r>
        <w:rPr>
          <w:rFonts w:ascii="Times New Roman" w:hAnsi="Times New Roman" w:cs="Times New Roman"/>
          <w:sz w:val="24"/>
          <w:szCs w:val="24"/>
        </w:rPr>
        <w:t>Ochterski</w:t>
      </w:r>
      <w:proofErr w:type="spellEnd"/>
      <w:r>
        <w:rPr>
          <w:rFonts w:ascii="Times New Roman" w:hAnsi="Times New Roman" w:cs="Times New Roman"/>
          <w:sz w:val="24"/>
          <w:szCs w:val="24"/>
        </w:rPr>
        <w:t xml:space="preserve">, J. W.; Martin, R. L.; </w:t>
      </w:r>
      <w:proofErr w:type="spellStart"/>
      <w:r>
        <w:rPr>
          <w:rFonts w:ascii="Times New Roman" w:hAnsi="Times New Roman" w:cs="Times New Roman"/>
          <w:sz w:val="24"/>
          <w:szCs w:val="24"/>
        </w:rPr>
        <w:t>Morokuma</w:t>
      </w:r>
      <w:proofErr w:type="spellEnd"/>
      <w:r>
        <w:rPr>
          <w:rFonts w:ascii="Times New Roman" w:hAnsi="Times New Roman" w:cs="Times New Roman"/>
          <w:sz w:val="24"/>
          <w:szCs w:val="24"/>
        </w:rPr>
        <w:t xml:space="preserve">, K.; Farkas, O.; Foresman, J. B.; Fox, D. J. </w:t>
      </w:r>
      <w:r>
        <w:rPr>
          <w:rFonts w:ascii="Times New Roman" w:hAnsi="Times New Roman" w:cs="Times New Roman"/>
          <w:i/>
          <w:sz w:val="24"/>
          <w:szCs w:val="24"/>
        </w:rPr>
        <w:t>Gaussian 16 Rev. B.01</w:t>
      </w:r>
      <w:r>
        <w:rPr>
          <w:rFonts w:ascii="Times New Roman" w:hAnsi="Times New Roman" w:cs="Times New Roman"/>
          <w:sz w:val="24"/>
          <w:szCs w:val="24"/>
        </w:rPr>
        <w:t>, Wallingford, CT, 2016.</w:t>
      </w:r>
    </w:p>
    <w:p w14:paraId="66232E9E"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t xml:space="preserve">Merrick, J. P.; Moran, D.; Radom, L., An Evaluation of Harmonic Vibrational Frequency Scale Factors. </w:t>
      </w:r>
      <w:r>
        <w:rPr>
          <w:rFonts w:ascii="Times New Roman" w:hAnsi="Times New Roman" w:cs="Times New Roman"/>
          <w:i/>
          <w:sz w:val="24"/>
          <w:szCs w:val="24"/>
        </w:rPr>
        <w:t xml:space="preserve">J. Phys. Chem. A </w:t>
      </w:r>
      <w:r>
        <w:rPr>
          <w:rFonts w:ascii="Times New Roman" w:hAnsi="Times New Roman" w:cs="Times New Roman"/>
          <w:b/>
          <w:sz w:val="24"/>
          <w:szCs w:val="24"/>
        </w:rPr>
        <w:t>2007,</w:t>
      </w:r>
      <w:r>
        <w:rPr>
          <w:rFonts w:ascii="Times New Roman" w:hAnsi="Times New Roman" w:cs="Times New Roman"/>
          <w:sz w:val="24"/>
          <w:szCs w:val="24"/>
        </w:rPr>
        <w:t xml:space="preserve"> </w:t>
      </w:r>
      <w:r>
        <w:rPr>
          <w:rFonts w:ascii="Times New Roman" w:hAnsi="Times New Roman" w:cs="Times New Roman"/>
          <w:i/>
          <w:sz w:val="24"/>
          <w:szCs w:val="24"/>
        </w:rPr>
        <w:t>111</w:t>
      </w:r>
      <w:r>
        <w:rPr>
          <w:rFonts w:ascii="Times New Roman" w:hAnsi="Times New Roman" w:cs="Times New Roman"/>
          <w:sz w:val="24"/>
          <w:szCs w:val="24"/>
        </w:rPr>
        <w:t xml:space="preserve"> (45), 11683-11700.</w:t>
      </w:r>
    </w:p>
    <w:p w14:paraId="6EC03E5C"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t xml:space="preserve">Lu, T.; Chen, Q., </w:t>
      </w:r>
      <w:proofErr w:type="spellStart"/>
      <w:r>
        <w:rPr>
          <w:rFonts w:ascii="Times New Roman" w:hAnsi="Times New Roman" w:cs="Times New Roman"/>
          <w:sz w:val="24"/>
          <w:szCs w:val="24"/>
        </w:rPr>
        <w:t>Shermo</w:t>
      </w:r>
      <w:proofErr w:type="spellEnd"/>
      <w:r>
        <w:rPr>
          <w:rFonts w:ascii="Times New Roman" w:hAnsi="Times New Roman" w:cs="Times New Roman"/>
          <w:sz w:val="24"/>
          <w:szCs w:val="24"/>
        </w:rPr>
        <w:t xml:space="preserve">: A general code for calculating molecular thermochemistry properties. </w:t>
      </w:r>
      <w:proofErr w:type="spellStart"/>
      <w:r>
        <w:rPr>
          <w:rFonts w:ascii="Times New Roman" w:hAnsi="Times New Roman" w:cs="Times New Roman"/>
          <w:i/>
          <w:sz w:val="24"/>
          <w:szCs w:val="24"/>
        </w:rPr>
        <w:t>Comput</w:t>
      </w:r>
      <w:proofErr w:type="spellEnd"/>
      <w:r>
        <w:rPr>
          <w:rFonts w:ascii="Times New Roman" w:hAnsi="Times New Roman" w:cs="Times New Roman"/>
          <w:i/>
          <w:sz w:val="24"/>
          <w:szCs w:val="24"/>
        </w:rPr>
        <w:t xml:space="preserve">. Theor. Chem. </w:t>
      </w:r>
      <w:r>
        <w:rPr>
          <w:rFonts w:ascii="Times New Roman" w:hAnsi="Times New Roman" w:cs="Times New Roman"/>
          <w:b/>
          <w:sz w:val="24"/>
          <w:szCs w:val="24"/>
        </w:rPr>
        <w:t>2021,</w:t>
      </w:r>
      <w:r>
        <w:rPr>
          <w:rFonts w:ascii="Times New Roman" w:hAnsi="Times New Roman" w:cs="Times New Roman"/>
          <w:sz w:val="24"/>
          <w:szCs w:val="24"/>
        </w:rPr>
        <w:t xml:space="preserve"> </w:t>
      </w:r>
      <w:r>
        <w:rPr>
          <w:rFonts w:ascii="Times New Roman" w:hAnsi="Times New Roman" w:cs="Times New Roman"/>
          <w:i/>
          <w:sz w:val="24"/>
          <w:szCs w:val="24"/>
        </w:rPr>
        <w:t>1200</w:t>
      </w:r>
      <w:r>
        <w:rPr>
          <w:rFonts w:ascii="Times New Roman" w:hAnsi="Times New Roman" w:cs="Times New Roman"/>
          <w:sz w:val="24"/>
          <w:szCs w:val="24"/>
        </w:rPr>
        <w:t>, 113249.</w:t>
      </w:r>
    </w:p>
    <w:p w14:paraId="60253CE4"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r>
      <w:proofErr w:type="spellStart"/>
      <w:r>
        <w:rPr>
          <w:rFonts w:ascii="Times New Roman" w:hAnsi="Times New Roman" w:cs="Times New Roman"/>
          <w:sz w:val="24"/>
          <w:szCs w:val="24"/>
        </w:rPr>
        <w:t>Goerigk</w:t>
      </w:r>
      <w:proofErr w:type="spellEnd"/>
      <w:r>
        <w:rPr>
          <w:rFonts w:ascii="Times New Roman" w:hAnsi="Times New Roman" w:cs="Times New Roman"/>
          <w:sz w:val="24"/>
          <w:szCs w:val="24"/>
        </w:rPr>
        <w:t xml:space="preserve">, L.; Grimme, S., Efficient and Accurate Double-Hybrid-Meta-GGA Density Functionals—Evaluation with the Extended GMTKN30 Database for General Main Group Thermochemistry, Kinetics, and Noncovalent Interactions. </w:t>
      </w:r>
      <w:r>
        <w:rPr>
          <w:rFonts w:ascii="Times New Roman" w:hAnsi="Times New Roman" w:cs="Times New Roman"/>
          <w:i/>
          <w:sz w:val="24"/>
          <w:szCs w:val="24"/>
        </w:rPr>
        <w:t xml:space="preserve">J. Chem. Theory </w:t>
      </w:r>
      <w:proofErr w:type="spellStart"/>
      <w:r>
        <w:rPr>
          <w:rFonts w:ascii="Times New Roman" w:hAnsi="Times New Roman" w:cs="Times New Roman"/>
          <w:i/>
          <w:sz w:val="24"/>
          <w:szCs w:val="24"/>
        </w:rPr>
        <w:t>Comput</w:t>
      </w:r>
      <w:proofErr w:type="spellEnd"/>
      <w:r>
        <w:rPr>
          <w:rFonts w:ascii="Times New Roman" w:hAnsi="Times New Roman" w:cs="Times New Roman"/>
          <w:i/>
          <w:sz w:val="24"/>
          <w:szCs w:val="24"/>
        </w:rPr>
        <w:t xml:space="preserve">. </w:t>
      </w:r>
      <w:r>
        <w:rPr>
          <w:rFonts w:ascii="Times New Roman" w:hAnsi="Times New Roman" w:cs="Times New Roman"/>
          <w:b/>
          <w:sz w:val="24"/>
          <w:szCs w:val="24"/>
        </w:rPr>
        <w:t>2011,</w:t>
      </w:r>
      <w:r>
        <w:rPr>
          <w:rFonts w:ascii="Times New Roman" w:hAnsi="Times New Roman" w:cs="Times New Roman"/>
          <w:sz w:val="24"/>
          <w:szCs w:val="24"/>
        </w:rPr>
        <w:t xml:space="preserve"> </w:t>
      </w:r>
      <w:r>
        <w:rPr>
          <w:rFonts w:ascii="Times New Roman" w:hAnsi="Times New Roman" w:cs="Times New Roman"/>
          <w:i/>
          <w:sz w:val="24"/>
          <w:szCs w:val="24"/>
        </w:rPr>
        <w:t>7</w:t>
      </w:r>
      <w:r>
        <w:rPr>
          <w:rFonts w:ascii="Times New Roman" w:hAnsi="Times New Roman" w:cs="Times New Roman"/>
          <w:sz w:val="24"/>
          <w:szCs w:val="24"/>
        </w:rPr>
        <w:t xml:space="preserve"> (2), 291-309.</w:t>
      </w:r>
    </w:p>
    <w:p w14:paraId="0F9DDF35"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rPr>
        <w:tab/>
      </w:r>
      <w:proofErr w:type="spellStart"/>
      <w:r>
        <w:rPr>
          <w:rFonts w:ascii="Times New Roman" w:hAnsi="Times New Roman" w:cs="Times New Roman"/>
          <w:sz w:val="24"/>
          <w:szCs w:val="24"/>
        </w:rPr>
        <w:t>Caldeweyher</w:t>
      </w:r>
      <w:proofErr w:type="spellEnd"/>
      <w:r>
        <w:rPr>
          <w:rFonts w:ascii="Times New Roman" w:hAnsi="Times New Roman" w:cs="Times New Roman"/>
          <w:sz w:val="24"/>
          <w:szCs w:val="24"/>
        </w:rPr>
        <w:t xml:space="preserve">, E.; Ehlert, S.; Hansen, A.; Neugebauer, H.; Spicher, S.; </w:t>
      </w:r>
      <w:proofErr w:type="spellStart"/>
      <w:r>
        <w:rPr>
          <w:rFonts w:ascii="Times New Roman" w:hAnsi="Times New Roman" w:cs="Times New Roman"/>
          <w:sz w:val="24"/>
          <w:szCs w:val="24"/>
        </w:rPr>
        <w:t>Bannwarth</w:t>
      </w:r>
      <w:proofErr w:type="spellEnd"/>
      <w:r>
        <w:rPr>
          <w:rFonts w:ascii="Times New Roman" w:hAnsi="Times New Roman" w:cs="Times New Roman"/>
          <w:sz w:val="24"/>
          <w:szCs w:val="24"/>
        </w:rPr>
        <w:t xml:space="preserve">, C.; Grimme, S., A generally applicable atomic-charge dependent London dispersion correction. </w:t>
      </w:r>
      <w:r>
        <w:rPr>
          <w:rFonts w:ascii="Times New Roman" w:hAnsi="Times New Roman" w:cs="Times New Roman"/>
          <w:i/>
          <w:sz w:val="24"/>
          <w:szCs w:val="24"/>
        </w:rPr>
        <w:t xml:space="preserve">J. Chem. Phys. </w:t>
      </w:r>
      <w:r>
        <w:rPr>
          <w:rFonts w:ascii="Times New Roman" w:hAnsi="Times New Roman" w:cs="Times New Roman"/>
          <w:b/>
          <w:sz w:val="24"/>
          <w:szCs w:val="24"/>
        </w:rPr>
        <w:t>2019,</w:t>
      </w:r>
      <w:r>
        <w:rPr>
          <w:rFonts w:ascii="Times New Roman" w:hAnsi="Times New Roman" w:cs="Times New Roman"/>
          <w:sz w:val="24"/>
          <w:szCs w:val="24"/>
        </w:rPr>
        <w:t xml:space="preserve"> </w:t>
      </w:r>
      <w:r>
        <w:rPr>
          <w:rFonts w:ascii="Times New Roman" w:hAnsi="Times New Roman" w:cs="Times New Roman"/>
          <w:i/>
          <w:sz w:val="24"/>
          <w:szCs w:val="24"/>
        </w:rPr>
        <w:t>150</w:t>
      </w:r>
      <w:r>
        <w:rPr>
          <w:rFonts w:ascii="Times New Roman" w:hAnsi="Times New Roman" w:cs="Times New Roman"/>
          <w:sz w:val="24"/>
          <w:szCs w:val="24"/>
        </w:rPr>
        <w:t xml:space="preserve"> (15), 154122.</w:t>
      </w:r>
    </w:p>
    <w:p w14:paraId="3688A8B4"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15.</w:t>
      </w:r>
      <w:r>
        <w:rPr>
          <w:rFonts w:ascii="Times New Roman" w:hAnsi="Times New Roman" w:cs="Times New Roman"/>
          <w:sz w:val="24"/>
          <w:szCs w:val="24"/>
        </w:rPr>
        <w:tab/>
      </w:r>
      <w:proofErr w:type="spellStart"/>
      <w:r>
        <w:rPr>
          <w:rFonts w:ascii="Times New Roman" w:hAnsi="Times New Roman" w:cs="Times New Roman"/>
          <w:sz w:val="24"/>
          <w:szCs w:val="24"/>
        </w:rPr>
        <w:t>Weigend</w:t>
      </w:r>
      <w:proofErr w:type="spellEnd"/>
      <w:r>
        <w:rPr>
          <w:rFonts w:ascii="Times New Roman" w:hAnsi="Times New Roman" w:cs="Times New Roman"/>
          <w:sz w:val="24"/>
          <w:szCs w:val="24"/>
        </w:rPr>
        <w:t xml:space="preserve">, F.; Ahlrichs, R., Balanced basis sets of split valence, triple zeta valence and quadruple zeta valence quality for H to Rn: Design and assessment of accuracy. </w:t>
      </w:r>
      <w:r>
        <w:rPr>
          <w:rFonts w:ascii="Times New Roman" w:hAnsi="Times New Roman" w:cs="Times New Roman"/>
          <w:i/>
          <w:sz w:val="24"/>
          <w:szCs w:val="24"/>
        </w:rPr>
        <w:t xml:space="preserve">Phys. Chem. </w:t>
      </w:r>
      <w:r>
        <w:rPr>
          <w:rFonts w:ascii="Times New Roman" w:hAnsi="Times New Roman" w:cs="Times New Roman"/>
          <w:i/>
          <w:sz w:val="24"/>
          <w:szCs w:val="24"/>
        </w:rPr>
        <w:lastRenderedPageBreak/>
        <w:t xml:space="preserve">Chem. Phys. </w:t>
      </w:r>
      <w:r>
        <w:rPr>
          <w:rFonts w:ascii="Times New Roman" w:hAnsi="Times New Roman" w:cs="Times New Roman"/>
          <w:b/>
          <w:sz w:val="24"/>
          <w:szCs w:val="24"/>
        </w:rPr>
        <w:t>2005,</w:t>
      </w:r>
      <w:r>
        <w:rPr>
          <w:rFonts w:ascii="Times New Roman" w:hAnsi="Times New Roman" w:cs="Times New Roman"/>
          <w:sz w:val="24"/>
          <w:szCs w:val="24"/>
        </w:rPr>
        <w:t xml:space="preserve"> </w:t>
      </w:r>
      <w:r>
        <w:rPr>
          <w:rFonts w:ascii="Times New Roman" w:hAnsi="Times New Roman" w:cs="Times New Roman"/>
          <w:i/>
          <w:sz w:val="24"/>
          <w:szCs w:val="24"/>
        </w:rPr>
        <w:t>7</w:t>
      </w:r>
      <w:r>
        <w:rPr>
          <w:rFonts w:ascii="Times New Roman" w:hAnsi="Times New Roman" w:cs="Times New Roman"/>
          <w:sz w:val="24"/>
          <w:szCs w:val="24"/>
        </w:rPr>
        <w:t xml:space="preserve"> (18), 3297-3305.</w:t>
      </w:r>
    </w:p>
    <w:p w14:paraId="33BCE0ED"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16.</w:t>
      </w:r>
      <w:r>
        <w:rPr>
          <w:rFonts w:ascii="Times New Roman" w:hAnsi="Times New Roman" w:cs="Times New Roman"/>
          <w:sz w:val="24"/>
          <w:szCs w:val="24"/>
        </w:rPr>
        <w:tab/>
        <w:t xml:space="preserve">Neese, F., An improvement of the resolution of the identity approximation for the formation of the Coulomb matrix. </w:t>
      </w:r>
      <w:r>
        <w:rPr>
          <w:rFonts w:ascii="Times New Roman" w:hAnsi="Times New Roman" w:cs="Times New Roman"/>
          <w:b/>
          <w:sz w:val="24"/>
          <w:szCs w:val="24"/>
        </w:rPr>
        <w:t>2003,</w:t>
      </w:r>
      <w:r>
        <w:rPr>
          <w:rFonts w:ascii="Times New Roman" w:hAnsi="Times New Roman" w:cs="Times New Roman"/>
          <w:sz w:val="24"/>
          <w:szCs w:val="24"/>
        </w:rPr>
        <w:t xml:space="preserve"> </w:t>
      </w:r>
      <w:r>
        <w:rPr>
          <w:rFonts w:ascii="Times New Roman" w:hAnsi="Times New Roman" w:cs="Times New Roman"/>
          <w:i/>
          <w:sz w:val="24"/>
          <w:szCs w:val="24"/>
        </w:rPr>
        <w:t>24</w:t>
      </w:r>
      <w:r>
        <w:rPr>
          <w:rFonts w:ascii="Times New Roman" w:hAnsi="Times New Roman" w:cs="Times New Roman"/>
          <w:sz w:val="24"/>
          <w:szCs w:val="24"/>
        </w:rPr>
        <w:t xml:space="preserve"> (14), 1740-1747.</w:t>
      </w:r>
    </w:p>
    <w:p w14:paraId="700DAE46"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17.</w:t>
      </w:r>
      <w:r>
        <w:rPr>
          <w:rFonts w:ascii="Times New Roman" w:hAnsi="Times New Roman" w:cs="Times New Roman"/>
          <w:sz w:val="24"/>
          <w:szCs w:val="24"/>
        </w:rPr>
        <w:tab/>
        <w:t xml:space="preserve">Neese, F.; </w:t>
      </w:r>
      <w:proofErr w:type="spellStart"/>
      <w:r>
        <w:rPr>
          <w:rFonts w:ascii="Times New Roman" w:hAnsi="Times New Roman" w:cs="Times New Roman"/>
          <w:sz w:val="24"/>
          <w:szCs w:val="24"/>
        </w:rPr>
        <w:t>Wennmohs</w:t>
      </w:r>
      <w:proofErr w:type="spellEnd"/>
      <w:r>
        <w:rPr>
          <w:rFonts w:ascii="Times New Roman" w:hAnsi="Times New Roman" w:cs="Times New Roman"/>
          <w:sz w:val="24"/>
          <w:szCs w:val="24"/>
        </w:rPr>
        <w:t xml:space="preserve">, F.; Hansen, A.; Becker, U., Efficient, approximate and parallel Hartree–Fock and hybrid DFT calculations. A ‘chain-of-spheres’ algorithm for the Hartree–Fock exchange. </w:t>
      </w:r>
      <w:r>
        <w:rPr>
          <w:rFonts w:ascii="Times New Roman" w:hAnsi="Times New Roman" w:cs="Times New Roman"/>
          <w:i/>
          <w:sz w:val="24"/>
          <w:szCs w:val="24"/>
        </w:rPr>
        <w:t xml:space="preserve">Chem. Phys. </w:t>
      </w:r>
      <w:r>
        <w:rPr>
          <w:rFonts w:ascii="Times New Roman" w:hAnsi="Times New Roman" w:cs="Times New Roman"/>
          <w:b/>
          <w:sz w:val="24"/>
          <w:szCs w:val="24"/>
        </w:rPr>
        <w:t>2009,</w:t>
      </w:r>
      <w:r>
        <w:rPr>
          <w:rFonts w:ascii="Times New Roman" w:hAnsi="Times New Roman" w:cs="Times New Roman"/>
          <w:sz w:val="24"/>
          <w:szCs w:val="24"/>
        </w:rPr>
        <w:t xml:space="preserve"> </w:t>
      </w:r>
      <w:r>
        <w:rPr>
          <w:rFonts w:ascii="Times New Roman" w:hAnsi="Times New Roman" w:cs="Times New Roman"/>
          <w:i/>
          <w:sz w:val="24"/>
          <w:szCs w:val="24"/>
        </w:rPr>
        <w:t>356</w:t>
      </w:r>
      <w:r>
        <w:rPr>
          <w:rFonts w:ascii="Times New Roman" w:hAnsi="Times New Roman" w:cs="Times New Roman"/>
          <w:sz w:val="24"/>
          <w:szCs w:val="24"/>
        </w:rPr>
        <w:t xml:space="preserve"> (1), 98-109.</w:t>
      </w:r>
    </w:p>
    <w:p w14:paraId="57E3ACE3"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18.</w:t>
      </w:r>
      <w:r>
        <w:rPr>
          <w:rFonts w:ascii="Times New Roman" w:hAnsi="Times New Roman" w:cs="Times New Roman"/>
          <w:sz w:val="24"/>
          <w:szCs w:val="24"/>
        </w:rPr>
        <w:tab/>
        <w:t xml:space="preserve">Neese, F., The ORCA program system. </w:t>
      </w:r>
      <w:r>
        <w:rPr>
          <w:rFonts w:ascii="Times New Roman" w:hAnsi="Times New Roman" w:cs="Times New Roman"/>
          <w:i/>
          <w:sz w:val="24"/>
          <w:szCs w:val="24"/>
        </w:rPr>
        <w:t xml:space="preserve">WIREs </w:t>
      </w:r>
      <w:proofErr w:type="spellStart"/>
      <w:r>
        <w:rPr>
          <w:rFonts w:ascii="Times New Roman" w:hAnsi="Times New Roman" w:cs="Times New Roman"/>
          <w:i/>
          <w:sz w:val="24"/>
          <w:szCs w:val="24"/>
        </w:rPr>
        <w:t>Comput</w:t>
      </w:r>
      <w:proofErr w:type="spellEnd"/>
      <w:r>
        <w:rPr>
          <w:rFonts w:ascii="Times New Roman" w:hAnsi="Times New Roman" w:cs="Times New Roman"/>
          <w:i/>
          <w:sz w:val="24"/>
          <w:szCs w:val="24"/>
        </w:rPr>
        <w:t xml:space="preserve">. Mol. Sci. </w:t>
      </w:r>
      <w:r>
        <w:rPr>
          <w:rFonts w:ascii="Times New Roman" w:hAnsi="Times New Roman" w:cs="Times New Roman"/>
          <w:b/>
          <w:sz w:val="24"/>
          <w:szCs w:val="24"/>
        </w:rPr>
        <w:t>2012,</w:t>
      </w:r>
      <w:r>
        <w:rPr>
          <w:rFonts w:ascii="Times New Roman" w:hAnsi="Times New Roman" w:cs="Times New Roman"/>
          <w:sz w:val="24"/>
          <w:szCs w:val="24"/>
        </w:rPr>
        <w:t xml:space="preserve"> </w:t>
      </w:r>
      <w:r>
        <w:rPr>
          <w:rFonts w:ascii="Times New Roman" w:hAnsi="Times New Roman" w:cs="Times New Roman"/>
          <w:i/>
          <w:sz w:val="24"/>
          <w:szCs w:val="24"/>
        </w:rPr>
        <w:t>2</w:t>
      </w:r>
      <w:r>
        <w:rPr>
          <w:rFonts w:ascii="Times New Roman" w:hAnsi="Times New Roman" w:cs="Times New Roman"/>
          <w:sz w:val="24"/>
          <w:szCs w:val="24"/>
        </w:rPr>
        <w:t xml:space="preserve"> (1), 73-78.</w:t>
      </w:r>
    </w:p>
    <w:p w14:paraId="546C6B3D"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19.</w:t>
      </w:r>
      <w:r>
        <w:rPr>
          <w:rFonts w:ascii="Times New Roman" w:hAnsi="Times New Roman" w:cs="Times New Roman"/>
          <w:sz w:val="24"/>
          <w:szCs w:val="24"/>
        </w:rPr>
        <w:tab/>
      </w:r>
      <w:proofErr w:type="spellStart"/>
      <w:r>
        <w:rPr>
          <w:rFonts w:ascii="Times New Roman" w:hAnsi="Times New Roman" w:cs="Times New Roman"/>
          <w:sz w:val="24"/>
          <w:szCs w:val="24"/>
        </w:rPr>
        <w:t>LeBel</w:t>
      </w:r>
      <w:proofErr w:type="spellEnd"/>
      <w:r>
        <w:rPr>
          <w:rFonts w:ascii="Times New Roman" w:hAnsi="Times New Roman" w:cs="Times New Roman"/>
          <w:sz w:val="24"/>
          <w:szCs w:val="24"/>
        </w:rPr>
        <w:t xml:space="preserve">, C. P.; </w:t>
      </w:r>
      <w:proofErr w:type="spellStart"/>
      <w:r>
        <w:rPr>
          <w:rFonts w:ascii="Times New Roman" w:hAnsi="Times New Roman" w:cs="Times New Roman"/>
          <w:sz w:val="24"/>
          <w:szCs w:val="24"/>
        </w:rPr>
        <w:t>Ischiropoulos</w:t>
      </w:r>
      <w:proofErr w:type="spellEnd"/>
      <w:r>
        <w:rPr>
          <w:rFonts w:ascii="Times New Roman" w:hAnsi="Times New Roman" w:cs="Times New Roman"/>
          <w:sz w:val="24"/>
          <w:szCs w:val="24"/>
        </w:rPr>
        <w:t xml:space="preserve">, H.; Bondy, S. C., Evaluation of the probe 2',7'-dichlorofluorescin as an indicator of reactive oxygen species formation and oxidative stress. </w:t>
      </w:r>
      <w:r>
        <w:rPr>
          <w:rFonts w:ascii="Times New Roman" w:hAnsi="Times New Roman" w:cs="Times New Roman"/>
          <w:i/>
          <w:sz w:val="24"/>
          <w:szCs w:val="24"/>
        </w:rPr>
        <w:t xml:space="preserve">Chem. Res. </w:t>
      </w:r>
      <w:proofErr w:type="spellStart"/>
      <w:r>
        <w:rPr>
          <w:rFonts w:ascii="Times New Roman" w:hAnsi="Times New Roman" w:cs="Times New Roman"/>
          <w:i/>
          <w:sz w:val="24"/>
          <w:szCs w:val="24"/>
        </w:rPr>
        <w:t>Toxicol</w:t>
      </w:r>
      <w:proofErr w:type="spellEnd"/>
      <w:r>
        <w:rPr>
          <w:rFonts w:ascii="Times New Roman" w:hAnsi="Times New Roman" w:cs="Times New Roman"/>
          <w:i/>
          <w:sz w:val="24"/>
          <w:szCs w:val="24"/>
        </w:rPr>
        <w:t xml:space="preserve">. </w:t>
      </w:r>
      <w:r>
        <w:rPr>
          <w:rFonts w:ascii="Times New Roman" w:hAnsi="Times New Roman" w:cs="Times New Roman"/>
          <w:b/>
          <w:sz w:val="24"/>
          <w:szCs w:val="24"/>
        </w:rPr>
        <w:t>1992,</w:t>
      </w:r>
      <w:r>
        <w:rPr>
          <w:rFonts w:ascii="Times New Roman" w:hAnsi="Times New Roman" w:cs="Times New Roman"/>
          <w:sz w:val="24"/>
          <w:szCs w:val="24"/>
        </w:rPr>
        <w:t xml:space="preserve"> </w:t>
      </w:r>
      <w:r>
        <w:rPr>
          <w:rFonts w:ascii="Times New Roman" w:hAnsi="Times New Roman" w:cs="Times New Roman"/>
          <w:i/>
          <w:sz w:val="24"/>
          <w:szCs w:val="24"/>
        </w:rPr>
        <w:t>5</w:t>
      </w:r>
      <w:r>
        <w:rPr>
          <w:rFonts w:ascii="Times New Roman" w:hAnsi="Times New Roman" w:cs="Times New Roman"/>
          <w:sz w:val="24"/>
          <w:szCs w:val="24"/>
        </w:rPr>
        <w:t xml:space="preserve"> (2), 227-231.</w:t>
      </w:r>
    </w:p>
    <w:p w14:paraId="5E5AD6C7"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sz w:val="24"/>
          <w:szCs w:val="24"/>
        </w:rPr>
        <w:tab/>
        <w:t xml:space="preserve">Cathcart, R.; </w:t>
      </w:r>
      <w:proofErr w:type="spellStart"/>
      <w:r>
        <w:rPr>
          <w:rFonts w:ascii="Times New Roman" w:hAnsi="Times New Roman" w:cs="Times New Roman"/>
          <w:sz w:val="24"/>
          <w:szCs w:val="24"/>
        </w:rPr>
        <w:t>Schwiers</w:t>
      </w:r>
      <w:proofErr w:type="spellEnd"/>
      <w:r>
        <w:rPr>
          <w:rFonts w:ascii="Times New Roman" w:hAnsi="Times New Roman" w:cs="Times New Roman"/>
          <w:sz w:val="24"/>
          <w:szCs w:val="24"/>
        </w:rPr>
        <w:t xml:space="preserve">, E.; Ames, B. N., Detection of picomole levels of hydroperoxides using a fluorescent </w:t>
      </w:r>
      <w:proofErr w:type="spellStart"/>
      <w:r>
        <w:rPr>
          <w:rFonts w:ascii="Times New Roman" w:hAnsi="Times New Roman" w:cs="Times New Roman"/>
          <w:sz w:val="24"/>
          <w:szCs w:val="24"/>
        </w:rPr>
        <w:t>dichlorofluorescein</w:t>
      </w:r>
      <w:proofErr w:type="spellEnd"/>
      <w:r>
        <w:rPr>
          <w:rFonts w:ascii="Times New Roman" w:hAnsi="Times New Roman" w:cs="Times New Roman"/>
          <w:sz w:val="24"/>
          <w:szCs w:val="24"/>
        </w:rPr>
        <w:t xml:space="preserve"> assay. </w:t>
      </w:r>
      <w:r>
        <w:rPr>
          <w:rFonts w:ascii="Times New Roman" w:hAnsi="Times New Roman" w:cs="Times New Roman"/>
          <w:i/>
          <w:sz w:val="24"/>
          <w:szCs w:val="24"/>
        </w:rPr>
        <w:t xml:space="preserve">Anal. </w:t>
      </w:r>
      <w:proofErr w:type="spellStart"/>
      <w:r>
        <w:rPr>
          <w:rFonts w:ascii="Times New Roman" w:hAnsi="Times New Roman" w:cs="Times New Roman"/>
          <w:i/>
          <w:sz w:val="24"/>
          <w:szCs w:val="24"/>
        </w:rPr>
        <w:t>Biochem</w:t>
      </w:r>
      <w:proofErr w:type="spellEnd"/>
      <w:r>
        <w:rPr>
          <w:rFonts w:ascii="Times New Roman" w:hAnsi="Times New Roman" w:cs="Times New Roman"/>
          <w:i/>
          <w:sz w:val="24"/>
          <w:szCs w:val="24"/>
        </w:rPr>
        <w:t xml:space="preserve">. </w:t>
      </w:r>
      <w:r>
        <w:rPr>
          <w:rFonts w:ascii="Times New Roman" w:hAnsi="Times New Roman" w:cs="Times New Roman"/>
          <w:b/>
          <w:sz w:val="24"/>
          <w:szCs w:val="24"/>
        </w:rPr>
        <w:t>1983,</w:t>
      </w:r>
      <w:r>
        <w:rPr>
          <w:rFonts w:ascii="Times New Roman" w:hAnsi="Times New Roman" w:cs="Times New Roman"/>
          <w:sz w:val="24"/>
          <w:szCs w:val="24"/>
        </w:rPr>
        <w:t xml:space="preserve"> </w:t>
      </w:r>
      <w:r>
        <w:rPr>
          <w:rFonts w:ascii="Times New Roman" w:hAnsi="Times New Roman" w:cs="Times New Roman"/>
          <w:i/>
          <w:sz w:val="24"/>
          <w:szCs w:val="24"/>
        </w:rPr>
        <w:t>134</w:t>
      </w:r>
      <w:r>
        <w:rPr>
          <w:rFonts w:ascii="Times New Roman" w:hAnsi="Times New Roman" w:cs="Times New Roman"/>
          <w:sz w:val="24"/>
          <w:szCs w:val="24"/>
        </w:rPr>
        <w:t xml:space="preserve"> (1), 111-116.</w:t>
      </w:r>
    </w:p>
    <w:p w14:paraId="5DEE8568"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t>Panzella, L.; Gentile, G.; D'Errico, G.; Della</w:t>
      </w:r>
      <w:r>
        <w:rPr>
          <w:rFonts w:ascii="Times New Roman" w:eastAsia="MS Mincho" w:hAnsi="Times New Roman" w:cs="Times New Roman"/>
          <w:sz w:val="24"/>
          <w:szCs w:val="24"/>
        </w:rPr>
        <w:t> </w:t>
      </w:r>
      <w:r>
        <w:rPr>
          <w:rFonts w:ascii="Times New Roman" w:hAnsi="Times New Roman" w:cs="Times New Roman"/>
          <w:sz w:val="24"/>
          <w:szCs w:val="24"/>
        </w:rPr>
        <w:t xml:space="preserve">Vecchia, N. F.; Errico, M. E.; Napolitano, A.; Carfagna, C.; </w:t>
      </w:r>
      <w:proofErr w:type="spellStart"/>
      <w:r>
        <w:rPr>
          <w:rFonts w:ascii="Times New Roman" w:hAnsi="Times New Roman" w:cs="Times New Roman"/>
          <w:sz w:val="24"/>
          <w:szCs w:val="24"/>
        </w:rPr>
        <w:t>d'Ischia</w:t>
      </w:r>
      <w:proofErr w:type="spellEnd"/>
      <w:r>
        <w:rPr>
          <w:rFonts w:ascii="Times New Roman" w:hAnsi="Times New Roman" w:cs="Times New Roman"/>
          <w:sz w:val="24"/>
          <w:szCs w:val="24"/>
        </w:rPr>
        <w:t xml:space="preserve">, M., Atypical Structural and π-Electron Features of a Melanin Polymer That Lead to Superior Free-Radical-Scavenging Properties. </w:t>
      </w:r>
      <w:proofErr w:type="spellStart"/>
      <w:r>
        <w:rPr>
          <w:rFonts w:ascii="Times New Roman" w:hAnsi="Times New Roman" w:cs="Times New Roman"/>
          <w:i/>
          <w:sz w:val="24"/>
          <w:szCs w:val="24"/>
        </w:rPr>
        <w:t>Angew</w:t>
      </w:r>
      <w:proofErr w:type="spellEnd"/>
      <w:r>
        <w:rPr>
          <w:rFonts w:ascii="Times New Roman" w:hAnsi="Times New Roman" w:cs="Times New Roman"/>
          <w:i/>
          <w:sz w:val="24"/>
          <w:szCs w:val="24"/>
        </w:rPr>
        <w:t xml:space="preserve">. Chem. Int. Ed. </w:t>
      </w:r>
      <w:r>
        <w:rPr>
          <w:rFonts w:ascii="Times New Roman" w:hAnsi="Times New Roman" w:cs="Times New Roman"/>
          <w:b/>
          <w:sz w:val="24"/>
          <w:szCs w:val="24"/>
        </w:rPr>
        <w:t>2013,</w:t>
      </w:r>
      <w:r>
        <w:rPr>
          <w:rFonts w:ascii="Times New Roman" w:hAnsi="Times New Roman" w:cs="Times New Roman"/>
          <w:sz w:val="24"/>
          <w:szCs w:val="24"/>
        </w:rPr>
        <w:t xml:space="preserve"> </w:t>
      </w:r>
      <w:r>
        <w:rPr>
          <w:rFonts w:ascii="Times New Roman" w:hAnsi="Times New Roman" w:cs="Times New Roman"/>
          <w:i/>
          <w:sz w:val="24"/>
          <w:szCs w:val="24"/>
        </w:rPr>
        <w:t>52</w:t>
      </w:r>
      <w:r>
        <w:rPr>
          <w:rFonts w:ascii="Times New Roman" w:hAnsi="Times New Roman" w:cs="Times New Roman"/>
          <w:sz w:val="24"/>
          <w:szCs w:val="24"/>
        </w:rPr>
        <w:t xml:space="preserve"> (48), 12684-12687.</w:t>
      </w:r>
    </w:p>
    <w:p w14:paraId="2280BCF3"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t xml:space="preserve">Ju, K.-Y.; Lee, Y.; Lee, S.; Park, S. B.; Lee, J.-K., Bioinspired Polymerization of Dopamine to Generate Melanin-Like Nanoparticles Having an Excellent Free-Radical-Scavenging Property. </w:t>
      </w:r>
      <w:r>
        <w:rPr>
          <w:rFonts w:ascii="Times New Roman" w:hAnsi="Times New Roman" w:cs="Times New Roman"/>
          <w:i/>
          <w:sz w:val="24"/>
          <w:szCs w:val="24"/>
        </w:rPr>
        <w:t xml:space="preserve">Biomacromolecules </w:t>
      </w:r>
      <w:r>
        <w:rPr>
          <w:rFonts w:ascii="Times New Roman" w:hAnsi="Times New Roman" w:cs="Times New Roman"/>
          <w:b/>
          <w:sz w:val="24"/>
          <w:szCs w:val="24"/>
        </w:rPr>
        <w:t>2011,</w:t>
      </w:r>
      <w:r>
        <w:rPr>
          <w:rFonts w:ascii="Times New Roman" w:hAnsi="Times New Roman" w:cs="Times New Roman"/>
          <w:sz w:val="24"/>
          <w:szCs w:val="24"/>
        </w:rPr>
        <w:t xml:space="preserve"> </w:t>
      </w:r>
      <w:r>
        <w:rPr>
          <w:rFonts w:ascii="Times New Roman" w:hAnsi="Times New Roman" w:cs="Times New Roman"/>
          <w:i/>
          <w:sz w:val="24"/>
          <w:szCs w:val="24"/>
        </w:rPr>
        <w:t>12</w:t>
      </w:r>
      <w:r>
        <w:rPr>
          <w:rFonts w:ascii="Times New Roman" w:hAnsi="Times New Roman" w:cs="Times New Roman"/>
          <w:sz w:val="24"/>
          <w:szCs w:val="24"/>
        </w:rPr>
        <w:t xml:space="preserve"> (3), 625-632.</w:t>
      </w:r>
    </w:p>
    <w:p w14:paraId="3FDD8BC5"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23.</w:t>
      </w:r>
      <w:r>
        <w:rPr>
          <w:rFonts w:ascii="Times New Roman" w:hAnsi="Times New Roman" w:cs="Times New Roman"/>
          <w:sz w:val="24"/>
          <w:szCs w:val="24"/>
        </w:rPr>
        <w:tab/>
        <w:t xml:space="preserve">Zhou, X.; McCallum, N. C.; Hu, Z.; Cao, W.; Gnanasekaran, K.; Feng, Y.; Stoddart, J. F.; Wang, Z.; Gianneschi, N. C., Artificial </w:t>
      </w:r>
      <w:proofErr w:type="spellStart"/>
      <w:r>
        <w:rPr>
          <w:rFonts w:ascii="Times New Roman" w:hAnsi="Times New Roman" w:cs="Times New Roman"/>
          <w:sz w:val="24"/>
          <w:szCs w:val="24"/>
        </w:rPr>
        <w:t>Allomelanin</w:t>
      </w:r>
      <w:proofErr w:type="spellEnd"/>
      <w:r>
        <w:rPr>
          <w:rFonts w:ascii="Times New Roman" w:hAnsi="Times New Roman" w:cs="Times New Roman"/>
          <w:sz w:val="24"/>
          <w:szCs w:val="24"/>
        </w:rPr>
        <w:t xml:space="preserve"> Nanoparticles. </w:t>
      </w:r>
      <w:r>
        <w:rPr>
          <w:rFonts w:ascii="Times New Roman" w:hAnsi="Times New Roman" w:cs="Times New Roman"/>
          <w:i/>
          <w:sz w:val="24"/>
          <w:szCs w:val="24"/>
        </w:rPr>
        <w:t xml:space="preserve">ACS Nano </w:t>
      </w:r>
      <w:r>
        <w:rPr>
          <w:rFonts w:ascii="Times New Roman" w:hAnsi="Times New Roman" w:cs="Times New Roman"/>
          <w:b/>
          <w:sz w:val="24"/>
          <w:szCs w:val="24"/>
        </w:rPr>
        <w:t>2019,</w:t>
      </w:r>
      <w:r>
        <w:rPr>
          <w:rFonts w:ascii="Times New Roman" w:hAnsi="Times New Roman" w:cs="Times New Roman"/>
          <w:sz w:val="24"/>
          <w:szCs w:val="24"/>
        </w:rPr>
        <w:t xml:space="preserve"> </w:t>
      </w:r>
      <w:r>
        <w:rPr>
          <w:rFonts w:ascii="Times New Roman" w:hAnsi="Times New Roman" w:cs="Times New Roman"/>
          <w:i/>
          <w:sz w:val="24"/>
          <w:szCs w:val="24"/>
        </w:rPr>
        <w:t>13</w:t>
      </w:r>
      <w:r>
        <w:rPr>
          <w:rFonts w:ascii="Times New Roman" w:hAnsi="Times New Roman" w:cs="Times New Roman"/>
          <w:sz w:val="24"/>
          <w:szCs w:val="24"/>
        </w:rPr>
        <w:t xml:space="preserve"> (10), 10980-10990.</w:t>
      </w:r>
    </w:p>
    <w:p w14:paraId="3147E813" w14:textId="77777777" w:rsidR="002A30D1" w:rsidRDefault="002A30D1" w:rsidP="002A30D1">
      <w:pPr>
        <w:pStyle w:val="EndNoteBibliography"/>
        <w:rPr>
          <w:rFonts w:ascii="Times New Roman" w:hAnsi="Times New Roman" w:cs="Times New Roman"/>
          <w:sz w:val="24"/>
          <w:szCs w:val="24"/>
        </w:rPr>
      </w:pPr>
      <w:r>
        <w:rPr>
          <w:rFonts w:ascii="Times New Roman" w:hAnsi="Times New Roman" w:cs="Times New Roman"/>
          <w:sz w:val="24"/>
          <w:szCs w:val="24"/>
        </w:rPr>
        <w:t>24.</w:t>
      </w:r>
      <w:r>
        <w:rPr>
          <w:rFonts w:ascii="Times New Roman" w:hAnsi="Times New Roman" w:cs="Times New Roman"/>
          <w:sz w:val="24"/>
          <w:szCs w:val="24"/>
        </w:rPr>
        <w:tab/>
        <w:t xml:space="preserve">Ito, S.; Novellino, E.; </w:t>
      </w:r>
      <w:proofErr w:type="spellStart"/>
      <w:r>
        <w:rPr>
          <w:rFonts w:ascii="Times New Roman" w:hAnsi="Times New Roman" w:cs="Times New Roman"/>
          <w:sz w:val="24"/>
          <w:szCs w:val="24"/>
        </w:rPr>
        <w:t>Chioccara</w:t>
      </w:r>
      <w:proofErr w:type="spellEnd"/>
      <w:r>
        <w:rPr>
          <w:rFonts w:ascii="Times New Roman" w:hAnsi="Times New Roman" w:cs="Times New Roman"/>
          <w:sz w:val="24"/>
          <w:szCs w:val="24"/>
        </w:rPr>
        <w:t xml:space="preserve">, F.; Misuraca, G.; </w:t>
      </w:r>
      <w:proofErr w:type="spellStart"/>
      <w:r>
        <w:rPr>
          <w:rFonts w:ascii="Times New Roman" w:hAnsi="Times New Roman" w:cs="Times New Roman"/>
          <w:sz w:val="24"/>
          <w:szCs w:val="24"/>
        </w:rPr>
        <w:t>Prota</w:t>
      </w:r>
      <w:proofErr w:type="spellEnd"/>
      <w:r>
        <w:rPr>
          <w:rFonts w:ascii="Times New Roman" w:hAnsi="Times New Roman" w:cs="Times New Roman"/>
          <w:sz w:val="24"/>
          <w:szCs w:val="24"/>
        </w:rPr>
        <w:t xml:space="preserve">, G., Co-polymerization of dopa and </w:t>
      </w:r>
      <w:proofErr w:type="spellStart"/>
      <w:r>
        <w:rPr>
          <w:rFonts w:ascii="Times New Roman" w:hAnsi="Times New Roman" w:cs="Times New Roman"/>
          <w:sz w:val="24"/>
          <w:szCs w:val="24"/>
        </w:rPr>
        <w:t>cysteinyldopa</w:t>
      </w:r>
      <w:proofErr w:type="spellEnd"/>
      <w:r>
        <w:rPr>
          <w:rFonts w:ascii="Times New Roman" w:hAnsi="Times New Roman" w:cs="Times New Roman"/>
          <w:sz w:val="24"/>
          <w:szCs w:val="24"/>
        </w:rPr>
        <w:t xml:space="preserve"> in melanogenesis in vitro. </w:t>
      </w:r>
      <w:proofErr w:type="spellStart"/>
      <w:r>
        <w:rPr>
          <w:rFonts w:ascii="Times New Roman" w:hAnsi="Times New Roman" w:cs="Times New Roman"/>
          <w:i/>
          <w:sz w:val="24"/>
          <w:szCs w:val="24"/>
        </w:rPr>
        <w:t>Experientia</w:t>
      </w:r>
      <w:proofErr w:type="spellEnd"/>
      <w:r>
        <w:rPr>
          <w:rFonts w:ascii="Times New Roman" w:hAnsi="Times New Roman" w:cs="Times New Roman"/>
          <w:i/>
          <w:sz w:val="24"/>
          <w:szCs w:val="24"/>
        </w:rPr>
        <w:t xml:space="preserve"> </w:t>
      </w:r>
      <w:r>
        <w:rPr>
          <w:rFonts w:ascii="Times New Roman" w:hAnsi="Times New Roman" w:cs="Times New Roman"/>
          <w:b/>
          <w:sz w:val="24"/>
          <w:szCs w:val="24"/>
        </w:rPr>
        <w:t>1980,</w:t>
      </w:r>
      <w:r>
        <w:rPr>
          <w:rFonts w:ascii="Times New Roman" w:hAnsi="Times New Roman" w:cs="Times New Roman"/>
          <w:sz w:val="24"/>
          <w:szCs w:val="24"/>
        </w:rPr>
        <w:t xml:space="preserve"> </w:t>
      </w:r>
      <w:r>
        <w:rPr>
          <w:rFonts w:ascii="Times New Roman" w:hAnsi="Times New Roman" w:cs="Times New Roman"/>
          <w:i/>
          <w:sz w:val="24"/>
          <w:szCs w:val="24"/>
        </w:rPr>
        <w:t>36</w:t>
      </w:r>
      <w:r>
        <w:rPr>
          <w:rFonts w:ascii="Times New Roman" w:hAnsi="Times New Roman" w:cs="Times New Roman"/>
          <w:sz w:val="24"/>
          <w:szCs w:val="24"/>
        </w:rPr>
        <w:t xml:space="preserve"> (7), 822-823.</w:t>
      </w:r>
    </w:p>
    <w:p w14:paraId="2E9EDCC5" w14:textId="77777777" w:rsidR="002A30D1" w:rsidRDefault="002A30D1" w:rsidP="002A30D1">
      <w:pPr>
        <w:spacing w:line="360" w:lineRule="auto"/>
        <w:rPr>
          <w:lang w:val="en-US"/>
        </w:rPr>
      </w:pPr>
    </w:p>
    <w:p w14:paraId="2A1E403D" w14:textId="77777777" w:rsidR="00F03081" w:rsidRDefault="00F03081"/>
    <w:sectPr w:rsidR="00F03081" w:rsidSect="002A30D1">
      <w:headerReference w:type="default" r:id="rId50"/>
      <w:footerReference w:type="default" r:id="rId5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B04279" w14:textId="77777777" w:rsidR="00042652" w:rsidRDefault="00042652" w:rsidP="002A30D1">
      <w:r>
        <w:separator/>
      </w:r>
    </w:p>
  </w:endnote>
  <w:endnote w:type="continuationSeparator" w:id="0">
    <w:p w14:paraId="3CBE5C73" w14:textId="77777777" w:rsidR="00042652" w:rsidRDefault="00042652" w:rsidP="002A30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auto"/>
    <w:pitch w:val="default"/>
    <w:sig w:usb0="00000000" w:usb1="00000000" w:usb2="00000000" w:usb3="00000000" w:csb0="0000019F" w:csb1="00000000"/>
  </w:font>
  <w:font w:name="Arno Pro">
    <w:altName w:val="Cambria"/>
    <w:panose1 w:val="00000000000000000000"/>
    <w:charset w:val="00"/>
    <w:family w:val="roman"/>
    <w:notTrueType/>
    <w:pitch w:val="variable"/>
    <w:sig w:usb0="60000287" w:usb1="00000001" w:usb2="00000000" w:usb3="00000000" w:csb0="0000019F" w:csb1="00000000"/>
  </w:font>
  <w:font w:name="AdvOT2e364b11">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0A508" w14:textId="77777777" w:rsidR="009C629F" w:rsidRDefault="00000000">
    <w:pPr>
      <w:pStyle w:val="a5"/>
      <w:jc w:val="center"/>
      <w:rPr>
        <w:rFonts w:hint="eastAsia"/>
      </w:rPr>
    </w:pPr>
    <w:r>
      <w:fldChar w:fldCharType="begin"/>
    </w:r>
    <w:r>
      <w:instrText>PAGE   \* MERGEFORMAT</w:instrText>
    </w:r>
    <w:r>
      <w:fldChar w:fldCharType="separate"/>
    </w:r>
    <w:r>
      <w:t>2</w:t>
    </w:r>
    <w:r>
      <w:fldChar w:fldCharType="end"/>
    </w:r>
  </w:p>
  <w:p w14:paraId="5D682468" w14:textId="77777777" w:rsidR="009C629F" w:rsidRDefault="009C629F">
    <w:pPr>
      <w:pStyle w:val="a5"/>
      <w:jc w:val="cente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BCA3DE" w14:textId="77777777" w:rsidR="00042652" w:rsidRDefault="00042652" w:rsidP="002A30D1">
      <w:r>
        <w:separator/>
      </w:r>
    </w:p>
  </w:footnote>
  <w:footnote w:type="continuationSeparator" w:id="0">
    <w:p w14:paraId="76BE7772" w14:textId="77777777" w:rsidR="00042652" w:rsidRDefault="00042652" w:rsidP="002A30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C13D0" w14:textId="4AACA2A5" w:rsidR="009C629F" w:rsidRDefault="00000000">
    <w:pPr>
      <w:pStyle w:val="a3"/>
      <w:tabs>
        <w:tab w:val="left" w:pos="5003"/>
      </w:tabs>
      <w:jc w:val="right"/>
      <w:rPr>
        <w:rFonts w:hint="eastAsia"/>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906"/>
    <w:rsid w:val="0003798A"/>
    <w:rsid w:val="00042652"/>
    <w:rsid w:val="000A1C97"/>
    <w:rsid w:val="000D49F6"/>
    <w:rsid w:val="001B63BC"/>
    <w:rsid w:val="00226E55"/>
    <w:rsid w:val="002A30D1"/>
    <w:rsid w:val="002D52B1"/>
    <w:rsid w:val="003218CB"/>
    <w:rsid w:val="00500313"/>
    <w:rsid w:val="00543713"/>
    <w:rsid w:val="005A5434"/>
    <w:rsid w:val="00625996"/>
    <w:rsid w:val="00703622"/>
    <w:rsid w:val="00734B02"/>
    <w:rsid w:val="007B1B46"/>
    <w:rsid w:val="007B5A74"/>
    <w:rsid w:val="008033AA"/>
    <w:rsid w:val="00923F08"/>
    <w:rsid w:val="00925906"/>
    <w:rsid w:val="009615A1"/>
    <w:rsid w:val="009A599F"/>
    <w:rsid w:val="009C629F"/>
    <w:rsid w:val="00D60102"/>
    <w:rsid w:val="00DB1B73"/>
    <w:rsid w:val="00E65D10"/>
    <w:rsid w:val="00F03081"/>
    <w:rsid w:val="00F5353E"/>
    <w:rsid w:val="00F76989"/>
    <w:rsid w:val="00F87594"/>
    <w:rsid w:val="00FA07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7A6D0B"/>
  <w15:chartTrackingRefBased/>
  <w15:docId w15:val="{A627C2B0-3D00-4553-ABFC-22F2ADC6F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30D1"/>
    <w:rPr>
      <w:rFonts w:ascii="Times New Roman" w:eastAsia="MS Mincho" w:hAnsi="Times New Roman" w:cs="Times New Roman"/>
      <w:kern w:val="0"/>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2A30D1"/>
    <w:pPr>
      <w:widowControl w:val="0"/>
      <w:tabs>
        <w:tab w:val="center" w:pos="4153"/>
        <w:tab w:val="right" w:pos="8306"/>
      </w:tabs>
      <w:snapToGrid w:val="0"/>
      <w:jc w:val="center"/>
    </w:pPr>
    <w:rPr>
      <w:rFonts w:asciiTheme="minorHAnsi" w:eastAsiaTheme="minorEastAsia" w:hAnsiTheme="minorHAnsi" w:cstheme="minorBidi"/>
      <w:kern w:val="2"/>
      <w:sz w:val="18"/>
      <w:szCs w:val="18"/>
      <w:lang w:val="en-US" w:eastAsia="zh-CN"/>
    </w:rPr>
  </w:style>
  <w:style w:type="character" w:customStyle="1" w:styleId="a4">
    <w:name w:val="页眉 字符"/>
    <w:basedOn w:val="a0"/>
    <w:link w:val="a3"/>
    <w:uiPriority w:val="99"/>
    <w:qFormat/>
    <w:rsid w:val="002A30D1"/>
    <w:rPr>
      <w:sz w:val="18"/>
      <w:szCs w:val="18"/>
    </w:rPr>
  </w:style>
  <w:style w:type="paragraph" w:styleId="a5">
    <w:name w:val="footer"/>
    <w:basedOn w:val="a"/>
    <w:link w:val="a6"/>
    <w:uiPriority w:val="99"/>
    <w:unhideWhenUsed/>
    <w:qFormat/>
    <w:rsid w:val="002A30D1"/>
    <w:pPr>
      <w:widowControl w:val="0"/>
      <w:tabs>
        <w:tab w:val="center" w:pos="4153"/>
        <w:tab w:val="right" w:pos="8306"/>
      </w:tabs>
      <w:snapToGrid w:val="0"/>
    </w:pPr>
    <w:rPr>
      <w:rFonts w:asciiTheme="minorHAnsi" w:eastAsiaTheme="minorEastAsia" w:hAnsiTheme="minorHAnsi" w:cstheme="minorBidi"/>
      <w:kern w:val="2"/>
      <w:sz w:val="18"/>
      <w:szCs w:val="18"/>
      <w:lang w:val="en-US" w:eastAsia="zh-CN"/>
    </w:rPr>
  </w:style>
  <w:style w:type="character" w:customStyle="1" w:styleId="a6">
    <w:name w:val="页脚 字符"/>
    <w:basedOn w:val="a0"/>
    <w:link w:val="a5"/>
    <w:uiPriority w:val="99"/>
    <w:qFormat/>
    <w:rsid w:val="002A30D1"/>
    <w:rPr>
      <w:sz w:val="18"/>
      <w:szCs w:val="18"/>
    </w:rPr>
  </w:style>
  <w:style w:type="paragraph" w:styleId="a7">
    <w:name w:val="Balloon Text"/>
    <w:basedOn w:val="a"/>
    <w:link w:val="a8"/>
    <w:semiHidden/>
    <w:qFormat/>
    <w:rsid w:val="002A30D1"/>
    <w:rPr>
      <w:rFonts w:ascii="Tahoma" w:hAnsi="Tahoma" w:cs="Tahoma"/>
      <w:sz w:val="16"/>
      <w:szCs w:val="16"/>
    </w:rPr>
  </w:style>
  <w:style w:type="character" w:customStyle="1" w:styleId="a8">
    <w:name w:val="批注框文本 字符"/>
    <w:basedOn w:val="a0"/>
    <w:link w:val="a7"/>
    <w:semiHidden/>
    <w:rsid w:val="002A30D1"/>
    <w:rPr>
      <w:rFonts w:ascii="Tahoma" w:eastAsia="MS Mincho" w:hAnsi="Tahoma" w:cs="Tahoma"/>
      <w:kern w:val="0"/>
      <w:sz w:val="16"/>
      <w:szCs w:val="16"/>
      <w:lang w:val="de-DE" w:eastAsia="ja-JP"/>
    </w:rPr>
  </w:style>
  <w:style w:type="paragraph" w:styleId="a9">
    <w:name w:val="caption"/>
    <w:basedOn w:val="a"/>
    <w:next w:val="a"/>
    <w:uiPriority w:val="35"/>
    <w:unhideWhenUsed/>
    <w:qFormat/>
    <w:rsid w:val="002A30D1"/>
    <w:pPr>
      <w:spacing w:after="200"/>
      <w:jc w:val="both"/>
    </w:pPr>
    <w:rPr>
      <w:rFonts w:asciiTheme="majorHAnsi" w:eastAsia="黑体" w:hAnsiTheme="majorHAnsi" w:cstheme="majorBidi"/>
      <w:sz w:val="20"/>
      <w:szCs w:val="20"/>
      <w:lang w:val="en-US" w:eastAsia="en-US"/>
    </w:rPr>
  </w:style>
  <w:style w:type="character" w:styleId="aa">
    <w:name w:val="annotation reference"/>
    <w:uiPriority w:val="99"/>
    <w:semiHidden/>
    <w:unhideWhenUsed/>
    <w:qFormat/>
    <w:rsid w:val="002A30D1"/>
    <w:rPr>
      <w:sz w:val="16"/>
      <w:szCs w:val="16"/>
    </w:rPr>
  </w:style>
  <w:style w:type="paragraph" w:styleId="ab">
    <w:name w:val="annotation text"/>
    <w:basedOn w:val="a"/>
    <w:link w:val="ac"/>
    <w:uiPriority w:val="99"/>
    <w:unhideWhenUsed/>
    <w:qFormat/>
    <w:rsid w:val="002A30D1"/>
    <w:rPr>
      <w:sz w:val="20"/>
      <w:szCs w:val="20"/>
      <w:lang w:val="zh-CN"/>
    </w:rPr>
  </w:style>
  <w:style w:type="character" w:customStyle="1" w:styleId="ac">
    <w:name w:val="批注文字 字符"/>
    <w:basedOn w:val="a0"/>
    <w:link w:val="ab"/>
    <w:uiPriority w:val="99"/>
    <w:qFormat/>
    <w:rsid w:val="002A30D1"/>
    <w:rPr>
      <w:rFonts w:ascii="Times New Roman" w:eastAsia="MS Mincho" w:hAnsi="Times New Roman" w:cs="Times New Roman"/>
      <w:kern w:val="0"/>
      <w:sz w:val="20"/>
      <w:szCs w:val="20"/>
      <w:lang w:val="zh-CN" w:eastAsia="ja-JP"/>
    </w:rPr>
  </w:style>
  <w:style w:type="paragraph" w:styleId="ad">
    <w:name w:val="annotation subject"/>
    <w:basedOn w:val="ab"/>
    <w:next w:val="ab"/>
    <w:link w:val="ae"/>
    <w:uiPriority w:val="99"/>
    <w:semiHidden/>
    <w:unhideWhenUsed/>
    <w:qFormat/>
    <w:rsid w:val="002A30D1"/>
    <w:rPr>
      <w:b/>
      <w:bCs/>
    </w:rPr>
  </w:style>
  <w:style w:type="character" w:customStyle="1" w:styleId="ae">
    <w:name w:val="批注主题 字符"/>
    <w:basedOn w:val="ac"/>
    <w:link w:val="ad"/>
    <w:uiPriority w:val="99"/>
    <w:semiHidden/>
    <w:qFormat/>
    <w:rsid w:val="002A30D1"/>
    <w:rPr>
      <w:rFonts w:ascii="Times New Roman" w:eastAsia="MS Mincho" w:hAnsi="Times New Roman" w:cs="Times New Roman"/>
      <w:b/>
      <w:bCs/>
      <w:kern w:val="0"/>
      <w:sz w:val="20"/>
      <w:szCs w:val="20"/>
      <w:lang w:val="zh-CN" w:eastAsia="ja-JP"/>
    </w:rPr>
  </w:style>
  <w:style w:type="character" w:styleId="af">
    <w:name w:val="Emphasis"/>
    <w:basedOn w:val="a0"/>
    <w:uiPriority w:val="20"/>
    <w:qFormat/>
    <w:rsid w:val="002A30D1"/>
    <w:rPr>
      <w:i/>
      <w:iCs/>
    </w:rPr>
  </w:style>
  <w:style w:type="paragraph" w:styleId="af0">
    <w:name w:val="footnote text"/>
    <w:basedOn w:val="a"/>
    <w:link w:val="af1"/>
    <w:semiHidden/>
    <w:qFormat/>
    <w:rsid w:val="002A30D1"/>
    <w:pPr>
      <w:keepLines/>
      <w:widowControl w:val="0"/>
      <w:jc w:val="both"/>
    </w:pPr>
    <w:rPr>
      <w:rFonts w:eastAsia="Times New Roman"/>
      <w:sz w:val="20"/>
      <w:szCs w:val="20"/>
      <w:lang w:val="en-GB" w:eastAsia="ro-RO"/>
    </w:rPr>
  </w:style>
  <w:style w:type="character" w:customStyle="1" w:styleId="af1">
    <w:name w:val="脚注文本 字符"/>
    <w:basedOn w:val="a0"/>
    <w:link w:val="af0"/>
    <w:semiHidden/>
    <w:rsid w:val="002A30D1"/>
    <w:rPr>
      <w:rFonts w:ascii="Times New Roman" w:eastAsia="Times New Roman" w:hAnsi="Times New Roman" w:cs="Times New Roman"/>
      <w:kern w:val="0"/>
      <w:sz w:val="20"/>
      <w:szCs w:val="20"/>
      <w:lang w:val="en-GB" w:eastAsia="ro-RO"/>
    </w:rPr>
  </w:style>
  <w:style w:type="character" w:styleId="af2">
    <w:name w:val="Hyperlink"/>
    <w:basedOn w:val="a0"/>
    <w:unhideWhenUsed/>
    <w:qFormat/>
    <w:rsid w:val="002A30D1"/>
    <w:rPr>
      <w:color w:val="0563C1" w:themeColor="hyperlink"/>
      <w:u w:val="single"/>
    </w:rPr>
  </w:style>
  <w:style w:type="paragraph" w:styleId="af3">
    <w:name w:val="Normal (Web)"/>
    <w:basedOn w:val="a"/>
    <w:uiPriority w:val="99"/>
    <w:semiHidden/>
    <w:unhideWhenUsed/>
    <w:qFormat/>
    <w:rsid w:val="002A30D1"/>
    <w:pPr>
      <w:spacing w:before="100" w:beforeAutospacing="1" w:after="100" w:afterAutospacing="1"/>
    </w:pPr>
    <w:rPr>
      <w:rFonts w:ascii="宋体" w:eastAsia="宋体" w:hAnsi="宋体" w:cs="宋体"/>
      <w:lang w:val="en-US" w:eastAsia="zh-CN"/>
    </w:rPr>
  </w:style>
  <w:style w:type="character" w:styleId="af4">
    <w:name w:val="Strong"/>
    <w:basedOn w:val="a0"/>
    <w:uiPriority w:val="22"/>
    <w:qFormat/>
    <w:rsid w:val="002A30D1"/>
    <w:rPr>
      <w:b/>
      <w:bCs/>
    </w:rPr>
  </w:style>
  <w:style w:type="paragraph" w:customStyle="1" w:styleId="History">
    <w:name w:val="History"/>
    <w:basedOn w:val="a"/>
    <w:rsid w:val="002A30D1"/>
    <w:pPr>
      <w:spacing w:before="230" w:after="460" w:line="180" w:lineRule="exact"/>
      <w:jc w:val="right"/>
    </w:pPr>
    <w:rPr>
      <w:rFonts w:ascii="Arial" w:hAnsi="Arial"/>
      <w:sz w:val="14"/>
      <w:szCs w:val="16"/>
    </w:rPr>
  </w:style>
  <w:style w:type="paragraph" w:customStyle="1" w:styleId="References">
    <w:name w:val="References"/>
    <w:basedOn w:val="a"/>
    <w:qFormat/>
    <w:rsid w:val="002A30D1"/>
    <w:pPr>
      <w:spacing w:line="200" w:lineRule="exact"/>
      <w:ind w:left="425" w:hanging="425"/>
      <w:jc w:val="both"/>
    </w:pPr>
    <w:rPr>
      <w:sz w:val="15"/>
      <w:szCs w:val="14"/>
      <w:lang w:val="en-GB"/>
    </w:rPr>
  </w:style>
  <w:style w:type="paragraph" w:customStyle="1" w:styleId="HExperimentalSection">
    <w:name w:val="HExperimental_Section"/>
    <w:basedOn w:val="a"/>
    <w:qFormat/>
    <w:rsid w:val="002A30D1"/>
    <w:pPr>
      <w:spacing w:before="460" w:after="230" w:line="230" w:lineRule="atLeast"/>
    </w:pPr>
    <w:rPr>
      <w:i/>
      <w:szCs w:val="20"/>
    </w:rPr>
  </w:style>
  <w:style w:type="paragraph" w:customStyle="1" w:styleId="ExperimentalSection">
    <w:name w:val="ExperimentalSection"/>
    <w:basedOn w:val="a"/>
    <w:qFormat/>
    <w:rsid w:val="002A30D1"/>
    <w:pPr>
      <w:spacing w:after="240" w:line="200" w:lineRule="exact"/>
      <w:ind w:firstLine="170"/>
      <w:jc w:val="both"/>
    </w:pPr>
    <w:rPr>
      <w:sz w:val="16"/>
      <w:szCs w:val="14"/>
      <w:lang w:val="en-GB"/>
    </w:rPr>
  </w:style>
  <w:style w:type="paragraph" w:customStyle="1" w:styleId="FNB">
    <w:name w:val="FNB"/>
    <w:basedOn w:val="a"/>
    <w:link w:val="FNBChar"/>
    <w:qFormat/>
    <w:rsid w:val="002A30D1"/>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sid w:val="002A30D1"/>
    <w:rPr>
      <w:rFonts w:ascii="Times" w:eastAsia="MS Mincho" w:hAnsi="Times" w:cs="Times New Roman"/>
      <w:kern w:val="0"/>
      <w:sz w:val="14"/>
      <w:szCs w:val="3276"/>
      <w:lang w:val="en-GB" w:eastAsia="de-DE"/>
    </w:rPr>
  </w:style>
  <w:style w:type="paragraph" w:customStyle="1" w:styleId="Ack">
    <w:name w:val="Ack"/>
    <w:basedOn w:val="a"/>
    <w:qFormat/>
    <w:rsid w:val="002A30D1"/>
  </w:style>
  <w:style w:type="paragraph" w:customStyle="1" w:styleId="TableCaption">
    <w:name w:val="TableCaption"/>
    <w:basedOn w:val="a"/>
    <w:qFormat/>
    <w:rsid w:val="002A30D1"/>
    <w:pPr>
      <w:spacing w:after="120" w:line="190" w:lineRule="exact"/>
      <w:jc w:val="both"/>
    </w:pPr>
    <w:rPr>
      <w:rFonts w:ascii="Arial" w:hAnsi="Arial"/>
      <w:sz w:val="16"/>
      <w:szCs w:val="14"/>
      <w:lang w:val="en-GB"/>
    </w:rPr>
  </w:style>
  <w:style w:type="paragraph" w:customStyle="1" w:styleId="TableHead">
    <w:name w:val="TableHead"/>
    <w:basedOn w:val="TableCaption"/>
    <w:qFormat/>
    <w:rsid w:val="002A30D1"/>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rsid w:val="002A30D1"/>
  </w:style>
  <w:style w:type="paragraph" w:customStyle="1" w:styleId="TableFoot">
    <w:name w:val="TableFoot"/>
    <w:basedOn w:val="TableBody"/>
    <w:qFormat/>
    <w:rsid w:val="002A30D1"/>
    <w:pPr>
      <w:spacing w:before="60" w:after="60"/>
    </w:pPr>
  </w:style>
  <w:style w:type="paragraph" w:customStyle="1" w:styleId="SchemeCaption">
    <w:name w:val="SchemeCaption"/>
    <w:basedOn w:val="a"/>
    <w:qFormat/>
    <w:rsid w:val="002A30D1"/>
    <w:pPr>
      <w:spacing w:before="230" w:after="460" w:line="190" w:lineRule="exact"/>
      <w:jc w:val="both"/>
    </w:pPr>
    <w:rPr>
      <w:rFonts w:ascii="Arial" w:hAnsi="Arial"/>
      <w:sz w:val="16"/>
      <w:szCs w:val="14"/>
      <w:lang w:val="en-GB"/>
    </w:rPr>
  </w:style>
  <w:style w:type="paragraph" w:customStyle="1" w:styleId="STOE">
    <w:name w:val="STOE"/>
    <w:basedOn w:val="a"/>
    <w:link w:val="STOEChar1"/>
    <w:qFormat/>
    <w:rsid w:val="002A30D1"/>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sid w:val="002A30D1"/>
    <w:rPr>
      <w:rFonts w:ascii="Times" w:eastAsia="MS Mincho" w:hAnsi="Times" w:cs="Times New Roman"/>
      <w:kern w:val="0"/>
      <w:sz w:val="18"/>
      <w:szCs w:val="3276"/>
      <w:lang w:val="en-GB" w:eastAsia="de-DE"/>
    </w:rPr>
  </w:style>
  <w:style w:type="paragraph" w:customStyle="1" w:styleId="Title1">
    <w:name w:val="Title1"/>
    <w:basedOn w:val="a"/>
    <w:qFormat/>
    <w:rsid w:val="002A30D1"/>
    <w:rPr>
      <w:b/>
      <w:lang w:val="en-US"/>
    </w:rPr>
  </w:style>
  <w:style w:type="paragraph" w:customStyle="1" w:styleId="AuthorsFull">
    <w:name w:val="Authors Full"/>
    <w:basedOn w:val="a"/>
    <w:qFormat/>
    <w:rsid w:val="002A30D1"/>
    <w:rPr>
      <w:i/>
      <w:lang w:val="en-US"/>
    </w:rPr>
  </w:style>
  <w:style w:type="paragraph" w:customStyle="1" w:styleId="dedication">
    <w:name w:val="dedication"/>
    <w:basedOn w:val="a"/>
    <w:qFormat/>
    <w:rsid w:val="002A30D1"/>
    <w:rPr>
      <w:i/>
      <w:lang w:val="en-US"/>
    </w:rPr>
  </w:style>
  <w:style w:type="paragraph" w:customStyle="1" w:styleId="Addresses">
    <w:name w:val="Addresses"/>
    <w:basedOn w:val="a"/>
    <w:qFormat/>
    <w:rsid w:val="002A30D1"/>
    <w:rPr>
      <w:lang w:val="en-US"/>
    </w:rPr>
  </w:style>
  <w:style w:type="paragraph" w:customStyle="1" w:styleId="Acknowledgements">
    <w:name w:val="Acknowledgements"/>
    <w:basedOn w:val="a"/>
    <w:qFormat/>
    <w:rsid w:val="002A30D1"/>
    <w:rPr>
      <w:lang w:val="en-US"/>
    </w:rPr>
  </w:style>
  <w:style w:type="paragraph" w:customStyle="1" w:styleId="Abstract">
    <w:name w:val="Abstract"/>
    <w:basedOn w:val="a"/>
    <w:autoRedefine/>
    <w:qFormat/>
    <w:rsid w:val="002A30D1"/>
    <w:pPr>
      <w:spacing w:after="240" w:line="360" w:lineRule="auto"/>
      <w:ind w:firstLineChars="200" w:firstLine="480"/>
      <w:jc w:val="both"/>
    </w:pPr>
    <w:rPr>
      <w:rFonts w:cs="Arial"/>
      <w:bCs/>
      <w:lang w:val="en-US"/>
    </w:rPr>
  </w:style>
  <w:style w:type="paragraph" w:customStyle="1" w:styleId="Head1">
    <w:name w:val="Head 1"/>
    <w:basedOn w:val="a"/>
    <w:autoRedefine/>
    <w:qFormat/>
    <w:rsid w:val="002A30D1"/>
    <w:pPr>
      <w:spacing w:line="360" w:lineRule="auto"/>
    </w:pPr>
    <w:rPr>
      <w:b/>
      <w:lang w:val="en-US"/>
    </w:rPr>
  </w:style>
  <w:style w:type="paragraph" w:customStyle="1" w:styleId="Head2">
    <w:name w:val="Head 2"/>
    <w:basedOn w:val="a"/>
    <w:autoRedefine/>
    <w:qFormat/>
    <w:rsid w:val="002A30D1"/>
    <w:pPr>
      <w:spacing w:line="360" w:lineRule="auto"/>
    </w:pPr>
    <w:rPr>
      <w:i/>
      <w:lang w:val="en-US"/>
    </w:rPr>
  </w:style>
  <w:style w:type="paragraph" w:customStyle="1" w:styleId="dates">
    <w:name w:val="dates"/>
    <w:basedOn w:val="a"/>
    <w:qFormat/>
    <w:rsid w:val="002A30D1"/>
    <w:pPr>
      <w:jc w:val="right"/>
    </w:pPr>
    <w:rPr>
      <w:lang w:val="en-US"/>
    </w:rPr>
  </w:style>
  <w:style w:type="paragraph" w:customStyle="1" w:styleId="Literature">
    <w:name w:val="Literature"/>
    <w:basedOn w:val="a"/>
    <w:qFormat/>
    <w:rsid w:val="002A30D1"/>
    <w:pPr>
      <w:spacing w:line="480" w:lineRule="auto"/>
    </w:pPr>
  </w:style>
  <w:style w:type="paragraph" w:customStyle="1" w:styleId="Legend">
    <w:name w:val="Legend"/>
    <w:basedOn w:val="a"/>
    <w:qFormat/>
    <w:rsid w:val="002A30D1"/>
    <w:rPr>
      <w:lang w:val="en-US"/>
    </w:rPr>
  </w:style>
  <w:style w:type="paragraph" w:customStyle="1" w:styleId="MainText">
    <w:name w:val="Main Text"/>
    <w:basedOn w:val="a"/>
    <w:link w:val="MainTextChar"/>
    <w:qFormat/>
    <w:rsid w:val="002A30D1"/>
    <w:pPr>
      <w:spacing w:line="480" w:lineRule="auto"/>
    </w:pPr>
    <w:rPr>
      <w:lang w:val="en-US"/>
    </w:rPr>
  </w:style>
  <w:style w:type="paragraph" w:customStyle="1" w:styleId="Tableofcontents">
    <w:name w:val="Table of contents"/>
    <w:basedOn w:val="a"/>
    <w:autoRedefine/>
    <w:rsid w:val="002A30D1"/>
    <w:pPr>
      <w:spacing w:line="360" w:lineRule="auto"/>
      <w:jc w:val="both"/>
    </w:pPr>
    <w:rPr>
      <w:lang w:val="en-US"/>
    </w:rPr>
  </w:style>
  <w:style w:type="paragraph" w:customStyle="1" w:styleId="ExperimentalText">
    <w:name w:val="Experimental Text"/>
    <w:basedOn w:val="a"/>
    <w:link w:val="ExperimentalTextChar"/>
    <w:qFormat/>
    <w:rsid w:val="002A30D1"/>
    <w:pPr>
      <w:spacing w:line="480" w:lineRule="auto"/>
    </w:pPr>
    <w:rPr>
      <w:lang w:val="en-US"/>
    </w:rPr>
  </w:style>
  <w:style w:type="character" w:customStyle="1" w:styleId="ExperimentalTextChar">
    <w:name w:val="Experimental Text Char"/>
    <w:link w:val="ExperimentalText"/>
    <w:qFormat/>
    <w:rsid w:val="002A30D1"/>
    <w:rPr>
      <w:rFonts w:ascii="Times New Roman" w:eastAsia="MS Mincho" w:hAnsi="Times New Roman" w:cs="Times New Roman"/>
      <w:kern w:val="0"/>
      <w:sz w:val="24"/>
      <w:szCs w:val="24"/>
      <w:lang w:eastAsia="ja-JP"/>
    </w:rPr>
  </w:style>
  <w:style w:type="character" w:customStyle="1" w:styleId="MainTextChar">
    <w:name w:val="Main Text Char"/>
    <w:link w:val="MainText"/>
    <w:rsid w:val="002A30D1"/>
    <w:rPr>
      <w:rFonts w:ascii="Times New Roman" w:eastAsia="MS Mincho" w:hAnsi="Times New Roman" w:cs="Times New Roman"/>
      <w:kern w:val="0"/>
      <w:sz w:val="24"/>
      <w:szCs w:val="24"/>
      <w:lang w:eastAsia="ja-JP"/>
    </w:rPr>
  </w:style>
  <w:style w:type="paragraph" w:customStyle="1" w:styleId="Title2">
    <w:name w:val="Title2"/>
    <w:basedOn w:val="a"/>
    <w:qFormat/>
    <w:rsid w:val="002A30D1"/>
    <w:rPr>
      <w:b/>
      <w:lang w:val="en-US"/>
    </w:rPr>
  </w:style>
  <w:style w:type="paragraph" w:customStyle="1" w:styleId="Dedication0">
    <w:name w:val="Dedication"/>
    <w:basedOn w:val="a"/>
    <w:autoRedefine/>
    <w:qFormat/>
    <w:rsid w:val="002A30D1"/>
    <w:rPr>
      <w:lang w:val="en-US"/>
    </w:rPr>
  </w:style>
  <w:style w:type="paragraph" w:customStyle="1" w:styleId="Maintext0">
    <w:name w:val="Main text"/>
    <w:basedOn w:val="a"/>
    <w:link w:val="MaintextChar0"/>
    <w:autoRedefine/>
    <w:qFormat/>
    <w:rsid w:val="002A30D1"/>
    <w:pPr>
      <w:spacing w:line="480" w:lineRule="auto"/>
    </w:pPr>
    <w:rPr>
      <w:lang w:val="en-US"/>
    </w:rPr>
  </w:style>
  <w:style w:type="character" w:customStyle="1" w:styleId="MaintextChar0">
    <w:name w:val="Main text Char"/>
    <w:link w:val="Maintext0"/>
    <w:qFormat/>
    <w:rsid w:val="002A30D1"/>
    <w:rPr>
      <w:rFonts w:ascii="Times New Roman" w:eastAsia="MS Mincho" w:hAnsi="Times New Roman" w:cs="Times New Roman"/>
      <w:kern w:val="0"/>
      <w:sz w:val="24"/>
      <w:szCs w:val="24"/>
      <w:lang w:eastAsia="ja-JP"/>
    </w:rPr>
  </w:style>
  <w:style w:type="paragraph" w:customStyle="1" w:styleId="Biography">
    <w:name w:val="Biography"/>
    <w:basedOn w:val="a"/>
    <w:autoRedefine/>
    <w:qFormat/>
    <w:rsid w:val="002A30D1"/>
    <w:rPr>
      <w:i/>
      <w:lang w:val="en-US"/>
    </w:rPr>
  </w:style>
  <w:style w:type="character" w:customStyle="1" w:styleId="1">
    <w:name w:val="未处理的提及1"/>
    <w:basedOn w:val="a0"/>
    <w:uiPriority w:val="99"/>
    <w:semiHidden/>
    <w:unhideWhenUsed/>
    <w:qFormat/>
    <w:rsid w:val="002A30D1"/>
    <w:rPr>
      <w:color w:val="605E5C"/>
      <w:shd w:val="clear" w:color="auto" w:fill="E1DFDD"/>
    </w:rPr>
  </w:style>
  <w:style w:type="paragraph" w:customStyle="1" w:styleId="TAMainText">
    <w:name w:val="TA_Main_Text"/>
    <w:basedOn w:val="a"/>
    <w:link w:val="TAMainText0"/>
    <w:qFormat/>
    <w:rsid w:val="002A30D1"/>
    <w:pPr>
      <w:spacing w:after="60"/>
      <w:jc w:val="both"/>
    </w:pPr>
    <w:rPr>
      <w:rFonts w:ascii="Arno Pro" w:eastAsiaTheme="minorEastAsia" w:hAnsi="Arno Pro"/>
      <w:kern w:val="21"/>
      <w:sz w:val="19"/>
      <w:szCs w:val="20"/>
      <w:lang w:val="en-US" w:eastAsia="en-US"/>
    </w:rPr>
  </w:style>
  <w:style w:type="character" w:customStyle="1" w:styleId="TAMainText0">
    <w:name w:val="TA_Main_Text 字符"/>
    <w:basedOn w:val="a0"/>
    <w:link w:val="TAMainText"/>
    <w:qFormat/>
    <w:rsid w:val="002A30D1"/>
    <w:rPr>
      <w:rFonts w:ascii="Arno Pro" w:hAnsi="Arno Pro" w:cs="Times New Roman"/>
      <w:kern w:val="21"/>
      <w:sz w:val="19"/>
      <w:szCs w:val="20"/>
      <w:lang w:eastAsia="en-US"/>
    </w:rPr>
  </w:style>
  <w:style w:type="paragraph" w:customStyle="1" w:styleId="EndNoteBibliography">
    <w:name w:val="EndNote Bibliography"/>
    <w:basedOn w:val="a"/>
    <w:link w:val="EndNoteBibliography0"/>
    <w:qFormat/>
    <w:rsid w:val="002A30D1"/>
    <w:pPr>
      <w:widowControl w:val="0"/>
    </w:pPr>
    <w:rPr>
      <w:rFonts w:ascii="Arial" w:eastAsiaTheme="minorEastAsia" w:hAnsi="Arial" w:cs="Arial"/>
      <w:kern w:val="2"/>
      <w:sz w:val="16"/>
      <w:szCs w:val="22"/>
      <w:lang w:val="en-US" w:eastAsia="zh-CN"/>
    </w:rPr>
  </w:style>
  <w:style w:type="character" w:customStyle="1" w:styleId="EndNoteBibliography0">
    <w:name w:val="EndNote Bibliography 字符"/>
    <w:basedOn w:val="a0"/>
    <w:link w:val="EndNoteBibliography"/>
    <w:qFormat/>
    <w:rsid w:val="002A30D1"/>
    <w:rPr>
      <w:rFonts w:ascii="Arial" w:hAnsi="Arial" w:cs="Arial"/>
      <w:sz w:val="16"/>
    </w:rPr>
  </w:style>
  <w:style w:type="paragraph" w:customStyle="1" w:styleId="EndNoteBibliographyTitle">
    <w:name w:val="EndNote Bibliography Title"/>
    <w:basedOn w:val="a"/>
    <w:link w:val="EndNoteBibliographyTitle0"/>
    <w:qFormat/>
    <w:rsid w:val="002A30D1"/>
    <w:pPr>
      <w:widowControl w:val="0"/>
      <w:jc w:val="center"/>
    </w:pPr>
    <w:rPr>
      <w:rFonts w:ascii="等线" w:eastAsia="等线" w:hAnsi="等线" w:cstheme="minorBidi"/>
      <w:kern w:val="2"/>
      <w:sz w:val="20"/>
      <w:szCs w:val="22"/>
      <w:lang w:val="en-US" w:eastAsia="zh-CN"/>
    </w:rPr>
  </w:style>
  <w:style w:type="character" w:customStyle="1" w:styleId="EndNoteBibliographyTitle0">
    <w:name w:val="EndNote Bibliography Title 字符"/>
    <w:basedOn w:val="a0"/>
    <w:link w:val="EndNoteBibliographyTitle"/>
    <w:qFormat/>
    <w:rsid w:val="002A30D1"/>
    <w:rPr>
      <w:rFonts w:ascii="等线" w:eastAsia="等线" w:hAnsi="等线"/>
      <w:sz w:val="20"/>
    </w:rPr>
  </w:style>
  <w:style w:type="paragraph" w:customStyle="1" w:styleId="10">
    <w:name w:val="修订1"/>
    <w:hidden/>
    <w:uiPriority w:val="99"/>
    <w:semiHidden/>
    <w:qFormat/>
    <w:rsid w:val="002A30D1"/>
  </w:style>
  <w:style w:type="character" w:customStyle="1" w:styleId="cit-title">
    <w:name w:val="cit-title"/>
    <w:basedOn w:val="a0"/>
    <w:qFormat/>
    <w:rsid w:val="002A30D1"/>
  </w:style>
  <w:style w:type="character" w:customStyle="1" w:styleId="cit-year-info">
    <w:name w:val="cit-year-info"/>
    <w:basedOn w:val="a0"/>
    <w:qFormat/>
    <w:rsid w:val="002A30D1"/>
  </w:style>
  <w:style w:type="character" w:customStyle="1" w:styleId="cit-volume">
    <w:name w:val="cit-volume"/>
    <w:basedOn w:val="a0"/>
    <w:qFormat/>
    <w:rsid w:val="002A30D1"/>
  </w:style>
  <w:style w:type="character" w:customStyle="1" w:styleId="cit-issue">
    <w:name w:val="cit-issue"/>
    <w:basedOn w:val="a0"/>
    <w:qFormat/>
    <w:rsid w:val="002A30D1"/>
  </w:style>
  <w:style w:type="character" w:customStyle="1" w:styleId="cit-pagerange">
    <w:name w:val="cit-pagerange"/>
    <w:basedOn w:val="a0"/>
    <w:qFormat/>
    <w:rsid w:val="002A30D1"/>
  </w:style>
  <w:style w:type="paragraph" w:customStyle="1" w:styleId="2">
    <w:name w:val="修订2"/>
    <w:hidden/>
    <w:uiPriority w:val="99"/>
    <w:unhideWhenUsed/>
    <w:qFormat/>
    <w:rsid w:val="002A30D1"/>
  </w:style>
  <w:style w:type="paragraph" w:customStyle="1" w:styleId="3">
    <w:name w:val="修订3"/>
    <w:hidden/>
    <w:uiPriority w:val="99"/>
    <w:unhideWhenUsed/>
    <w:rsid w:val="002A30D1"/>
  </w:style>
  <w:style w:type="paragraph" w:customStyle="1" w:styleId="StyleFACorrespondingAuthorFootnote7pt">
    <w:name w:val="Style FA_Corresponding_Author_Footnote + 7 pt"/>
    <w:basedOn w:val="a"/>
    <w:next w:val="a"/>
    <w:link w:val="StyleFACorrespondingAuthorFootnote7ptChar"/>
    <w:qFormat/>
    <w:rsid w:val="002A30D1"/>
    <w:rPr>
      <w:rFonts w:ascii="Arno Pro" w:eastAsiaTheme="minorEastAsia" w:hAnsi="Arno Pro"/>
      <w:kern w:val="20"/>
      <w:sz w:val="18"/>
      <w:szCs w:val="20"/>
      <w:lang w:val="en-US" w:eastAsia="en-US"/>
    </w:rPr>
  </w:style>
  <w:style w:type="character" w:customStyle="1" w:styleId="StyleFACorrespondingAuthorFootnote7ptChar">
    <w:name w:val="Style FA_Corresponding_Author_Footnote + 7 pt Char"/>
    <w:link w:val="StyleFACorrespondingAuthorFootnote7pt"/>
    <w:qFormat/>
    <w:rsid w:val="002A30D1"/>
    <w:rPr>
      <w:rFonts w:ascii="Arno Pro" w:hAnsi="Arno Pro" w:cs="Times New Roman"/>
      <w:kern w:val="20"/>
      <w:sz w:val="18"/>
      <w:szCs w:val="20"/>
      <w:lang w:eastAsia="en-US"/>
    </w:rPr>
  </w:style>
  <w:style w:type="paragraph" w:customStyle="1" w:styleId="Authors">
    <w:name w:val="Authors"/>
    <w:basedOn w:val="a"/>
    <w:qFormat/>
    <w:rsid w:val="002A30D1"/>
    <w:pPr>
      <w:spacing w:before="120" w:after="120" w:line="320" w:lineRule="exact"/>
    </w:pPr>
    <w:rPr>
      <w:rFonts w:ascii="Arial" w:hAnsi="Arial"/>
      <w:sz w:val="22"/>
      <w:lang w:val="en-GB"/>
    </w:rPr>
  </w:style>
  <w:style w:type="paragraph" w:customStyle="1" w:styleId="P1">
    <w:name w:val="P1"/>
    <w:basedOn w:val="a"/>
    <w:link w:val="P10"/>
    <w:qFormat/>
    <w:rsid w:val="002A30D1"/>
    <w:pPr>
      <w:spacing w:line="225" w:lineRule="exact"/>
      <w:jc w:val="both"/>
    </w:pPr>
    <w:rPr>
      <w:rFonts w:ascii="Arial" w:hAnsi="Arial"/>
      <w:sz w:val="17"/>
      <w:lang w:val="en-US"/>
    </w:rPr>
  </w:style>
  <w:style w:type="character" w:customStyle="1" w:styleId="P10">
    <w:name w:val="P1 字符"/>
    <w:basedOn w:val="a0"/>
    <w:link w:val="P1"/>
    <w:qFormat/>
    <w:rsid w:val="002A30D1"/>
    <w:rPr>
      <w:rFonts w:ascii="Arial" w:eastAsia="MS Mincho" w:hAnsi="Arial" w:cs="Times New Roman"/>
      <w:kern w:val="0"/>
      <w:sz w:val="17"/>
      <w:szCs w:val="24"/>
      <w:lang w:eastAsia="ja-JP"/>
    </w:rPr>
  </w:style>
  <w:style w:type="character" w:customStyle="1" w:styleId="fontstyle01">
    <w:name w:val="fontstyle01"/>
    <w:basedOn w:val="a0"/>
    <w:qFormat/>
    <w:rsid w:val="002A30D1"/>
    <w:rPr>
      <w:rFonts w:ascii="AdvOT2e364b11" w:hAnsi="AdvOT2e364b11" w:hint="default"/>
      <w:color w:val="000000"/>
      <w:sz w:val="20"/>
      <w:szCs w:val="20"/>
    </w:rPr>
  </w:style>
  <w:style w:type="paragraph" w:customStyle="1" w:styleId="H1">
    <w:name w:val="H1"/>
    <w:basedOn w:val="a"/>
    <w:qFormat/>
    <w:rsid w:val="002A30D1"/>
    <w:pPr>
      <w:spacing w:before="480" w:after="230" w:line="225" w:lineRule="exact"/>
    </w:pPr>
    <w:rPr>
      <w:rFonts w:ascii="Arial" w:hAnsi="Arial"/>
      <w:b/>
      <w:sz w:val="22"/>
      <w:lang w:val="en-GB"/>
    </w:rPr>
  </w:style>
  <w:style w:type="paragraph" w:customStyle="1" w:styleId="H2">
    <w:name w:val="H2"/>
    <w:basedOn w:val="H1"/>
    <w:next w:val="a"/>
    <w:qFormat/>
    <w:rsid w:val="002A30D1"/>
    <w:pPr>
      <w:shd w:val="clear" w:color="auto" w:fill="DEEAF6"/>
      <w:tabs>
        <w:tab w:val="left" w:pos="709"/>
      </w:tabs>
      <w:spacing w:before="240" w:after="120" w:line="480" w:lineRule="exact"/>
      <w:ind w:left="709" w:hanging="709"/>
    </w:pPr>
    <w:rPr>
      <w:rFonts w:ascii="Times New Roman" w:eastAsia="Times New Roman" w:hAnsi="Times New Roman"/>
      <w:szCs w:val="22"/>
      <w:lang w:val="de-DE" w:eastAsia="de-DE"/>
    </w:rPr>
  </w:style>
  <w:style w:type="paragraph" w:styleId="af5">
    <w:name w:val="Revision"/>
    <w:hidden/>
    <w:uiPriority w:val="99"/>
    <w:unhideWhenUsed/>
    <w:rsid w:val="002A30D1"/>
    <w:rPr>
      <w:rFonts w:ascii="Times New Roman" w:eastAsia="MS Mincho" w:hAnsi="Times New Roman" w:cs="Times New Roman"/>
      <w:kern w:val="0"/>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header" Target="head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54</Pages>
  <Words>6702</Words>
  <Characters>38204</Characters>
  <Application>Microsoft Office Word</Application>
  <DocSecurity>0</DocSecurity>
  <Lines>318</Lines>
  <Paragraphs>89</Paragraphs>
  <ScaleCrop>false</ScaleCrop>
  <Company/>
  <LinksUpToDate>false</LinksUpToDate>
  <CharactersWithSpaces>44817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Ruotong Deng</dc:creator>
  <cp:keywords/>
  <dc:description/>
  <cp:lastModifiedBy>Ruotong Deng</cp:lastModifiedBy>
  <cp:revision>3</cp:revision>
  <dcterms:created xsi:type="dcterms:W3CDTF">2024-12-27T01:41:00Z</dcterms:created>
  <dcterms:modified xsi:type="dcterms:W3CDTF">2024-12-27T02:12:00Z</dcterms:modified>
</cp:coreProperties>
</file>