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95D5A" w14:textId="77777777" w:rsidR="00B5057D" w:rsidRDefault="00B5057D" w:rsidP="00B5057D">
      <w:pPr>
        <w:widowControl/>
        <w:adjustRightInd w:val="0"/>
        <w:snapToGrid w:val="0"/>
        <w:spacing w:line="480" w:lineRule="auto"/>
        <w:ind w:left="241" w:hangingChars="100" w:hanging="241"/>
        <w:rPr>
          <w:rFonts w:ascii="Times New Roman" w:eastAsia="SimHei" w:hAnsi="Times New Roman"/>
          <w:b/>
          <w:bCs/>
          <w:sz w:val="24"/>
          <w:szCs w:val="24"/>
        </w:rPr>
      </w:pPr>
      <w:r w:rsidRPr="00CF6BFD">
        <w:rPr>
          <w:rFonts w:ascii="Times New Roman" w:eastAsia="SimHei" w:hAnsi="Times New Roman" w:hint="eastAsia"/>
          <w:b/>
          <w:bCs/>
          <w:sz w:val="24"/>
          <w:szCs w:val="24"/>
        </w:rPr>
        <w:t>Graphical abstract</w:t>
      </w:r>
    </w:p>
    <w:p w14:paraId="6B4F32F0" w14:textId="77777777" w:rsidR="00B5057D" w:rsidRPr="00C90DF2" w:rsidRDefault="00B5057D" w:rsidP="00B5057D">
      <w:pPr>
        <w:widowControl/>
        <w:suppressLineNumbers/>
        <w:adjustRightInd w:val="0"/>
        <w:snapToGrid w:val="0"/>
        <w:spacing w:line="480" w:lineRule="auto"/>
        <w:ind w:left="240" w:hangingChars="100" w:hanging="240"/>
        <w:rPr>
          <w:rFonts w:ascii="Times New Roman" w:eastAsia="DengXian" w:hAnsi="Times New Roman" w:cs="Times New Roman"/>
          <w:b/>
          <w:bCs/>
          <w:sz w:val="24"/>
          <w:szCs w:val="24"/>
        </w:rPr>
      </w:pPr>
    </w:p>
    <w:p w14:paraId="58621B18" w14:textId="77777777" w:rsidR="00B5057D" w:rsidRPr="001D2E94" w:rsidRDefault="00B5057D" w:rsidP="00B5057D">
      <w:pPr>
        <w:adjustRightInd w:val="0"/>
        <w:snapToGrid w:val="0"/>
        <w:spacing w:line="480" w:lineRule="auto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1D2E94">
        <w:rPr>
          <w:rFonts w:ascii="Times New Roman" w:eastAsia="DengXian" w:hAnsi="Times New Roman" w:cs="Times New Roman"/>
          <w:b/>
          <w:bCs/>
          <w:sz w:val="24"/>
          <w:szCs w:val="24"/>
        </w:rPr>
        <w:t>JTC801 regresses uveal melanoma progression through novel methuosis-like cell death via lysosomal dysfunction</w:t>
      </w:r>
    </w:p>
    <w:p w14:paraId="46B655F0" w14:textId="77777777" w:rsidR="00B5057D" w:rsidRPr="001D2E94" w:rsidRDefault="00B5057D" w:rsidP="00B5057D">
      <w:pPr>
        <w:suppressLineNumbers/>
        <w:adjustRightInd w:val="0"/>
        <w:snapToGrid w:val="0"/>
        <w:spacing w:line="480" w:lineRule="auto"/>
        <w:rPr>
          <w:rFonts w:ascii="Times New Roman" w:eastAsia="DengXian" w:hAnsi="Times New Roman" w:cs="Times New Roman"/>
          <w:b/>
          <w:bCs/>
          <w:sz w:val="24"/>
          <w:szCs w:val="24"/>
        </w:rPr>
      </w:pPr>
    </w:p>
    <w:p w14:paraId="5C0BB971" w14:textId="77777777" w:rsidR="00B5057D" w:rsidRPr="001D2E94" w:rsidRDefault="00B5057D" w:rsidP="00B5057D">
      <w:pPr>
        <w:adjustRightInd w:val="0"/>
        <w:snapToGrid w:val="0"/>
        <w:spacing w:line="480" w:lineRule="auto"/>
        <w:rPr>
          <w:rFonts w:ascii="Times New Roman" w:eastAsia="DengXian" w:hAnsi="Times New Roman" w:cs="Times New Roman"/>
          <w:sz w:val="24"/>
          <w:szCs w:val="24"/>
        </w:rPr>
      </w:pPr>
      <w:r w:rsidRPr="001D2E94">
        <w:rPr>
          <w:rFonts w:ascii="Times New Roman" w:eastAsia="DengXian" w:hAnsi="Times New Roman" w:cs="Times New Roman"/>
          <w:sz w:val="24"/>
          <w:szCs w:val="24"/>
        </w:rPr>
        <w:t>Mingyan Huang</w:t>
      </w:r>
      <w:r w:rsidRPr="001D2E94">
        <w:rPr>
          <w:rFonts w:ascii="Times New Roman" w:eastAsia="DengXian" w:hAnsi="Times New Roman" w:cs="Times New Roman"/>
          <w:sz w:val="24"/>
          <w:szCs w:val="24"/>
          <w:vertAlign w:val="superscript"/>
        </w:rPr>
        <w:t>1,#</w:t>
      </w:r>
      <w:r w:rsidRPr="001D2E94"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 w:rsidRPr="001D2E94">
        <w:rPr>
          <w:rFonts w:ascii="Times New Roman" w:hAnsi="Times New Roman"/>
          <w:sz w:val="24"/>
          <w:szCs w:val="24"/>
        </w:rPr>
        <w:t>Xinpei Ji</w:t>
      </w:r>
      <w:r w:rsidRPr="001D2E94">
        <w:rPr>
          <w:rFonts w:ascii="Times New Roman" w:hAnsi="Times New Roman"/>
          <w:sz w:val="24"/>
          <w:szCs w:val="24"/>
          <w:vertAlign w:val="superscript"/>
        </w:rPr>
        <w:t>2</w:t>
      </w:r>
      <w:r w:rsidRPr="001D2E94">
        <w:rPr>
          <w:rFonts w:ascii="Times New Roman" w:hAnsi="Times New Roman" w:hint="eastAsia"/>
          <w:sz w:val="24"/>
          <w:szCs w:val="24"/>
          <w:vertAlign w:val="superscript"/>
        </w:rPr>
        <w:t>,</w:t>
      </w:r>
      <w:r w:rsidRPr="001D2E94">
        <w:rPr>
          <w:rFonts w:ascii="Times New Roman" w:hAnsi="Times New Roman"/>
          <w:sz w:val="24"/>
          <w:szCs w:val="24"/>
          <w:vertAlign w:val="superscript"/>
        </w:rPr>
        <w:t>#</w:t>
      </w:r>
      <w:r w:rsidRPr="001D2E94">
        <w:rPr>
          <w:rFonts w:ascii="Times New Roman" w:eastAsia="DengXian" w:hAnsi="Times New Roman" w:cs="Times New Roman"/>
          <w:sz w:val="24"/>
          <w:szCs w:val="24"/>
          <w:vertAlign w:val="superscript"/>
        </w:rPr>
        <w:t xml:space="preserve"> </w:t>
      </w:r>
      <w:r w:rsidRPr="001D2E94">
        <w:rPr>
          <w:rFonts w:ascii="Times New Roman" w:eastAsia="DengXian" w:hAnsi="Times New Roman" w:cs="Times New Roman" w:hint="eastAsia"/>
          <w:sz w:val="24"/>
          <w:szCs w:val="24"/>
        </w:rPr>
        <w:t>Ha Zhu</w:t>
      </w:r>
      <w:r w:rsidRPr="001D2E94">
        <w:rPr>
          <w:rFonts w:ascii="Times New Roman" w:eastAsia="DengXian" w:hAnsi="Times New Roman" w:cs="Times New Roman"/>
          <w:sz w:val="24"/>
          <w:szCs w:val="24"/>
          <w:vertAlign w:val="superscript"/>
        </w:rPr>
        <w:t>1</w:t>
      </w:r>
      <w:r w:rsidRPr="001D2E94">
        <w:rPr>
          <w:rFonts w:ascii="Times New Roman" w:hAnsi="Times New Roman" w:hint="eastAsia"/>
          <w:sz w:val="24"/>
          <w:szCs w:val="24"/>
          <w:vertAlign w:val="superscript"/>
        </w:rPr>
        <w:t>,</w:t>
      </w:r>
      <w:r w:rsidRPr="001D2E94">
        <w:rPr>
          <w:rFonts w:ascii="Times New Roman" w:hAnsi="Times New Roman"/>
          <w:sz w:val="24"/>
          <w:szCs w:val="24"/>
          <w:vertAlign w:val="superscript"/>
        </w:rPr>
        <w:t>#</w:t>
      </w:r>
      <w:r w:rsidRPr="001D2E94">
        <w:rPr>
          <w:rFonts w:ascii="Times New Roman" w:eastAsia="DengXian" w:hAnsi="Times New Roman" w:cs="Times New Roman" w:hint="eastAsia"/>
          <w:sz w:val="24"/>
          <w:szCs w:val="24"/>
        </w:rPr>
        <w:t>, Wenjun Chang</w:t>
      </w:r>
      <w:r w:rsidRPr="001D2E94">
        <w:rPr>
          <w:rFonts w:ascii="Times New Roman" w:eastAsia="DengXian" w:hAnsi="Times New Roman" w:cs="Times New Roman" w:hint="eastAsia"/>
          <w:sz w:val="24"/>
          <w:szCs w:val="24"/>
          <w:vertAlign w:val="superscript"/>
        </w:rPr>
        <w:t>3</w:t>
      </w:r>
      <w:r w:rsidRPr="001D2E94">
        <w:rPr>
          <w:rFonts w:ascii="Times New Roman" w:eastAsia="DengXian" w:hAnsi="Times New Roman" w:cs="Times New Roman" w:hint="eastAsia"/>
          <w:sz w:val="24"/>
          <w:szCs w:val="24"/>
        </w:rPr>
        <w:t>, Hao Shen</w:t>
      </w:r>
      <w:r w:rsidRPr="001D2E94">
        <w:rPr>
          <w:rFonts w:ascii="Times New Roman" w:eastAsia="DengXian" w:hAnsi="Times New Roman" w:cs="Times New Roman" w:hint="eastAsia"/>
          <w:sz w:val="24"/>
          <w:szCs w:val="24"/>
          <w:vertAlign w:val="superscript"/>
        </w:rPr>
        <w:t>3</w:t>
      </w:r>
      <w:r w:rsidRPr="001D2E94">
        <w:rPr>
          <w:rFonts w:ascii="Times New Roman" w:eastAsia="DengXian" w:hAnsi="Times New Roman" w:cs="Times New Roman" w:hint="eastAsia"/>
          <w:sz w:val="24"/>
          <w:szCs w:val="24"/>
        </w:rPr>
        <w:t>, Yizhi Yu</w:t>
      </w:r>
      <w:r w:rsidRPr="001D2E94">
        <w:rPr>
          <w:rFonts w:ascii="Times New Roman" w:eastAsia="DengXian" w:hAnsi="Times New Roman" w:cs="Times New Roman"/>
          <w:sz w:val="24"/>
          <w:szCs w:val="24"/>
          <w:vertAlign w:val="superscript"/>
        </w:rPr>
        <w:t>1,</w:t>
      </w:r>
      <w:r w:rsidRPr="001D2E94">
        <w:rPr>
          <w:rFonts w:ascii="Times New Roman" w:eastAsia="DengXian" w:hAnsi="Times New Roman" w:cs="Times New Roman"/>
          <w:sz w:val="24"/>
          <w:szCs w:val="24"/>
        </w:rPr>
        <w:t>*</w:t>
      </w:r>
      <w:r w:rsidRPr="001D2E94">
        <w:rPr>
          <w:rFonts w:ascii="Times New Roman" w:eastAsia="DengXian" w:hAnsi="Times New Roman" w:cs="Times New Roman" w:hint="eastAsia"/>
          <w:sz w:val="24"/>
          <w:szCs w:val="24"/>
        </w:rPr>
        <w:t xml:space="preserve"> </w:t>
      </w:r>
      <w:r w:rsidRPr="001D2E94">
        <w:rPr>
          <w:rFonts w:ascii="Times New Roman" w:eastAsia="DengXian" w:hAnsi="Times New Roman" w:cs="Times New Roman"/>
          <w:sz w:val="24"/>
          <w:szCs w:val="24"/>
        </w:rPr>
        <w:t>and Qiuyan Liu</w:t>
      </w:r>
      <w:r w:rsidRPr="001D2E94">
        <w:rPr>
          <w:rFonts w:ascii="Times New Roman" w:eastAsia="DengXian" w:hAnsi="Times New Roman" w:cs="Times New Roman"/>
          <w:sz w:val="24"/>
          <w:szCs w:val="24"/>
          <w:vertAlign w:val="superscript"/>
        </w:rPr>
        <w:t>1,</w:t>
      </w:r>
      <w:r w:rsidRPr="001D2E94">
        <w:rPr>
          <w:rFonts w:ascii="Times New Roman" w:eastAsia="DengXian" w:hAnsi="Times New Roman" w:cs="Times New Roman"/>
          <w:sz w:val="24"/>
          <w:szCs w:val="24"/>
        </w:rPr>
        <w:t>*</w:t>
      </w:r>
    </w:p>
    <w:p w14:paraId="48D61B69" w14:textId="77777777" w:rsidR="00B5057D" w:rsidRPr="001D2E94" w:rsidRDefault="00B5057D" w:rsidP="00B5057D">
      <w:pPr>
        <w:suppressLineNumbers/>
        <w:adjustRightInd w:val="0"/>
        <w:snapToGrid w:val="0"/>
        <w:spacing w:line="480" w:lineRule="auto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1BC531D0" wp14:editId="7714C0F1">
            <wp:extent cx="4169723" cy="3788834"/>
            <wp:effectExtent l="0" t="0" r="2540" b="2540"/>
            <wp:docPr id="101913055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863" cy="3828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6728B" w14:textId="77777777" w:rsidR="00B5057D" w:rsidRPr="001D2E94" w:rsidRDefault="00B5057D" w:rsidP="00B5057D">
      <w:pPr>
        <w:widowControl/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D2E94">
        <w:rPr>
          <w:rFonts w:ascii="Times New Roman" w:hAnsi="Times New Roman" w:cs="Times New Roman"/>
          <w:sz w:val="24"/>
          <w:szCs w:val="24"/>
        </w:rPr>
        <w:t xml:space="preserve">JTC801, a selective </w:t>
      </w:r>
      <w:r>
        <w:rPr>
          <w:rFonts w:ascii="Times New Roman" w:hAnsi="Times New Roman" w:cs="Times New Roman" w:hint="eastAsia"/>
          <w:sz w:val="24"/>
          <w:szCs w:val="24"/>
        </w:rPr>
        <w:t>NOP</w:t>
      </w:r>
      <w:r w:rsidRPr="001D2E94">
        <w:rPr>
          <w:rFonts w:ascii="Times New Roman" w:hAnsi="Times New Roman" w:cs="Times New Roman"/>
          <w:sz w:val="24"/>
          <w:szCs w:val="24"/>
        </w:rPr>
        <w:t xml:space="preserve"> antagonist, shows </w:t>
      </w:r>
      <w:r>
        <w:rPr>
          <w:rFonts w:ascii="Times New Roman" w:hAnsi="Times New Roman" w:cs="Times New Roman" w:hint="eastAsia"/>
          <w:sz w:val="24"/>
          <w:szCs w:val="24"/>
        </w:rPr>
        <w:t>specific</w:t>
      </w:r>
      <w:r w:rsidRPr="00151B91">
        <w:rPr>
          <w:rFonts w:ascii="Times New Roman" w:hAnsi="Times New Roman" w:cs="Times New Roman" w:hint="eastAsia"/>
          <w:sz w:val="24"/>
          <w:szCs w:val="24"/>
        </w:rPr>
        <w:t xml:space="preserve"> tumor cytotoxicity</w:t>
      </w:r>
      <w:r w:rsidRPr="001D2E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1D2E94">
        <w:rPr>
          <w:rFonts w:ascii="Times New Roman" w:hAnsi="Times New Roman" w:cs="Times New Roman"/>
          <w:sz w:val="24"/>
          <w:szCs w:val="24"/>
        </w:rPr>
        <w:t xml:space="preserve"> inducing </w:t>
      </w:r>
      <w:r>
        <w:rPr>
          <w:rFonts w:ascii="Times New Roman" w:hAnsi="Times New Roman" w:cs="Times New Roman" w:hint="eastAsia"/>
          <w:sz w:val="24"/>
          <w:szCs w:val="24"/>
        </w:rPr>
        <w:t xml:space="preserve">UM cell </w:t>
      </w:r>
      <w:r w:rsidRPr="001D2E94">
        <w:rPr>
          <w:rFonts w:ascii="Times New Roman" w:hAnsi="Times New Roman" w:cs="Times New Roman"/>
          <w:sz w:val="24"/>
          <w:szCs w:val="24"/>
        </w:rPr>
        <w:t>methuosis-like death</w:t>
      </w:r>
      <w:r w:rsidRPr="001D2E94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D2E94">
        <w:rPr>
          <w:rFonts w:ascii="Times New Roman" w:hAnsi="Times New Roman" w:cs="Times New Roman"/>
          <w:sz w:val="24"/>
          <w:szCs w:val="24"/>
        </w:rPr>
        <w:t>characterized by cytoplasmic vacuolization</w:t>
      </w:r>
      <w:r w:rsidRPr="001D2E94">
        <w:rPr>
          <w:rFonts w:ascii="Times New Roman" w:hAnsi="Times New Roman" w:cs="Times New Roman" w:hint="eastAsia"/>
          <w:sz w:val="24"/>
          <w:szCs w:val="24"/>
        </w:rPr>
        <w:t xml:space="preserve"> and incorporation into lysosomes. </w:t>
      </w:r>
      <w:bookmarkStart w:id="0" w:name="_Hlk183782366"/>
      <w:r>
        <w:rPr>
          <w:rFonts w:ascii="Times New Roman" w:hAnsi="Times New Roman" w:cs="Times New Roman" w:hint="eastAsia"/>
          <w:sz w:val="24"/>
          <w:szCs w:val="24"/>
        </w:rPr>
        <w:t xml:space="preserve">JTC801-mediated nutritional stress triggers 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cropinocytosis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151B9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725C">
        <w:rPr>
          <w:rFonts w:ascii="Times New Roman" w:hAnsi="Times New Roman" w:cs="Times New Roman" w:hint="eastAsia"/>
          <w:sz w:val="24"/>
          <w:szCs w:val="24"/>
        </w:rPr>
        <w:t>concurrently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725C">
        <w:rPr>
          <w:rFonts w:ascii="Times New Roman" w:hAnsi="Times New Roman" w:cs="Times New Roman" w:hint="eastAsia"/>
          <w:sz w:val="24"/>
          <w:szCs w:val="24"/>
        </w:rPr>
        <w:t>JTC801</w:t>
      </w:r>
      <w:r>
        <w:rPr>
          <w:rFonts w:ascii="Times New Roman" w:hAnsi="Times New Roman" w:cs="Times New Roman" w:hint="eastAsia"/>
          <w:sz w:val="24"/>
          <w:szCs w:val="24"/>
        </w:rPr>
        <w:t xml:space="preserve"> is </w:t>
      </w:r>
      <w:r w:rsidRPr="00151B91">
        <w:rPr>
          <w:rFonts w:ascii="Times New Roman" w:hAnsi="Times New Roman" w:cs="Times New Roman" w:hint="eastAsia"/>
          <w:sz w:val="24"/>
          <w:szCs w:val="24"/>
        </w:rPr>
        <w:t>engulfed into the macropinosomes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151B9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leading to </w:t>
      </w:r>
      <w:r w:rsidRPr="004C725C">
        <w:rPr>
          <w:rFonts w:ascii="Times New Roman" w:hAnsi="Times New Roman" w:cs="Times New Roman" w:hint="eastAsia"/>
          <w:sz w:val="24"/>
          <w:szCs w:val="24"/>
        </w:rPr>
        <w:t>lysosomal dysfunction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C90DF2">
        <w:rPr>
          <w:rFonts w:ascii="Times New Roman" w:hAnsi="Times New Roman" w:cs="Times New Roman"/>
          <w:sz w:val="24"/>
          <w:szCs w:val="24"/>
        </w:rPr>
        <w:t>including lysosomal over-acidification, lysosomal membrane permeabilization,</w:t>
      </w:r>
      <w:r w:rsidRPr="00C90DF2">
        <w:rPr>
          <w:rFonts w:ascii="Times New Roman" w:hAnsi="Times New Roman" w:cs="Times New Roman" w:hint="eastAsia"/>
          <w:sz w:val="24"/>
          <w:szCs w:val="24"/>
        </w:rPr>
        <w:t xml:space="preserve"> de-glycosylation of LAMP1 and </w:t>
      </w:r>
      <w:r w:rsidRPr="00C90DF2">
        <w:rPr>
          <w:rFonts w:ascii="Times New Roman" w:hAnsi="Times New Roman" w:cs="Times New Roman"/>
          <w:sz w:val="24"/>
          <w:szCs w:val="24"/>
        </w:rPr>
        <w:t>cathepsin</w:t>
      </w:r>
      <w:r w:rsidRPr="00C90DF2">
        <w:rPr>
          <w:rFonts w:ascii="Times New Roman" w:hAnsi="Times New Roman" w:cs="Times New Roman" w:hint="eastAsia"/>
          <w:sz w:val="24"/>
          <w:szCs w:val="24"/>
        </w:rPr>
        <w:t>s</w:t>
      </w:r>
      <w:r w:rsidRPr="00C90DF2">
        <w:rPr>
          <w:rFonts w:ascii="Times New Roman" w:hAnsi="Times New Roman" w:cs="Times New Roman"/>
          <w:sz w:val="24"/>
          <w:szCs w:val="24"/>
        </w:rPr>
        <w:t xml:space="preserve"> maturation inhibiti</w:t>
      </w:r>
      <w:r w:rsidRPr="00C90DF2">
        <w:rPr>
          <w:rFonts w:ascii="Times New Roman" w:hAnsi="Times New Roman" w:cs="Times New Roman" w:hint="eastAsia"/>
          <w:sz w:val="24"/>
          <w:szCs w:val="24"/>
        </w:rPr>
        <w:t>on</w:t>
      </w:r>
      <w:r w:rsidRPr="002C6045">
        <w:rPr>
          <w:rFonts w:ascii="Times New Roman" w:hAnsi="Times New Roman" w:cs="Times New Roman" w:hint="eastAsia"/>
          <w:sz w:val="24"/>
          <w:szCs w:val="24"/>
        </w:rPr>
        <w:t>,</w:t>
      </w:r>
      <w:r w:rsidRPr="00CC64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725C">
        <w:rPr>
          <w:rFonts w:ascii="Times New Roman" w:hAnsi="Times New Roman" w:cs="Times New Roman" w:hint="eastAsia"/>
          <w:sz w:val="24"/>
          <w:szCs w:val="24"/>
        </w:rPr>
        <w:t>resulting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" w:name="OLE_LINK7"/>
      <w:r>
        <w:rPr>
          <w:rFonts w:ascii="Times New Roman" w:hAnsi="Times New Roman" w:cs="Times New Roman" w:hint="eastAsia"/>
          <w:sz w:val="24"/>
          <w:szCs w:val="24"/>
        </w:rPr>
        <w:t xml:space="preserve">methuosis-like </w:t>
      </w:r>
      <w:r w:rsidRPr="00CC64A0">
        <w:rPr>
          <w:rFonts w:ascii="Times New Roman" w:hAnsi="Times New Roman" w:cs="Times New Roman" w:hint="eastAsia"/>
          <w:sz w:val="24"/>
          <w:szCs w:val="24"/>
        </w:rPr>
        <w:t>death</w:t>
      </w:r>
      <w:bookmarkEnd w:id="1"/>
      <w:r w:rsidRPr="002415AE">
        <w:rPr>
          <w:rFonts w:hint="eastAsia"/>
        </w:rPr>
        <w:t xml:space="preserve"> </w:t>
      </w:r>
      <w:r w:rsidRPr="002415AE">
        <w:rPr>
          <w:rFonts w:ascii="Times New Roman" w:hAnsi="Times New Roman" w:cs="Times New Roman" w:hint="eastAsia"/>
          <w:sz w:val="24"/>
          <w:szCs w:val="24"/>
        </w:rPr>
        <w:t>ultimately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CC64A0">
        <w:rPr>
          <w:rFonts w:ascii="Times New Roman" w:hAnsi="Times New Roman" w:cs="Times New Roman" w:hint="eastAsia"/>
          <w:sz w:val="24"/>
          <w:szCs w:val="24"/>
        </w:rPr>
        <w:t>UM cell</w:t>
      </w:r>
      <w:r>
        <w:rPr>
          <w:rFonts w:ascii="Times New Roman" w:hAnsi="Times New Roman" w:cs="Times New Roman" w:hint="eastAsia"/>
          <w:sz w:val="24"/>
          <w:szCs w:val="24"/>
        </w:rPr>
        <w:t>s.</w:t>
      </w:r>
      <w:bookmarkEnd w:id="0"/>
    </w:p>
    <w:p w14:paraId="320D02EF" w14:textId="77777777" w:rsidR="00DE6AE2" w:rsidRDefault="00DE6AE2"/>
    <w:sectPr w:rsidR="00DE6AE2" w:rsidSect="00B5057D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4949882"/>
      <w:docPartObj>
        <w:docPartGallery w:val="Page Numbers (Bottom of Page)"/>
        <w:docPartUnique/>
      </w:docPartObj>
    </w:sdtPr>
    <w:sdtContent>
      <w:p w14:paraId="723AC938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466A4B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57D"/>
    <w:rsid w:val="003D0AF3"/>
    <w:rsid w:val="00A3738C"/>
    <w:rsid w:val="00B5057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8BC67"/>
  <w15:chartTrackingRefBased/>
  <w15:docId w15:val="{4334CA4A-FE3E-4E65-8772-DE14FFFE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57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057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57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57D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57D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57D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57D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57D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57D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57D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5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5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5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5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5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5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5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5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5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5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05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57D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05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57D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05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57D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05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5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5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57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B50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057D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505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658</Characters>
  <Application>Microsoft Office Word</Application>
  <DocSecurity>0</DocSecurity>
  <Lines>5</Lines>
  <Paragraphs>1</Paragraphs>
  <ScaleCrop>false</ScaleCrop>
  <Company>Springer Nature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2025-02-03T09:28:00Z</dcterms:created>
  <dcterms:modified xsi:type="dcterms:W3CDTF">2025-02-03T09:28:00Z</dcterms:modified>
</cp:coreProperties>
</file>