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DE43D9" w14:textId="35F21B2D" w:rsidR="007D7FCD" w:rsidRPr="00411D3A" w:rsidRDefault="007D7FCD" w:rsidP="007D7FCD">
      <w:pPr>
        <w:pStyle w:val="Caption"/>
        <w:rPr>
          <w:rFonts w:ascii="Times New Roman" w:hAnsi="Times New Roman" w:cs="Times New Roman"/>
          <w:i w:val="0"/>
          <w:iCs w:val="0"/>
          <w:noProof/>
          <w:color w:val="auto"/>
          <w:sz w:val="28"/>
          <w:szCs w:val="28"/>
        </w:rPr>
      </w:pPr>
      <w:r w:rsidRPr="00411D3A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8"/>
          <w:szCs w:val="28"/>
        </w:rPr>
        <w:t xml:space="preserve">Supplementary </w:t>
      </w:r>
      <w:r w:rsidR="00411D3A" w:rsidRPr="00411D3A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8"/>
          <w:szCs w:val="28"/>
        </w:rPr>
        <w:t xml:space="preserve">1. </w:t>
      </w:r>
      <w:r w:rsidRPr="00411D3A">
        <w:rPr>
          <w:rFonts w:ascii="Times New Roman" w:hAnsi="Times New Roman" w:cs="Times New Roman"/>
          <w:i w:val="0"/>
          <w:iCs w:val="0"/>
          <w:noProof/>
          <w:color w:val="auto"/>
          <w:sz w:val="28"/>
          <w:szCs w:val="28"/>
        </w:rPr>
        <w:t>Details of confirmatory tests</w:t>
      </w:r>
      <w:r w:rsidRPr="00411D3A">
        <w:rPr>
          <w:rFonts w:ascii="Times New Roman" w:hAnsi="Times New Roman" w:cs="Times New Roman"/>
          <w:i w:val="0"/>
          <w:iCs w:val="0"/>
          <w:color w:val="auto"/>
          <w:sz w:val="28"/>
          <w:szCs w:val="28"/>
        </w:rPr>
        <w:t xml:space="preserve"> and </w:t>
      </w:r>
      <w:r w:rsidRPr="00411D3A">
        <w:rPr>
          <w:rFonts w:ascii="Times New Roman" w:hAnsi="Times New Roman" w:cs="Times New Roman"/>
          <w:i w:val="0"/>
          <w:iCs w:val="0"/>
          <w:noProof/>
          <w:color w:val="auto"/>
          <w:sz w:val="28"/>
          <w:szCs w:val="28"/>
        </w:rPr>
        <w:t>aldosterone and renin assays</w:t>
      </w:r>
      <w:r w:rsidRPr="00411D3A">
        <w:rPr>
          <w:rFonts w:ascii="Times New Roman" w:hAnsi="Times New Roman" w:cs="Times New Roman"/>
          <w:i w:val="0"/>
          <w:iCs w:val="0"/>
          <w:color w:val="auto"/>
          <w:sz w:val="28"/>
          <w:szCs w:val="28"/>
        </w:rPr>
        <w:t xml:space="preserve">. </w:t>
      </w:r>
    </w:p>
    <w:p w14:paraId="12DDB12E" w14:textId="2A465594" w:rsidR="007D7FCD" w:rsidRPr="001139D3" w:rsidRDefault="007D7FCD" w:rsidP="007D7FCD">
      <w:pPr>
        <w:spacing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F2998">
        <w:rPr>
          <w:rFonts w:ascii="Times New Roman" w:hAnsi="Times New Roman" w:cs="Times New Roman"/>
          <w:b/>
          <w:bCs/>
          <w:sz w:val="24"/>
          <w:szCs w:val="24"/>
        </w:rPr>
        <w:t>Confirmatory tests</w:t>
      </w:r>
      <w:r w:rsidRPr="005F2998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F2998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F2998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F2998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F2998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F2998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F2998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F2998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F2998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5F2998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1139D3">
        <w:rPr>
          <w:rFonts w:ascii="Times New Roman" w:hAnsi="Times New Roman" w:cs="Times New Roman"/>
          <w:b/>
          <w:bCs/>
          <w:sz w:val="24"/>
          <w:szCs w:val="24"/>
        </w:rPr>
        <w:tab/>
      </w:r>
      <w:proofErr w:type="gramStart"/>
      <w:r w:rsidRPr="001139D3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Pr="001139D3">
        <w:rPr>
          <w:rFonts w:ascii="Times New Roman" w:hAnsi="Times New Roman" w:cs="Times New Roman"/>
          <w:sz w:val="24"/>
          <w:szCs w:val="24"/>
        </w:rPr>
        <w:t xml:space="preserve"> saline infusion test (SIT) was performed between 0800-1200 am after an overnight fast. Patients remained in upright position for 2 hours prior to the infusion and then, were placed in the supine position throughout the testing. Two </w:t>
      </w:r>
      <w:proofErr w:type="spellStart"/>
      <w:r w:rsidRPr="001139D3">
        <w:rPr>
          <w:rFonts w:ascii="Times New Roman" w:hAnsi="Times New Roman" w:cs="Times New Roman"/>
          <w:sz w:val="24"/>
          <w:szCs w:val="24"/>
        </w:rPr>
        <w:t>litres</w:t>
      </w:r>
      <w:proofErr w:type="spellEnd"/>
      <w:r w:rsidRPr="001139D3">
        <w:rPr>
          <w:rFonts w:ascii="Times New Roman" w:hAnsi="Times New Roman" w:cs="Times New Roman"/>
          <w:sz w:val="24"/>
          <w:szCs w:val="24"/>
        </w:rPr>
        <w:t xml:space="preserve"> of isotonic saline were infused constantly though a four-hour period. Blood samples for serum electrolytes, plasma aldosterone concentration (PAC) and plasma renin activity (PRA) were drawn before and at the end of the infusion </w:t>
      </w:r>
      <w:r w:rsidRPr="001139D3">
        <w:rPr>
          <w:rFonts w:ascii="Times New Roman" w:hAnsi="Times New Roman" w:cs="Times New Roman"/>
          <w:sz w:val="24"/>
          <w:szCs w:val="24"/>
        </w:rPr>
        <w:fldChar w:fldCharType="begin"/>
      </w:r>
      <w:r w:rsidR="001139D3" w:rsidRPr="001139D3">
        <w:rPr>
          <w:rFonts w:ascii="Times New Roman" w:hAnsi="Times New Roman" w:cs="Times New Roman"/>
          <w:sz w:val="24"/>
          <w:szCs w:val="24"/>
        </w:rPr>
        <w:instrText xml:space="preserve"> ADDIN ZOTERO_ITEM CSL_CITATION {"citationID":"k6Cxnb2H","properties":{"formattedCitation":"(1)","plainCitation":"(1)","noteIndex":0},"citationItems":[{"id":133,"uris":["http://zotero.org/users/5771747/items/LD8PSLC5"],"uri":["http://zotero.org/users/5771747/items/LD8PSLC5"],"itemData":{"id":133,"type":"article-journal","container-title":"Archives of Internal Medicine","ISSN":"0003-9926","issue":"3","journalAbbreviation":"Arch. Intern. Med.","language":"eng","note":"PMID: 5093210","page":"380-386","source":"PubMed","title":"Saline suppression of plasma aldosterone in hypertension","volume":"128","author":[{"family":"Kem","given":"D. C."},{"family":"Weinberger","given":"M. H."},{"family":"Mayes","given":"D. M."},{"family":"Nugent","given":"C. A."}],"issued":{"date-parts":[["1971",9]]}}}],"schema":"https://github.com/citation-style-language/schema/raw/master/csl-citation.json"} </w:instrText>
      </w:r>
      <w:r w:rsidRPr="001139D3">
        <w:rPr>
          <w:rFonts w:ascii="Times New Roman" w:hAnsi="Times New Roman" w:cs="Times New Roman"/>
          <w:sz w:val="24"/>
          <w:szCs w:val="24"/>
        </w:rPr>
        <w:fldChar w:fldCharType="separate"/>
      </w:r>
      <w:r w:rsidR="001139D3" w:rsidRPr="001139D3">
        <w:rPr>
          <w:rFonts w:ascii="Times New Roman" w:hAnsi="Times New Roman" w:cs="Times New Roman"/>
          <w:sz w:val="24"/>
          <w:szCs w:val="24"/>
        </w:rPr>
        <w:t>(1)</w:t>
      </w:r>
      <w:r w:rsidRPr="001139D3">
        <w:rPr>
          <w:rFonts w:ascii="Times New Roman" w:hAnsi="Times New Roman" w:cs="Times New Roman"/>
          <w:sz w:val="24"/>
          <w:szCs w:val="24"/>
        </w:rPr>
        <w:fldChar w:fldCharType="end"/>
      </w:r>
      <w:r w:rsidRPr="001139D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DE2E0EA" w14:textId="1546B093" w:rsidR="007D7FCD" w:rsidRPr="001139D3" w:rsidRDefault="007D7FCD" w:rsidP="007D7FCD">
      <w:pPr>
        <w:spacing w:line="480" w:lineRule="auto"/>
        <w:ind w:firstLine="576"/>
        <w:jc w:val="both"/>
        <w:rPr>
          <w:rFonts w:ascii="Times New Roman" w:hAnsi="Times New Roman" w:cs="Times New Roman"/>
          <w:sz w:val="24"/>
          <w:szCs w:val="24"/>
        </w:rPr>
      </w:pPr>
      <w:r w:rsidRPr="001139D3">
        <w:rPr>
          <w:rFonts w:ascii="Times New Roman" w:hAnsi="Times New Roman" w:cs="Times New Roman"/>
          <w:sz w:val="24"/>
          <w:szCs w:val="24"/>
        </w:rPr>
        <w:t xml:space="preserve">Fludrocortisone suppression test (FST) was used as an alternative confirmation to the SIT test when the SIT was contraindicated or unavailable. Patients received 0.1 mg oral fludrocortisone every 6 hours for 4 days, along with </w:t>
      </w:r>
      <w:proofErr w:type="spellStart"/>
      <w:r w:rsidRPr="001139D3">
        <w:rPr>
          <w:rFonts w:ascii="Times New Roman" w:hAnsi="Times New Roman" w:cs="Times New Roman"/>
          <w:sz w:val="24"/>
          <w:szCs w:val="24"/>
        </w:rPr>
        <w:t>KCl</w:t>
      </w:r>
      <w:proofErr w:type="spellEnd"/>
      <w:r w:rsidRPr="001139D3">
        <w:rPr>
          <w:rFonts w:ascii="Times New Roman" w:hAnsi="Times New Roman" w:cs="Times New Roman"/>
          <w:sz w:val="24"/>
          <w:szCs w:val="24"/>
        </w:rPr>
        <w:t xml:space="preserve"> supplement to keep serum K+ close to 4.0 mmol/l, and NaCl tab supplement (100 mmol/day of Na+). Blood samples for upright PAC and PRC were drawn in the morning (0800-1000) after patients had remained upright for at least 2 hours </w:t>
      </w:r>
      <w:r w:rsidRPr="001139D3">
        <w:rPr>
          <w:rFonts w:ascii="Times New Roman" w:hAnsi="Times New Roman" w:cs="Times New Roman"/>
          <w:sz w:val="24"/>
          <w:szCs w:val="24"/>
        </w:rPr>
        <w:fldChar w:fldCharType="begin"/>
      </w:r>
      <w:r w:rsidR="001139D3" w:rsidRPr="001139D3">
        <w:rPr>
          <w:rFonts w:ascii="Times New Roman" w:hAnsi="Times New Roman" w:cs="Times New Roman"/>
          <w:sz w:val="24"/>
          <w:szCs w:val="24"/>
        </w:rPr>
        <w:instrText xml:space="preserve"> ADDIN ZOTERO_ITEM CSL_CITATION {"citationID":"J3mzHaoy","properties":{"formattedCitation":"(2)","plainCitation":"(2)","noteIndex":0},"citationItems":[{"id":132,"uris":["http://zotero.org/users/5771747/items/WP5RDSR3"],"uri":["http://zotero.org/users/5771747/items/WP5RDSR3"],"itemData":{"id":132,"type":"article-journal","abstract":"CONTEXT: Primary aldosteronism (PA) is the most frequent form of secondary hypertension, accounting for up to 5-10% of all hypertensive patients, and the diagnosis of PA can present an important challenge for the clinician. After a positive screening test, the diagnosis is confirmed by a suppression test, often an iv saline load test (SLT) or a fludrocortisone suppression test (FST). The FST is considered by many to be the most reliable but is more complex and expensive.\nOBJECTIVE AND DESIGN: Our objective was to compare the specificity of SLT with FST for the diagnosis of PA.\nPATIENTS AND SETTING: The study included 100 hypertensive patients referred to hypertension units with suspected PA after the screening test.\nINTERVENTION: All patients underwent FST and SLT.\nMAIN OUTCOME MEASURES: We assessed plasma aldosterone concentrations (PAC) before and after FST and SLT.\nRESULTS: After iv SLT, 10.4% of the PA patients were negative and 16.1% of patients with essential hypertension were positive after SLT; that is, a correct diagnosis with SLT was obtained in 88% of patients compared with FST. PAC after SLT and PAC after FST were highly correlated (P &lt; 0.0001). Receiver operator characteristic curve analysis demonstrated that the best cutoff for PAC after SLT was 5 ng/dl. Patients with aldosterone-producing adenoma displayed a smaller reduction of PAC compared with patients with bilateral adrenal hyperplasia; a PAC after SLT greater than 6 ng/dl identified all patients eventually diagnosed as having aldosterone-producing adenoma.\nCONCLUSIONS: This study demonstrates that the iv SLT is a reasonably good alternative to the more expensive and complex FST for the diagnosis of PA after a positive screening test.","container-title":"The Journal of Clinical Endocrinology and Metabolism","DOI":"10.1210/jc.2006-0078","ISSN":"0021-972X","issue":"7","journalAbbreviation":"J. Clin. Endocrinol. Metab.","language":"eng","note":"PMID: 16670162","page":"2618-2623","source":"PubMed","title":"Comparison of confirmatory tests for the diagnosis of primary aldosteronism","volume":"91","author":[{"family":"Mulatero","given":"Paolo"},{"family":"Milan","given":"Alberto"},{"family":"Fallo","given":"Francesco"},{"family":"Regolisti","given":"Giuseppe"},{"family":"Pizzolo","given":"Francesca"},{"family":"Fardella","given":"Carlos"},{"family":"Mosso","given":"Lorena"},{"family":"Marafetti","given":"Lisa"},{"family":"Veglio","given":"Franco"},{"family":"Maccario","given":"Mauro"}],"issued":{"date-parts":[["2006",7]]}}}],"schema":"https://github.com/citation-style-language/schema/raw/master/csl-citation.json"} </w:instrText>
      </w:r>
      <w:r w:rsidRPr="001139D3">
        <w:rPr>
          <w:rFonts w:ascii="Times New Roman" w:hAnsi="Times New Roman" w:cs="Times New Roman"/>
          <w:sz w:val="24"/>
          <w:szCs w:val="24"/>
        </w:rPr>
        <w:fldChar w:fldCharType="separate"/>
      </w:r>
      <w:r w:rsidR="001139D3" w:rsidRPr="001139D3">
        <w:rPr>
          <w:rFonts w:ascii="Times New Roman" w:hAnsi="Times New Roman" w:cs="Times New Roman"/>
          <w:sz w:val="24"/>
          <w:szCs w:val="24"/>
        </w:rPr>
        <w:t>(2)</w:t>
      </w:r>
      <w:r w:rsidRPr="001139D3">
        <w:rPr>
          <w:rFonts w:ascii="Times New Roman" w:hAnsi="Times New Roman" w:cs="Times New Roman"/>
          <w:sz w:val="24"/>
          <w:szCs w:val="24"/>
        </w:rPr>
        <w:fldChar w:fldCharType="end"/>
      </w:r>
      <w:r w:rsidRPr="001139D3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3DB5B7B" w14:textId="77777777" w:rsidR="007D7FCD" w:rsidRPr="001139D3" w:rsidRDefault="007D7FCD" w:rsidP="007D7F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139D3">
        <w:rPr>
          <w:rFonts w:ascii="Times New Roman" w:hAnsi="Times New Roman" w:cs="Times New Roman"/>
          <w:b/>
          <w:bCs/>
          <w:sz w:val="24"/>
          <w:szCs w:val="24"/>
        </w:rPr>
        <w:t>Plasma aldosterone concentration and plasma renin activity assays</w:t>
      </w:r>
    </w:p>
    <w:p w14:paraId="71515BCA" w14:textId="77777777" w:rsidR="007D7FCD" w:rsidRPr="001139D3" w:rsidRDefault="007D7FCD" w:rsidP="007D7FCD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1139D3">
        <w:rPr>
          <w:rFonts w:ascii="Times New Roman" w:hAnsi="Times New Roman" w:cs="Times New Roman"/>
          <w:sz w:val="24"/>
          <w:szCs w:val="24"/>
        </w:rPr>
        <w:t xml:space="preserve">Plasma samples were collected into EDTA (Ethylene diamine </w:t>
      </w:r>
      <w:proofErr w:type="spellStart"/>
      <w:r w:rsidRPr="001139D3">
        <w:rPr>
          <w:rFonts w:ascii="Times New Roman" w:hAnsi="Times New Roman" w:cs="Times New Roman"/>
          <w:sz w:val="24"/>
          <w:szCs w:val="24"/>
        </w:rPr>
        <w:t>tetraacetic</w:t>
      </w:r>
      <w:proofErr w:type="spellEnd"/>
      <w:r w:rsidRPr="001139D3">
        <w:rPr>
          <w:rFonts w:ascii="Times New Roman" w:hAnsi="Times New Roman" w:cs="Times New Roman"/>
          <w:sz w:val="24"/>
          <w:szCs w:val="24"/>
        </w:rPr>
        <w:t xml:space="preserve"> acid) tubes at room temperature. For economic reasons, the assay was performed every 2 weeks, samples were therefore stored at -20 </w:t>
      </w:r>
      <w:r w:rsidRPr="001139D3">
        <w:rPr>
          <w:rFonts w:ascii="Times New Roman" w:hAnsi="Times New Roman" w:cs="Times New Roman"/>
          <w:sz w:val="24"/>
          <w:szCs w:val="24"/>
        </w:rPr>
        <w:sym w:font="Symbol" w:char="F0B0"/>
      </w:r>
      <w:r w:rsidRPr="001139D3">
        <w:rPr>
          <w:rFonts w:ascii="Times New Roman" w:hAnsi="Times New Roman" w:cs="Times New Roman"/>
          <w:sz w:val="24"/>
          <w:szCs w:val="24"/>
        </w:rPr>
        <w:t>C for 7-11 days before the assays were performed. PAC was measured by radioimmunoassay (ALDO-RIACT,</w:t>
      </w:r>
      <w:r w:rsidRPr="001139D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 w:rsidRPr="001139D3">
        <w:rPr>
          <w:rFonts w:ascii="Times New Roman" w:hAnsi="Times New Roman" w:cs="Times New Roman"/>
          <w:sz w:val="24"/>
          <w:szCs w:val="24"/>
          <w:shd w:val="clear" w:color="auto" w:fill="FFFFFF"/>
        </w:rPr>
        <w:t>Cisbio</w:t>
      </w:r>
      <w:proofErr w:type="spellEnd"/>
      <w:r w:rsidRPr="001139D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Bioassays, </w:t>
      </w:r>
      <w:proofErr w:type="spellStart"/>
      <w:r w:rsidRPr="001139D3">
        <w:rPr>
          <w:rFonts w:ascii="Times New Roman" w:hAnsi="Times New Roman" w:cs="Times New Roman"/>
          <w:sz w:val="24"/>
          <w:szCs w:val="24"/>
          <w:shd w:val="clear" w:color="auto" w:fill="FFFFFF"/>
        </w:rPr>
        <w:t>Codolet</w:t>
      </w:r>
      <w:proofErr w:type="spellEnd"/>
      <w:r w:rsidRPr="001139D3">
        <w:rPr>
          <w:rFonts w:ascii="Times New Roman" w:hAnsi="Times New Roman" w:cs="Times New Roman"/>
          <w:sz w:val="24"/>
          <w:szCs w:val="24"/>
          <w:shd w:val="clear" w:color="auto" w:fill="FFFFFF"/>
        </w:rPr>
        <w:t>/France</w:t>
      </w:r>
      <w:r w:rsidRPr="001139D3">
        <w:rPr>
          <w:rFonts w:ascii="Times New Roman" w:hAnsi="Times New Roman" w:cs="Times New Roman"/>
          <w:sz w:val="24"/>
          <w:szCs w:val="24"/>
        </w:rPr>
        <w:t>). The intra</w:t>
      </w:r>
      <w:r w:rsidRPr="001139D3">
        <w:rPr>
          <w:rFonts w:ascii="Times New Roman" w:hAnsi="Times New Roman" w:cs="Times New Roman"/>
          <w:sz w:val="24"/>
          <w:szCs w:val="24"/>
          <w:rtl/>
          <w:cs/>
        </w:rPr>
        <w:t>-</w:t>
      </w:r>
      <w:r w:rsidRPr="001139D3">
        <w:rPr>
          <w:rFonts w:ascii="Times New Roman" w:hAnsi="Times New Roman" w:cs="Times New Roman"/>
          <w:sz w:val="24"/>
          <w:szCs w:val="24"/>
        </w:rPr>
        <w:t>assay coefficients of variation</w:t>
      </w:r>
      <w:r w:rsidRPr="001139D3">
        <w:rPr>
          <w:rFonts w:ascii="Times New Roman" w:hAnsi="Times New Roman" w:cs="Times New Roman"/>
          <w:sz w:val="24"/>
          <w:szCs w:val="24"/>
          <w:rtl/>
          <w:cs/>
        </w:rPr>
        <w:t xml:space="preserve"> (</w:t>
      </w:r>
      <w:r w:rsidRPr="001139D3">
        <w:rPr>
          <w:rFonts w:ascii="Times New Roman" w:hAnsi="Times New Roman" w:cs="Times New Roman"/>
          <w:sz w:val="24"/>
          <w:szCs w:val="24"/>
        </w:rPr>
        <w:t>CV</w:t>
      </w:r>
      <w:r w:rsidRPr="001139D3">
        <w:rPr>
          <w:rFonts w:ascii="Times New Roman" w:hAnsi="Times New Roman" w:cs="Times New Roman"/>
          <w:sz w:val="24"/>
          <w:szCs w:val="24"/>
          <w:cs/>
        </w:rPr>
        <w:fldChar w:fldCharType="begin"/>
      </w:r>
      <w:r w:rsidRPr="001139D3">
        <w:rPr>
          <w:rFonts w:ascii="Times New Roman" w:hAnsi="Times New Roman" w:cs="Times New Roman"/>
          <w:sz w:val="24"/>
          <w:szCs w:val="24"/>
        </w:rPr>
        <w:instrText xml:space="preserve"> XE "</w:instrText>
      </w:r>
      <w:proofErr w:type="gramStart"/>
      <w:r w:rsidRPr="001139D3">
        <w:rPr>
          <w:rFonts w:ascii="Times New Roman" w:hAnsi="Times New Roman" w:cs="Times New Roman"/>
          <w:sz w:val="24"/>
          <w:szCs w:val="24"/>
        </w:rPr>
        <w:instrText>CV:coefficients</w:instrText>
      </w:r>
      <w:proofErr w:type="gramEnd"/>
      <w:r w:rsidRPr="001139D3">
        <w:rPr>
          <w:rFonts w:ascii="Times New Roman" w:hAnsi="Times New Roman" w:cs="Times New Roman"/>
          <w:sz w:val="24"/>
          <w:szCs w:val="24"/>
        </w:rPr>
        <w:instrText xml:space="preserve"> of variation" </w:instrText>
      </w:r>
      <w:r w:rsidRPr="001139D3">
        <w:rPr>
          <w:rFonts w:ascii="Times New Roman" w:hAnsi="Times New Roman" w:cs="Times New Roman"/>
          <w:sz w:val="24"/>
          <w:szCs w:val="24"/>
          <w:cs/>
        </w:rPr>
        <w:fldChar w:fldCharType="end"/>
      </w:r>
      <w:r w:rsidRPr="001139D3">
        <w:rPr>
          <w:rFonts w:ascii="Times New Roman" w:hAnsi="Times New Roman" w:cs="Times New Roman"/>
          <w:sz w:val="24"/>
          <w:szCs w:val="24"/>
          <w:rtl/>
          <w:cs/>
        </w:rPr>
        <w:t>)</w:t>
      </w:r>
      <w:r w:rsidRPr="001139D3">
        <w:rPr>
          <w:rFonts w:ascii="Times New Roman" w:hAnsi="Times New Roman" w:cs="Times New Roman"/>
          <w:sz w:val="24"/>
          <w:szCs w:val="24"/>
        </w:rPr>
        <w:t xml:space="preserve"> were 11.7-13.6</w:t>
      </w:r>
      <w:r w:rsidRPr="001139D3">
        <w:rPr>
          <w:rFonts w:ascii="Times New Roman" w:hAnsi="Times New Roman" w:cs="Times New Roman"/>
          <w:sz w:val="24"/>
          <w:szCs w:val="24"/>
          <w:rtl/>
          <w:cs/>
        </w:rPr>
        <w:t xml:space="preserve">% </w:t>
      </w:r>
      <w:r w:rsidRPr="001139D3">
        <w:rPr>
          <w:rFonts w:ascii="Times New Roman" w:hAnsi="Times New Roman" w:cs="Times New Roman"/>
          <w:sz w:val="24"/>
          <w:szCs w:val="24"/>
        </w:rPr>
        <w:t xml:space="preserve">during 2011-2014 and were 6.76-8.56% during 2015-2016. PRA was measured by radioimmunoassay (REN-CT2, </w:t>
      </w:r>
      <w:proofErr w:type="spellStart"/>
      <w:r w:rsidRPr="001139D3">
        <w:rPr>
          <w:rFonts w:ascii="Times New Roman" w:hAnsi="Times New Roman" w:cs="Times New Roman"/>
          <w:sz w:val="24"/>
          <w:szCs w:val="24"/>
          <w:shd w:val="clear" w:color="auto" w:fill="FFFFFF"/>
        </w:rPr>
        <w:t>Cisbio</w:t>
      </w:r>
      <w:proofErr w:type="spellEnd"/>
      <w:r w:rsidRPr="001139D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Bioassays, </w:t>
      </w:r>
      <w:proofErr w:type="spellStart"/>
      <w:r w:rsidRPr="001139D3">
        <w:rPr>
          <w:rFonts w:ascii="Times New Roman" w:hAnsi="Times New Roman" w:cs="Times New Roman"/>
          <w:sz w:val="24"/>
          <w:szCs w:val="24"/>
          <w:shd w:val="clear" w:color="auto" w:fill="FFFFFF"/>
        </w:rPr>
        <w:t>Codolet</w:t>
      </w:r>
      <w:proofErr w:type="spellEnd"/>
      <w:r w:rsidRPr="001139D3">
        <w:rPr>
          <w:rFonts w:ascii="Times New Roman" w:hAnsi="Times New Roman" w:cs="Times New Roman"/>
          <w:sz w:val="24"/>
          <w:szCs w:val="24"/>
          <w:shd w:val="clear" w:color="auto" w:fill="FFFFFF"/>
        </w:rPr>
        <w:t>/France</w:t>
      </w:r>
      <w:r w:rsidRPr="001139D3">
        <w:rPr>
          <w:rFonts w:ascii="Times New Roman" w:hAnsi="Times New Roman" w:cs="Times New Roman"/>
          <w:sz w:val="24"/>
          <w:szCs w:val="24"/>
        </w:rPr>
        <w:t>). The intra</w:t>
      </w:r>
      <w:r w:rsidRPr="001139D3">
        <w:rPr>
          <w:rFonts w:ascii="Times New Roman" w:hAnsi="Times New Roman" w:cs="Times New Roman"/>
          <w:sz w:val="24"/>
          <w:szCs w:val="24"/>
          <w:rtl/>
          <w:cs/>
        </w:rPr>
        <w:t>-</w:t>
      </w:r>
      <w:r w:rsidRPr="001139D3">
        <w:rPr>
          <w:rFonts w:ascii="Times New Roman" w:hAnsi="Times New Roman" w:cs="Times New Roman"/>
          <w:sz w:val="24"/>
          <w:szCs w:val="24"/>
        </w:rPr>
        <w:t>assay CV were 10.3-15.5</w:t>
      </w:r>
      <w:r w:rsidRPr="001139D3">
        <w:rPr>
          <w:rFonts w:ascii="Times New Roman" w:hAnsi="Times New Roman" w:cs="Times New Roman"/>
          <w:sz w:val="24"/>
          <w:szCs w:val="24"/>
          <w:rtl/>
          <w:cs/>
        </w:rPr>
        <w:t xml:space="preserve">% </w:t>
      </w:r>
      <w:r w:rsidRPr="001139D3">
        <w:rPr>
          <w:rFonts w:ascii="Times New Roman" w:hAnsi="Times New Roman" w:cs="Times New Roman"/>
          <w:sz w:val="24"/>
          <w:szCs w:val="24"/>
        </w:rPr>
        <w:t>during 2011-2014 and were 9.67-9.74% during 2015-2016.</w:t>
      </w:r>
    </w:p>
    <w:p w14:paraId="7E6335F1" w14:textId="77777777" w:rsidR="009E60D6" w:rsidRPr="001139D3" w:rsidRDefault="009E60D6" w:rsidP="007D7F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3B59FB" w14:textId="2AF11945" w:rsidR="007D7FCD" w:rsidRPr="001139D3" w:rsidRDefault="007D7FCD" w:rsidP="007D7F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139D3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References</w:t>
      </w:r>
    </w:p>
    <w:p w14:paraId="701F8CC2" w14:textId="77777777" w:rsidR="001139D3" w:rsidRPr="001139D3" w:rsidRDefault="007D7FCD" w:rsidP="001139D3">
      <w:pPr>
        <w:pStyle w:val="Bibliography"/>
        <w:rPr>
          <w:rFonts w:ascii="Times New Roman" w:hAnsi="Times New Roman" w:cs="Times New Roman"/>
          <w:sz w:val="24"/>
          <w:szCs w:val="24"/>
        </w:rPr>
      </w:pPr>
      <w:r w:rsidRPr="001139D3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="001139D3" w:rsidRPr="001139D3">
        <w:rPr>
          <w:rFonts w:ascii="Times New Roman" w:hAnsi="Times New Roman" w:cs="Times New Roman"/>
          <w:b/>
          <w:bCs/>
          <w:sz w:val="24"/>
          <w:szCs w:val="24"/>
        </w:rPr>
        <w:instrText xml:space="preserve"> ADDIN ZOTERO_BIBL {"uncited":[],"omitted":[],"custom":[]} CSL_BIBLIOGRAPHY </w:instrText>
      </w:r>
      <w:r w:rsidRPr="001139D3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="001139D3" w:rsidRPr="001139D3">
        <w:rPr>
          <w:rFonts w:ascii="Times New Roman" w:hAnsi="Times New Roman" w:cs="Times New Roman"/>
          <w:sz w:val="24"/>
          <w:szCs w:val="24"/>
        </w:rPr>
        <w:t xml:space="preserve">1. </w:t>
      </w:r>
      <w:r w:rsidR="001139D3" w:rsidRPr="001139D3">
        <w:rPr>
          <w:rFonts w:ascii="Times New Roman" w:hAnsi="Times New Roman" w:cs="Times New Roman"/>
          <w:sz w:val="24"/>
          <w:szCs w:val="24"/>
        </w:rPr>
        <w:tab/>
        <w:t xml:space="preserve">Kem DC, Weinberger MH, Mayes DM, Nugent CA. Saline suppression of plasma aldosterone in hypertension. Arch Intern Med. 1971 Sep;128(3):380–6. </w:t>
      </w:r>
    </w:p>
    <w:p w14:paraId="0567F101" w14:textId="77777777" w:rsidR="001139D3" w:rsidRPr="001139D3" w:rsidRDefault="001139D3" w:rsidP="001139D3">
      <w:pPr>
        <w:pStyle w:val="Bibliography"/>
        <w:rPr>
          <w:rFonts w:ascii="Times New Roman" w:hAnsi="Times New Roman" w:cs="Times New Roman"/>
          <w:sz w:val="24"/>
          <w:szCs w:val="24"/>
        </w:rPr>
      </w:pPr>
      <w:r w:rsidRPr="001139D3">
        <w:rPr>
          <w:rFonts w:ascii="Times New Roman" w:hAnsi="Times New Roman" w:cs="Times New Roman"/>
          <w:sz w:val="24"/>
          <w:szCs w:val="24"/>
        </w:rPr>
        <w:t xml:space="preserve">2. </w:t>
      </w:r>
      <w:r w:rsidRPr="001139D3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1139D3">
        <w:rPr>
          <w:rFonts w:ascii="Times New Roman" w:hAnsi="Times New Roman" w:cs="Times New Roman"/>
          <w:sz w:val="24"/>
          <w:szCs w:val="24"/>
        </w:rPr>
        <w:t>Mulatero</w:t>
      </w:r>
      <w:proofErr w:type="spellEnd"/>
      <w:r w:rsidRPr="001139D3">
        <w:rPr>
          <w:rFonts w:ascii="Times New Roman" w:hAnsi="Times New Roman" w:cs="Times New Roman"/>
          <w:sz w:val="24"/>
          <w:szCs w:val="24"/>
        </w:rPr>
        <w:t xml:space="preserve"> P, Milan A, </w:t>
      </w:r>
      <w:proofErr w:type="spellStart"/>
      <w:r w:rsidRPr="001139D3">
        <w:rPr>
          <w:rFonts w:ascii="Times New Roman" w:hAnsi="Times New Roman" w:cs="Times New Roman"/>
          <w:sz w:val="24"/>
          <w:szCs w:val="24"/>
        </w:rPr>
        <w:t>Fallo</w:t>
      </w:r>
      <w:proofErr w:type="spellEnd"/>
      <w:r w:rsidRPr="001139D3">
        <w:rPr>
          <w:rFonts w:ascii="Times New Roman" w:hAnsi="Times New Roman" w:cs="Times New Roman"/>
          <w:sz w:val="24"/>
          <w:szCs w:val="24"/>
        </w:rPr>
        <w:t xml:space="preserve"> F, </w:t>
      </w:r>
      <w:proofErr w:type="spellStart"/>
      <w:r w:rsidRPr="001139D3">
        <w:rPr>
          <w:rFonts w:ascii="Times New Roman" w:hAnsi="Times New Roman" w:cs="Times New Roman"/>
          <w:sz w:val="24"/>
          <w:szCs w:val="24"/>
        </w:rPr>
        <w:t>Regolisti</w:t>
      </w:r>
      <w:proofErr w:type="spellEnd"/>
      <w:r w:rsidRPr="001139D3">
        <w:rPr>
          <w:rFonts w:ascii="Times New Roman" w:hAnsi="Times New Roman" w:cs="Times New Roman"/>
          <w:sz w:val="24"/>
          <w:szCs w:val="24"/>
        </w:rPr>
        <w:t xml:space="preserve"> G, </w:t>
      </w:r>
      <w:proofErr w:type="spellStart"/>
      <w:r w:rsidRPr="001139D3">
        <w:rPr>
          <w:rFonts w:ascii="Times New Roman" w:hAnsi="Times New Roman" w:cs="Times New Roman"/>
          <w:sz w:val="24"/>
          <w:szCs w:val="24"/>
        </w:rPr>
        <w:t>Pizzolo</w:t>
      </w:r>
      <w:proofErr w:type="spellEnd"/>
      <w:r w:rsidRPr="001139D3">
        <w:rPr>
          <w:rFonts w:ascii="Times New Roman" w:hAnsi="Times New Roman" w:cs="Times New Roman"/>
          <w:sz w:val="24"/>
          <w:szCs w:val="24"/>
        </w:rPr>
        <w:t xml:space="preserve"> F, </w:t>
      </w:r>
      <w:proofErr w:type="spellStart"/>
      <w:r w:rsidRPr="001139D3">
        <w:rPr>
          <w:rFonts w:ascii="Times New Roman" w:hAnsi="Times New Roman" w:cs="Times New Roman"/>
          <w:sz w:val="24"/>
          <w:szCs w:val="24"/>
        </w:rPr>
        <w:t>Fardella</w:t>
      </w:r>
      <w:proofErr w:type="spellEnd"/>
      <w:r w:rsidRPr="001139D3">
        <w:rPr>
          <w:rFonts w:ascii="Times New Roman" w:hAnsi="Times New Roman" w:cs="Times New Roman"/>
          <w:sz w:val="24"/>
          <w:szCs w:val="24"/>
        </w:rPr>
        <w:t xml:space="preserve"> C, et al. Comparison of confirmatory tests for the diagnosis of primary aldosteronism. J Clin Endocrinol </w:t>
      </w:r>
      <w:proofErr w:type="spellStart"/>
      <w:r w:rsidRPr="001139D3">
        <w:rPr>
          <w:rFonts w:ascii="Times New Roman" w:hAnsi="Times New Roman" w:cs="Times New Roman"/>
          <w:sz w:val="24"/>
          <w:szCs w:val="24"/>
        </w:rPr>
        <w:t>Metab</w:t>
      </w:r>
      <w:proofErr w:type="spellEnd"/>
      <w:r w:rsidRPr="001139D3">
        <w:rPr>
          <w:rFonts w:ascii="Times New Roman" w:hAnsi="Times New Roman" w:cs="Times New Roman"/>
          <w:sz w:val="24"/>
          <w:szCs w:val="24"/>
        </w:rPr>
        <w:t xml:space="preserve">. 2006 Jul;91(7):2618–23. </w:t>
      </w:r>
    </w:p>
    <w:p w14:paraId="09CA0B06" w14:textId="2403FBD8" w:rsidR="007D7FCD" w:rsidRPr="009822A7" w:rsidRDefault="007D7FCD" w:rsidP="007D7FC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139D3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</w:p>
    <w:p w14:paraId="271599EE" w14:textId="77777777" w:rsidR="007D7FCD" w:rsidRDefault="007D7FCD" w:rsidP="007D7FCD">
      <w:pPr>
        <w:spacing w:line="480" w:lineRule="auto"/>
        <w:rPr>
          <w:rFonts w:ascii="Times New Roman" w:hAnsi="Times New Roman" w:cs="Times New Roman"/>
          <w:sz w:val="24"/>
          <w:szCs w:val="24"/>
          <w:lang w:val="en-GB" w:eastAsia="en-GB" w:bidi="ar-SA"/>
        </w:rPr>
      </w:pPr>
    </w:p>
    <w:p w14:paraId="02BF1482" w14:textId="77777777" w:rsidR="007D7FCD" w:rsidRDefault="007D7FCD" w:rsidP="007D7FCD">
      <w:pPr>
        <w:spacing w:line="480" w:lineRule="auto"/>
        <w:rPr>
          <w:rFonts w:ascii="Times New Roman" w:hAnsi="Times New Roman" w:cs="Times New Roman"/>
          <w:sz w:val="24"/>
          <w:szCs w:val="24"/>
          <w:lang w:val="en-GB" w:eastAsia="en-GB" w:bidi="ar-SA"/>
        </w:rPr>
      </w:pPr>
    </w:p>
    <w:p w14:paraId="27B74BA8" w14:textId="77777777" w:rsidR="007D7FCD" w:rsidRDefault="007D7FCD" w:rsidP="00823F95">
      <w:pPr>
        <w:rPr>
          <w:rFonts w:ascii="Times New Roman" w:hAnsi="Times New Roman"/>
          <w:sz w:val="24"/>
          <w:szCs w:val="24"/>
        </w:rPr>
      </w:pPr>
    </w:p>
    <w:p w14:paraId="43E1B54A" w14:textId="77777777" w:rsidR="00823F95" w:rsidRDefault="00823F95" w:rsidP="00823F95">
      <w:pPr>
        <w:rPr>
          <w:rFonts w:ascii="Times New Roman" w:hAnsi="Times New Roman"/>
          <w:sz w:val="24"/>
          <w:szCs w:val="24"/>
        </w:rPr>
      </w:pPr>
    </w:p>
    <w:p w14:paraId="44F4BB63" w14:textId="77777777" w:rsidR="00823F95" w:rsidRDefault="00823F95" w:rsidP="00823F95">
      <w:pPr>
        <w:rPr>
          <w:rFonts w:ascii="Times New Roman" w:hAnsi="Times New Roman"/>
          <w:sz w:val="24"/>
          <w:szCs w:val="24"/>
        </w:rPr>
      </w:pPr>
    </w:p>
    <w:p w14:paraId="7BC5A731" w14:textId="77777777" w:rsidR="00823F95" w:rsidRDefault="00823F95" w:rsidP="00823F95"/>
    <w:p w14:paraId="513FB3F1" w14:textId="77777777" w:rsidR="00994EC8" w:rsidRDefault="00994EC8"/>
    <w:sectPr w:rsidR="00994E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trackRevisions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23F95"/>
    <w:rsid w:val="000421E3"/>
    <w:rsid w:val="000927C0"/>
    <w:rsid w:val="001139D3"/>
    <w:rsid w:val="003D0D51"/>
    <w:rsid w:val="0040729E"/>
    <w:rsid w:val="00411D3A"/>
    <w:rsid w:val="005B0D64"/>
    <w:rsid w:val="007A38D5"/>
    <w:rsid w:val="007D7FCD"/>
    <w:rsid w:val="007E3C94"/>
    <w:rsid w:val="00823F95"/>
    <w:rsid w:val="00994EC8"/>
    <w:rsid w:val="009E60D6"/>
    <w:rsid w:val="00B80964"/>
    <w:rsid w:val="00D96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B9BCFB"/>
  <w15:chartTrackingRefBased/>
  <w15:docId w15:val="{C376F7AD-D5EB-4A4E-A6FD-AC0F35DA3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F95"/>
  </w:style>
  <w:style w:type="paragraph" w:styleId="Heading1">
    <w:name w:val="heading 1"/>
    <w:basedOn w:val="Normal"/>
    <w:next w:val="Normal"/>
    <w:link w:val="Heading1Char"/>
    <w:uiPriority w:val="9"/>
    <w:qFormat/>
    <w:rsid w:val="00823F9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3F95"/>
    <w:rPr>
      <w:rFonts w:asciiTheme="majorHAnsi" w:eastAsiaTheme="majorEastAsia" w:hAnsiTheme="majorHAnsi" w:cstheme="majorBidi"/>
      <w:color w:val="2F5496" w:themeColor="accent1" w:themeShade="BF"/>
      <w:sz w:val="32"/>
      <w:szCs w:val="40"/>
    </w:rPr>
  </w:style>
  <w:style w:type="table" w:styleId="TableGrid">
    <w:name w:val="Table Grid"/>
    <w:basedOn w:val="TableNormal"/>
    <w:uiPriority w:val="39"/>
    <w:rsid w:val="00823F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23F95"/>
    <w:pPr>
      <w:spacing w:after="0" w:line="240" w:lineRule="auto"/>
    </w:pPr>
    <w:rPr>
      <w:rFonts w:ascii="Segoe UI" w:hAnsi="Segoe UI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3F95"/>
    <w:rPr>
      <w:rFonts w:ascii="Segoe UI" w:hAnsi="Segoe UI" w:cs="Angsana New"/>
      <w:sz w:val="18"/>
      <w:szCs w:val="22"/>
    </w:rPr>
  </w:style>
  <w:style w:type="paragraph" w:styleId="Bibliography">
    <w:name w:val="Bibliography"/>
    <w:basedOn w:val="Normal"/>
    <w:next w:val="Normal"/>
    <w:uiPriority w:val="37"/>
    <w:unhideWhenUsed/>
    <w:rsid w:val="007D7FCD"/>
    <w:pPr>
      <w:tabs>
        <w:tab w:val="left" w:pos="384"/>
      </w:tabs>
      <w:spacing w:after="240" w:line="240" w:lineRule="auto"/>
      <w:ind w:left="384" w:hanging="384"/>
    </w:pPr>
  </w:style>
  <w:style w:type="paragraph" w:styleId="Caption">
    <w:name w:val="caption"/>
    <w:basedOn w:val="Normal"/>
    <w:next w:val="Normal"/>
    <w:uiPriority w:val="1"/>
    <w:unhideWhenUsed/>
    <w:qFormat/>
    <w:rsid w:val="007D7FCD"/>
    <w:pPr>
      <w:spacing w:after="200" w:line="240" w:lineRule="auto"/>
    </w:pPr>
    <w:rPr>
      <w:i/>
      <w:iCs/>
      <w:color w:val="44546A" w:themeColor="text2"/>
      <w:sz w:val="18"/>
      <w:szCs w:val="22"/>
    </w:rPr>
  </w:style>
  <w:style w:type="character" w:styleId="Hyperlink">
    <w:name w:val="Hyperlink"/>
    <w:basedOn w:val="DefaultParagraphFont"/>
    <w:uiPriority w:val="99"/>
    <w:unhideWhenUsed/>
    <w:rsid w:val="007E3C94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เอกสาร" ma:contentTypeID="0x010100C8F4FB0699FF7F40BBC09D5E8B2E6476" ma:contentTypeVersion="9" ma:contentTypeDescription="สร้างเอกสารใหม่" ma:contentTypeScope="" ma:versionID="067cc83b73d1be47a14a8c94b6932424">
  <xsd:schema xmlns:xsd="http://www.w3.org/2001/XMLSchema" xmlns:xs="http://www.w3.org/2001/XMLSchema" xmlns:p="http://schemas.microsoft.com/office/2006/metadata/properties" xmlns:ns3="a692f8ec-b246-41b1-a168-b567a28fd802" targetNamespace="http://schemas.microsoft.com/office/2006/metadata/properties" ma:root="true" ma:fieldsID="d4c8a5fca3d81fa3554fcdf2fd136574" ns3:_="">
    <xsd:import namespace="a692f8ec-b246-41b1-a168-b567a28fd80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92f8ec-b246-41b1-a168-b567a28fd8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ชนิดเนื้อหา"/>
        <xsd:element ref="dc:title" minOccurs="0" maxOccurs="1" ma:index="4" ma:displayName="ชื่อเรื่อง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33A97E2-2113-4F63-A0E6-BEECA970C8C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AE57D42-7617-494D-A0F5-C61B4DE0616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422A176-6E52-4779-BBB1-9D8B818922D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692f8ec-b246-41b1-a168-b567a28fd8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909</Words>
  <Characters>5184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ONNICHA SUNTORNLOHANAKUL (อรณิชา สุนทรโลหะนะกูล)</dc:creator>
  <cp:keywords/>
  <dc:description/>
  <cp:lastModifiedBy>ONNICHA SUNTORNLOHANAKUL</cp:lastModifiedBy>
  <cp:revision>5</cp:revision>
  <dcterms:created xsi:type="dcterms:W3CDTF">2020-12-29T13:01:00Z</dcterms:created>
  <dcterms:modified xsi:type="dcterms:W3CDTF">2021-01-12T13:54:00Z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0x010100C8F4FB0699FF7F40BBC09D5E8B2E6476</vt:lpwstr>
  </property>
  <property fmtid="{D5CDD505-2E9C-101B-9397-08002B2CF9AE}" pid="3" name="ZOTERO_PREF_1">
    <vt:lpwstr>&lt;data data-version="3" zotero-version="5.0.94"&gt;&lt;session id="nZNVcGSw"/&gt;&lt;style id="http://www.zotero.org/styles/vancouver" locale="en-US" hasBibliography="1" bibliographyStyleHasBeenSet="1"/&gt;&lt;prefs&gt;&lt;pref name="fieldType" value="Field"/&gt;&lt;/prefs&gt;&lt;/data&gt;</vt:lpwstr>
  </property>
</Properties>
</file>