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B00E72" w14:textId="77777777" w:rsidR="003717D8" w:rsidRDefault="00000000">
      <w:pPr>
        <w:spacing w:line="480" w:lineRule="auto"/>
        <w:jc w:val="center"/>
        <w:rPr>
          <w:b/>
          <w:bCs/>
          <w:sz w:val="28"/>
          <w:szCs w:val="24"/>
        </w:rPr>
      </w:pPr>
      <w:r>
        <w:rPr>
          <w:b/>
          <w:bCs/>
          <w:sz w:val="28"/>
          <w:szCs w:val="24"/>
        </w:rPr>
        <w:t>Supporting</w:t>
      </w:r>
      <w:r>
        <w:rPr>
          <w:rFonts w:hint="eastAsia"/>
          <w:b/>
          <w:bCs/>
          <w:sz w:val="28"/>
          <w:szCs w:val="24"/>
        </w:rPr>
        <w:t xml:space="preserve"> information</w:t>
      </w:r>
    </w:p>
    <w:p w14:paraId="30270FD2" w14:textId="64AA28D3" w:rsidR="003717D8" w:rsidRPr="00DF4697" w:rsidRDefault="00000000">
      <w:pPr>
        <w:rPr>
          <w:rFonts w:eastAsia="等线"/>
          <w:b/>
        </w:rPr>
      </w:pPr>
      <w:r w:rsidRPr="00DF4697">
        <w:rPr>
          <w:rFonts w:eastAsia="等线" w:hint="eastAsia"/>
          <w:b/>
        </w:rPr>
        <w:t xml:space="preserve">Unveiling the </w:t>
      </w:r>
      <w:r w:rsidRPr="00DF4697">
        <w:rPr>
          <w:rFonts w:eastAsia="等线"/>
          <w:b/>
        </w:rPr>
        <w:t xml:space="preserve">Ferroelectric </w:t>
      </w:r>
      <w:r w:rsidRPr="00DF4697">
        <w:rPr>
          <w:rFonts w:eastAsia="等线" w:hint="eastAsia"/>
          <w:b/>
        </w:rPr>
        <w:t>Competition and Transition Mechanism</w:t>
      </w:r>
      <w:r w:rsidR="00DF4697">
        <w:rPr>
          <w:rFonts w:eastAsia="等线" w:hint="eastAsia"/>
          <w:b/>
        </w:rPr>
        <w:t>s</w:t>
      </w:r>
      <w:r w:rsidRPr="00DF4697">
        <w:rPr>
          <w:rFonts w:eastAsia="等线" w:hint="eastAsia"/>
          <w:b/>
        </w:rPr>
        <w:t xml:space="preserve"> </w:t>
      </w:r>
      <w:r w:rsidRPr="00DF4697">
        <w:rPr>
          <w:rFonts w:eastAsia="等线"/>
          <w:b/>
        </w:rPr>
        <w:t>in Hybrid</w:t>
      </w:r>
      <w:r w:rsidRPr="00DF4697">
        <w:rPr>
          <w:rFonts w:eastAsia="等线" w:hint="eastAsia"/>
          <w:b/>
        </w:rPr>
        <w:t xml:space="preserve"> </w:t>
      </w:r>
      <w:r w:rsidR="00DF4697">
        <w:rPr>
          <w:rFonts w:eastAsia="等线"/>
          <w:b/>
        </w:rPr>
        <w:t>Organic-inorganic</w:t>
      </w:r>
      <w:r w:rsidRPr="00DF4697">
        <w:rPr>
          <w:rFonts w:eastAsia="等线" w:hint="eastAsia"/>
          <w:b/>
        </w:rPr>
        <w:t xml:space="preserve"> </w:t>
      </w:r>
      <w:r w:rsidRPr="00DF4697">
        <w:rPr>
          <w:rFonts w:eastAsia="等线"/>
          <w:b/>
        </w:rPr>
        <w:t>Perovskite Heterojunction</w:t>
      </w:r>
    </w:p>
    <w:p w14:paraId="6596AE0C" w14:textId="77777777" w:rsidR="003717D8" w:rsidRDefault="00000000">
      <w:pPr>
        <w:spacing w:line="480" w:lineRule="auto"/>
        <w:jc w:val="center"/>
        <w:rPr>
          <w:rFonts w:eastAsia="等线"/>
        </w:rPr>
      </w:pPr>
      <w:r>
        <w:rPr>
          <w:rFonts w:eastAsia="等线"/>
        </w:rPr>
        <w:t>Enlong Li</w:t>
      </w:r>
      <w:r>
        <w:rPr>
          <w:rFonts w:eastAsia="等线" w:hint="eastAsia"/>
          <w:vertAlign w:val="superscript"/>
        </w:rPr>
        <w:t>1,2</w:t>
      </w:r>
      <w:r>
        <w:rPr>
          <w:rFonts w:eastAsia="等线"/>
        </w:rPr>
        <w:t xml:space="preserve">, </w:t>
      </w:r>
      <w:r>
        <w:rPr>
          <w:rFonts w:eastAsia="等线" w:hint="eastAsia"/>
        </w:rPr>
        <w:t>Weixin</w:t>
      </w:r>
      <w:r>
        <w:rPr>
          <w:rFonts w:eastAsia="等线"/>
        </w:rPr>
        <w:t xml:space="preserve"> </w:t>
      </w:r>
      <w:r>
        <w:rPr>
          <w:rFonts w:eastAsia="等线" w:hint="eastAsia"/>
        </w:rPr>
        <w:t>He</w:t>
      </w:r>
      <w:r>
        <w:rPr>
          <w:rFonts w:eastAsia="等线" w:hint="eastAsia"/>
          <w:vertAlign w:val="superscript"/>
        </w:rPr>
        <w:t>3,4</w:t>
      </w:r>
      <w:r>
        <w:rPr>
          <w:rFonts w:eastAsia="等线"/>
        </w:rPr>
        <w:t xml:space="preserve">, </w:t>
      </w:r>
      <w:r>
        <w:rPr>
          <w:rFonts w:eastAsia="等线" w:hint="eastAsia"/>
        </w:rPr>
        <w:t>Ruixue Wang</w:t>
      </w:r>
      <w:r>
        <w:rPr>
          <w:rFonts w:eastAsia="等线" w:hint="eastAsia"/>
          <w:vertAlign w:val="superscript"/>
        </w:rPr>
        <w:t>1,5</w:t>
      </w:r>
      <w:r>
        <w:rPr>
          <w:rFonts w:eastAsia="等线"/>
        </w:rPr>
        <w:t xml:space="preserve">, </w:t>
      </w:r>
      <w:r>
        <w:rPr>
          <w:rFonts w:eastAsia="等线" w:hint="eastAsia"/>
        </w:rPr>
        <w:t>Chi Zhang</w:t>
      </w:r>
      <w:r>
        <w:rPr>
          <w:rFonts w:eastAsia="等线" w:hint="eastAsia"/>
          <w:vertAlign w:val="superscript"/>
        </w:rPr>
        <w:t>1</w:t>
      </w:r>
      <w:r>
        <w:rPr>
          <w:rFonts w:eastAsia="等线"/>
        </w:rPr>
        <w:t xml:space="preserve">, </w:t>
      </w:r>
      <w:r>
        <w:rPr>
          <w:rFonts w:eastAsia="等线" w:hint="eastAsia"/>
        </w:rPr>
        <w:t>Hongmiao Zhou</w:t>
      </w:r>
      <w:r>
        <w:rPr>
          <w:rFonts w:eastAsia="等线" w:hint="eastAsia"/>
          <w:vertAlign w:val="superscript"/>
        </w:rPr>
        <w:t>1</w:t>
      </w:r>
      <w:r>
        <w:rPr>
          <w:rFonts w:eastAsia="等线"/>
        </w:rPr>
        <w:t xml:space="preserve">, </w:t>
      </w:r>
      <w:r>
        <w:rPr>
          <w:rFonts w:eastAsia="等线" w:hint="eastAsia"/>
        </w:rPr>
        <w:t>Yu Liu</w:t>
      </w:r>
      <w:r>
        <w:rPr>
          <w:rFonts w:eastAsia="等线" w:hint="eastAsia"/>
          <w:vertAlign w:val="superscript"/>
        </w:rPr>
        <w:t>1</w:t>
      </w:r>
      <w:r>
        <w:rPr>
          <w:rFonts w:eastAsia="等线" w:hint="eastAsia"/>
        </w:rPr>
        <w:t xml:space="preserve">, </w:t>
      </w:r>
      <w:r>
        <w:t>Yijia</w:t>
      </w:r>
      <w:r>
        <w:rPr>
          <w:rFonts w:cs="Times New Roman" w:hint="eastAsia"/>
          <w:sz w:val="22"/>
        </w:rPr>
        <w:t xml:space="preserve"> </w:t>
      </w:r>
      <w:r>
        <w:rPr>
          <w:rFonts w:eastAsia="等线"/>
        </w:rPr>
        <w:t>Yuan</w:t>
      </w:r>
      <w:r>
        <w:rPr>
          <w:rFonts w:eastAsia="等线" w:hint="eastAsia"/>
          <w:vertAlign w:val="superscript"/>
        </w:rPr>
        <w:t>3</w:t>
      </w:r>
      <w:r>
        <w:rPr>
          <w:rFonts w:eastAsia="等线" w:hint="eastAsia"/>
        </w:rPr>
        <w:t xml:space="preserve">, </w:t>
      </w:r>
    </w:p>
    <w:p w14:paraId="609FFC7E" w14:textId="77777777" w:rsidR="003717D8" w:rsidRDefault="00000000">
      <w:pPr>
        <w:spacing w:line="480" w:lineRule="auto"/>
        <w:jc w:val="center"/>
        <w:rPr>
          <w:rFonts w:cs="Times New Roman"/>
          <w:sz w:val="22"/>
        </w:rPr>
      </w:pPr>
      <w:r>
        <w:rPr>
          <w:rFonts w:eastAsia="等线" w:hint="eastAsia"/>
        </w:rPr>
        <w:t xml:space="preserve"> </w:t>
      </w:r>
      <w:r>
        <w:t>Kian Ping</w:t>
      </w:r>
      <w:r>
        <w:rPr>
          <w:rFonts w:cs="Times New Roman" w:hint="eastAsia"/>
          <w:sz w:val="22"/>
        </w:rPr>
        <w:t xml:space="preserve"> </w:t>
      </w:r>
      <w:r>
        <w:t>Loh</w:t>
      </w:r>
      <w:r>
        <w:rPr>
          <w:rFonts w:hint="eastAsia"/>
          <w:vertAlign w:val="superscript"/>
        </w:rPr>
        <w:t>3,6</w:t>
      </w:r>
      <w:r>
        <w:rPr>
          <w:rFonts w:hint="eastAsia"/>
        </w:rPr>
        <w:t>*</w:t>
      </w:r>
      <w:r>
        <w:rPr>
          <w:rFonts w:cs="Times New Roman" w:hint="eastAsia"/>
          <w:sz w:val="22"/>
        </w:rPr>
        <w:t>,</w:t>
      </w:r>
      <w:r>
        <w:rPr>
          <w:rFonts w:eastAsia="等线"/>
        </w:rPr>
        <w:t xml:space="preserve"> </w:t>
      </w:r>
      <w:r>
        <w:rPr>
          <w:rFonts w:eastAsia="等线" w:hint="eastAsia"/>
        </w:rPr>
        <w:t>Junhao Chu</w:t>
      </w:r>
      <w:r>
        <w:rPr>
          <w:rFonts w:eastAsia="等线" w:hint="eastAsia"/>
          <w:vertAlign w:val="superscript"/>
        </w:rPr>
        <w:t>1,2,5</w:t>
      </w:r>
      <w:r>
        <w:rPr>
          <w:rFonts w:eastAsia="等线" w:hint="eastAsia"/>
        </w:rPr>
        <w:t xml:space="preserve">, and </w:t>
      </w:r>
      <w:r>
        <w:rPr>
          <w:rFonts w:eastAsia="等线"/>
        </w:rPr>
        <w:t>Wenwu Li</w:t>
      </w:r>
      <w:r>
        <w:rPr>
          <w:rFonts w:eastAsia="等线" w:hint="eastAsia"/>
          <w:vertAlign w:val="superscript"/>
        </w:rPr>
        <w:t>1,2</w:t>
      </w:r>
      <w:r>
        <w:rPr>
          <w:rFonts w:eastAsia="等线"/>
        </w:rPr>
        <w:t>*</w:t>
      </w:r>
    </w:p>
    <w:p w14:paraId="74A64A75" w14:textId="77777777" w:rsidR="003717D8" w:rsidRDefault="00000000">
      <w:pPr>
        <w:spacing w:line="480" w:lineRule="auto"/>
        <w:rPr>
          <w:rFonts w:eastAsia="等线"/>
        </w:rPr>
      </w:pPr>
      <w:r>
        <w:rPr>
          <w:rFonts w:eastAsia="等线" w:hint="eastAsia"/>
          <w:vertAlign w:val="superscript"/>
        </w:rPr>
        <w:t>1</w:t>
      </w:r>
      <w:r>
        <w:rPr>
          <w:rFonts w:eastAsia="等线"/>
        </w:rPr>
        <w:t>Shanghai Frontiers Science Research Base of Intelligent Optoelectronics and Perception, Institute of Optoelectronics, Department of Materials Science, Fudan University, Shanghai 200433, China</w:t>
      </w:r>
      <w:r>
        <w:rPr>
          <w:rFonts w:eastAsia="等线" w:hint="eastAsia"/>
        </w:rPr>
        <w:t>.</w:t>
      </w:r>
    </w:p>
    <w:p w14:paraId="2A835ECB" w14:textId="77777777" w:rsidR="003717D8" w:rsidRDefault="00000000">
      <w:pPr>
        <w:rPr>
          <w:rFonts w:eastAsia="等线"/>
        </w:rPr>
      </w:pPr>
      <w:r>
        <w:rPr>
          <w:rFonts w:eastAsia="等线" w:hint="eastAsia"/>
          <w:vertAlign w:val="superscript"/>
        </w:rPr>
        <w:t>2</w:t>
      </w:r>
      <w:r>
        <w:rPr>
          <w:rFonts w:eastAsia="等线"/>
        </w:rPr>
        <w:t>State Key Laboratory of Photovoltaic Science and Technology, Fudan University, Shanghai 200433, China</w:t>
      </w:r>
      <w:r>
        <w:rPr>
          <w:rFonts w:eastAsia="等线" w:hint="eastAsia"/>
        </w:rPr>
        <w:t>.</w:t>
      </w:r>
    </w:p>
    <w:p w14:paraId="0CD867FE" w14:textId="77777777" w:rsidR="003717D8" w:rsidRDefault="00000000">
      <w:pPr>
        <w:spacing w:line="480" w:lineRule="auto"/>
        <w:rPr>
          <w:rFonts w:eastAsia="等线"/>
        </w:rPr>
      </w:pPr>
      <w:r>
        <w:rPr>
          <w:rFonts w:eastAsia="等线" w:hint="eastAsia"/>
          <w:vertAlign w:val="superscript"/>
        </w:rPr>
        <w:t>3</w:t>
      </w:r>
      <w:r>
        <w:rPr>
          <w:rFonts w:eastAsia="等线"/>
        </w:rPr>
        <w:t>Department of Chemistry, National University of Singapore, Singapore 117543, Singapore.</w:t>
      </w:r>
    </w:p>
    <w:p w14:paraId="651A315F" w14:textId="77777777" w:rsidR="003717D8" w:rsidRDefault="00000000">
      <w:pPr>
        <w:spacing w:line="480" w:lineRule="auto"/>
        <w:rPr>
          <w:rFonts w:eastAsia="等线"/>
        </w:rPr>
      </w:pPr>
      <w:r>
        <w:rPr>
          <w:rFonts w:eastAsia="等线" w:hint="eastAsia"/>
          <w:vertAlign w:val="superscript"/>
        </w:rPr>
        <w:t>4</w:t>
      </w:r>
      <w:r>
        <w:rPr>
          <w:rFonts w:eastAsia="等线"/>
        </w:rPr>
        <w:t>Department of Physics, National University of Singapore, Singapore117551, Singapore</w:t>
      </w:r>
      <w:r>
        <w:rPr>
          <w:rFonts w:eastAsia="等线" w:hint="eastAsia"/>
        </w:rPr>
        <w:t>.</w:t>
      </w:r>
    </w:p>
    <w:p w14:paraId="38E4E8E5" w14:textId="77777777" w:rsidR="003717D8" w:rsidRDefault="00000000">
      <w:pPr>
        <w:spacing w:line="480" w:lineRule="auto"/>
        <w:rPr>
          <w:rFonts w:eastAsia="等线"/>
        </w:rPr>
      </w:pPr>
      <w:r>
        <w:rPr>
          <w:rFonts w:eastAsia="等线" w:hint="eastAsia"/>
          <w:vertAlign w:val="superscript"/>
        </w:rPr>
        <w:t>5</w:t>
      </w:r>
      <w:r>
        <w:rPr>
          <w:rFonts w:eastAsia="等线" w:hint="eastAsia"/>
        </w:rPr>
        <w:t>Key Laboratory of Polar Materials and Devices, School of Physics and Electronic Science, East China Normal University, Shanghai 200241, China.</w:t>
      </w:r>
    </w:p>
    <w:p w14:paraId="40C77BCC" w14:textId="77777777" w:rsidR="003717D8" w:rsidRDefault="00000000">
      <w:pPr>
        <w:spacing w:line="480" w:lineRule="auto"/>
        <w:rPr>
          <w:rFonts w:eastAsia="等线"/>
        </w:rPr>
      </w:pPr>
      <w:r>
        <w:rPr>
          <w:rFonts w:eastAsia="等线" w:hint="eastAsia"/>
          <w:vertAlign w:val="superscript"/>
        </w:rPr>
        <w:t>6</w:t>
      </w:r>
      <w:r>
        <w:rPr>
          <w:rFonts w:eastAsia="等线"/>
        </w:rPr>
        <w:t>Applied Physics Department, Hong Kong Polytechnic University, Hung Hom, Kowloon, Hong Kong SAR</w:t>
      </w:r>
      <w:r>
        <w:rPr>
          <w:rFonts w:eastAsia="等线" w:hint="eastAsia"/>
        </w:rPr>
        <w:t>.</w:t>
      </w:r>
    </w:p>
    <w:p w14:paraId="3FE51C73" w14:textId="77777777" w:rsidR="003717D8" w:rsidRDefault="00000000">
      <w:pPr>
        <w:spacing w:line="480" w:lineRule="auto"/>
        <w:rPr>
          <w:rFonts w:eastAsia="等线"/>
        </w:rPr>
      </w:pPr>
      <w:r>
        <w:rPr>
          <w:rFonts w:eastAsia="等线"/>
        </w:rPr>
        <w:t xml:space="preserve">Email: </w:t>
      </w:r>
      <w:hyperlink r:id="rId6" w:history="1">
        <w:r>
          <w:rPr>
            <w:rStyle w:val="a7"/>
            <w:rFonts w:eastAsia="等线"/>
          </w:rPr>
          <w:t>chmlohkp@nus.edu.sg</w:t>
        </w:r>
      </w:hyperlink>
      <w:r>
        <w:rPr>
          <w:rFonts w:eastAsia="等线" w:hint="eastAsia"/>
        </w:rPr>
        <w:t xml:space="preserve"> </w:t>
      </w:r>
      <w:r>
        <w:rPr>
          <w:rFonts w:eastAsia="等线"/>
        </w:rPr>
        <w:t xml:space="preserve">and </w:t>
      </w:r>
      <w:hyperlink r:id="rId7" w:history="1">
        <w:r>
          <w:rPr>
            <w:rStyle w:val="a7"/>
            <w:rFonts w:eastAsia="等线"/>
          </w:rPr>
          <w:t>liwenwu@fudan.edu.cn</w:t>
        </w:r>
      </w:hyperlink>
      <w:r>
        <w:rPr>
          <w:rFonts w:eastAsia="等线" w:hint="eastAsia"/>
        </w:rPr>
        <w:t xml:space="preserve"> </w:t>
      </w:r>
      <w:r>
        <w:rPr>
          <w:rFonts w:eastAsia="等线"/>
        </w:rPr>
        <w:t xml:space="preserve"> </w:t>
      </w:r>
    </w:p>
    <w:p w14:paraId="53812B5D" w14:textId="77777777" w:rsidR="003717D8" w:rsidRDefault="00000000">
      <w:pPr>
        <w:spacing w:line="480" w:lineRule="auto"/>
        <w:rPr>
          <w:rFonts w:eastAsia="等线" w:cs="宋体"/>
          <w:lang w:bidi="ar"/>
        </w:rPr>
        <w:sectPr w:rsidR="003717D8">
          <w:footerReference w:type="default" r:id="rId8"/>
          <w:pgSz w:w="11906" w:h="16838"/>
          <w:pgMar w:top="1440" w:right="1080" w:bottom="1440" w:left="1080" w:header="851" w:footer="992" w:gutter="0"/>
          <w:cols w:space="425"/>
          <w:docGrid w:type="lines" w:linePitch="312"/>
        </w:sectPr>
      </w:pPr>
      <w:r>
        <w:rPr>
          <w:rFonts w:eastAsia="等线" w:cs="宋体"/>
          <w:lang w:bidi="ar"/>
        </w:rPr>
        <w:t xml:space="preserve"> </w:t>
      </w:r>
    </w:p>
    <w:p w14:paraId="1D69627C" w14:textId="77777777" w:rsidR="003717D8" w:rsidRDefault="00000000">
      <w:pPr>
        <w:jc w:val="center"/>
        <w:rPr>
          <w:b/>
          <w:bCs/>
        </w:rPr>
      </w:pPr>
      <w:r>
        <w:rPr>
          <w:rFonts w:hint="eastAsia"/>
          <w:b/>
          <w:bCs/>
        </w:rPr>
        <w:lastRenderedPageBreak/>
        <w:t>Contents</w:t>
      </w:r>
    </w:p>
    <w:p w14:paraId="6EF3DE66" w14:textId="77777777" w:rsidR="003717D8" w:rsidRDefault="00000000">
      <w:pPr>
        <w:spacing w:line="312" w:lineRule="auto"/>
      </w:pPr>
      <w:r>
        <w:rPr>
          <w:b/>
          <w:bCs/>
        </w:rPr>
        <w:t>S</w:t>
      </w:r>
      <w:r>
        <w:rPr>
          <w:rFonts w:hint="eastAsia"/>
          <w:b/>
          <w:bCs/>
        </w:rPr>
        <w:t>upplementary</w:t>
      </w:r>
      <w:r>
        <w:rPr>
          <w:b/>
          <w:bCs/>
        </w:rPr>
        <w:t xml:space="preserve"> Note </w:t>
      </w:r>
      <w:r>
        <w:rPr>
          <w:rFonts w:eastAsia="宋体" w:hint="eastAsia"/>
          <w:b/>
          <w:bCs/>
        </w:rPr>
        <w:t>1</w:t>
      </w:r>
      <w:r>
        <w:rPr>
          <w:rFonts w:hint="eastAsia"/>
          <w:b/>
          <w:bCs/>
        </w:rPr>
        <w:t xml:space="preserve">: </w:t>
      </w:r>
      <w:r>
        <w:rPr>
          <w:rFonts w:hint="eastAsia"/>
        </w:rPr>
        <w:t xml:space="preserve">The </w:t>
      </w:r>
      <w:r>
        <w:t>TCAD simulation</w:t>
      </w:r>
      <w:r>
        <w:rPr>
          <w:rFonts w:hint="eastAsia"/>
        </w:rPr>
        <w:t xml:space="preserve"> of ferroelectric field effect transistor.</w:t>
      </w:r>
    </w:p>
    <w:p w14:paraId="1CA7E778" w14:textId="77777777" w:rsidR="003717D8" w:rsidRDefault="00000000">
      <w:pPr>
        <w:spacing w:line="312" w:lineRule="auto"/>
      </w:pPr>
      <w:r>
        <w:rPr>
          <w:b/>
          <w:bCs/>
        </w:rPr>
        <w:t>S</w:t>
      </w:r>
      <w:r>
        <w:rPr>
          <w:rFonts w:hint="eastAsia"/>
          <w:b/>
          <w:bCs/>
        </w:rPr>
        <w:t>upplementary T</w:t>
      </w:r>
      <w:r>
        <w:rPr>
          <w:b/>
          <w:bCs/>
        </w:rPr>
        <w:t xml:space="preserve">able </w:t>
      </w:r>
      <w:r>
        <w:rPr>
          <w:rFonts w:eastAsia="宋体" w:hint="eastAsia"/>
          <w:b/>
          <w:bCs/>
        </w:rPr>
        <w:t>1</w:t>
      </w:r>
      <w:r>
        <w:rPr>
          <w:b/>
          <w:bCs/>
        </w:rPr>
        <w:t xml:space="preserve"> </w:t>
      </w:r>
      <w:r>
        <w:t>The parameters used in the TCAD simulation</w:t>
      </w:r>
      <w:r>
        <w:rPr>
          <w:rFonts w:hint="eastAsia"/>
        </w:rPr>
        <w:t>.</w:t>
      </w:r>
    </w:p>
    <w:p w14:paraId="7067962C" w14:textId="77777777" w:rsidR="003717D8" w:rsidRDefault="00000000">
      <w:pPr>
        <w:spacing w:line="312" w:lineRule="auto"/>
      </w:pPr>
      <w:r>
        <w:rPr>
          <w:b/>
          <w:bCs/>
        </w:rPr>
        <w:t>S</w:t>
      </w:r>
      <w:r>
        <w:rPr>
          <w:rFonts w:hint="eastAsia"/>
          <w:b/>
          <w:bCs/>
        </w:rPr>
        <w:t>upplementary</w:t>
      </w:r>
      <w:r>
        <w:rPr>
          <w:b/>
          <w:bCs/>
        </w:rPr>
        <w:t xml:space="preserve"> Note </w:t>
      </w:r>
      <w:r>
        <w:rPr>
          <w:rFonts w:eastAsia="宋体" w:hint="eastAsia"/>
          <w:b/>
          <w:bCs/>
        </w:rPr>
        <w:t>2</w:t>
      </w:r>
      <w:r>
        <w:rPr>
          <w:rFonts w:hint="eastAsia"/>
          <w:b/>
          <w:bCs/>
        </w:rPr>
        <w:t xml:space="preserve">: </w:t>
      </w:r>
      <w:r>
        <w:rPr>
          <w:rFonts w:hint="eastAsia"/>
        </w:rPr>
        <w:t>The Density function theory (DFT) calculations of ferroelectric materials.</w:t>
      </w:r>
    </w:p>
    <w:p w14:paraId="50F8FCEF" w14:textId="77777777" w:rsidR="003717D8" w:rsidRDefault="00000000">
      <w:r>
        <w:rPr>
          <w:b/>
          <w:bCs/>
        </w:rPr>
        <w:t>S</w:t>
      </w:r>
      <w:r>
        <w:rPr>
          <w:rFonts w:hint="eastAsia"/>
          <w:b/>
          <w:bCs/>
        </w:rPr>
        <w:t>upplementary</w:t>
      </w:r>
      <w:r>
        <w:rPr>
          <w:b/>
          <w:bCs/>
        </w:rPr>
        <w:t xml:space="preserve"> Note </w:t>
      </w:r>
      <w:r>
        <w:rPr>
          <w:rFonts w:hint="eastAsia"/>
          <w:b/>
          <w:bCs/>
        </w:rPr>
        <w:t xml:space="preserve">3: </w:t>
      </w:r>
      <w:r>
        <w:rPr>
          <w:rFonts w:hint="eastAsia"/>
        </w:rPr>
        <w:t>T</w:t>
      </w:r>
      <w:r>
        <w:rPr>
          <w:rFonts w:eastAsia="宋体" w:hint="eastAsia"/>
        </w:rPr>
        <w:t>he synthesis of HOIPF</w:t>
      </w:r>
    </w:p>
    <w:p w14:paraId="7B0C4CD7" w14:textId="77777777" w:rsidR="003717D8" w:rsidRDefault="00000000">
      <w:pPr>
        <w:spacing w:line="312" w:lineRule="auto"/>
      </w:pPr>
      <w:r>
        <w:rPr>
          <w:b/>
          <w:bCs/>
        </w:rPr>
        <w:t>S</w:t>
      </w:r>
      <w:r>
        <w:rPr>
          <w:rFonts w:hint="eastAsia"/>
          <w:b/>
          <w:bCs/>
        </w:rPr>
        <w:t>upplementary</w:t>
      </w:r>
      <w:r>
        <w:rPr>
          <w:b/>
          <w:bCs/>
        </w:rPr>
        <w:t xml:space="preserve"> Fig.1. </w:t>
      </w:r>
      <w:r>
        <w:rPr>
          <w:rFonts w:hint="eastAsia"/>
        </w:rPr>
        <w:t>The transfer curves of TCAD simulation MoS</w:t>
      </w:r>
      <w:r>
        <w:rPr>
          <w:rFonts w:hint="eastAsia"/>
          <w:vertAlign w:val="subscript"/>
        </w:rPr>
        <w:t>2</w:t>
      </w:r>
      <w:r>
        <w:rPr>
          <w:rFonts w:hint="eastAsia"/>
        </w:rPr>
        <w:t xml:space="preserve"> 2DFHT as a function of defect concentration.</w:t>
      </w:r>
    </w:p>
    <w:p w14:paraId="21ECC327" w14:textId="77777777" w:rsidR="003717D8" w:rsidRDefault="00000000">
      <w:pPr>
        <w:spacing w:line="312" w:lineRule="auto"/>
      </w:pPr>
      <w:r>
        <w:rPr>
          <w:b/>
          <w:bCs/>
        </w:rPr>
        <w:t>S</w:t>
      </w:r>
      <w:r>
        <w:rPr>
          <w:rFonts w:hint="eastAsia"/>
          <w:b/>
          <w:bCs/>
        </w:rPr>
        <w:t>upplementary</w:t>
      </w:r>
      <w:r>
        <w:rPr>
          <w:b/>
          <w:bCs/>
        </w:rPr>
        <w:t xml:space="preserve"> Fig.</w:t>
      </w:r>
      <w:r>
        <w:rPr>
          <w:rFonts w:hint="eastAsia"/>
          <w:b/>
          <w:bCs/>
        </w:rPr>
        <w:t>2</w:t>
      </w:r>
      <w:r>
        <w:rPr>
          <w:b/>
          <w:bCs/>
        </w:rPr>
        <w:t xml:space="preserve">. </w:t>
      </w:r>
      <w:r>
        <w:rPr>
          <w:rFonts w:hint="eastAsia"/>
        </w:rPr>
        <w:t>The transfer curves of TCAD simulation MoS</w:t>
      </w:r>
      <w:r>
        <w:rPr>
          <w:rFonts w:hint="eastAsia"/>
          <w:vertAlign w:val="subscript"/>
        </w:rPr>
        <w:t>2</w:t>
      </w:r>
      <w:r>
        <w:rPr>
          <w:rFonts w:hint="eastAsia"/>
        </w:rPr>
        <w:t xml:space="preserve"> 2DFHT as a function of Pr value.</w:t>
      </w:r>
    </w:p>
    <w:p w14:paraId="13076A24" w14:textId="77777777" w:rsidR="003717D8" w:rsidRDefault="00000000">
      <w:pPr>
        <w:spacing w:line="312" w:lineRule="auto"/>
      </w:pPr>
      <w:r>
        <w:rPr>
          <w:b/>
          <w:bCs/>
        </w:rPr>
        <w:t>S</w:t>
      </w:r>
      <w:r>
        <w:rPr>
          <w:rFonts w:hint="eastAsia"/>
          <w:b/>
          <w:bCs/>
        </w:rPr>
        <w:t>upplementary</w:t>
      </w:r>
      <w:r>
        <w:rPr>
          <w:b/>
          <w:bCs/>
        </w:rPr>
        <w:t xml:space="preserve"> Fig.</w:t>
      </w:r>
      <w:r>
        <w:rPr>
          <w:rFonts w:hint="eastAsia"/>
          <w:b/>
          <w:bCs/>
        </w:rPr>
        <w:t>3</w:t>
      </w:r>
      <w:r>
        <w:t xml:space="preserve">. The 3D view of the two-dimensional layered </w:t>
      </w:r>
      <w:r>
        <w:rPr>
          <w:rFonts w:hint="eastAsia"/>
        </w:rPr>
        <w:t xml:space="preserve">ferroelectric </w:t>
      </w:r>
      <w:r>
        <w:t>perovskite</w:t>
      </w:r>
      <w:r>
        <w:rPr>
          <w:rFonts w:hint="eastAsia"/>
        </w:rPr>
        <w:t xml:space="preserve"> </w:t>
      </w:r>
      <w:r>
        <w:rPr>
          <w:rFonts w:eastAsia="Times New Roman" w:cs="宋体"/>
          <w:lang w:bidi="ar"/>
        </w:rPr>
        <w:t>(EATMP)PbBr</w:t>
      </w:r>
      <w:r>
        <w:rPr>
          <w:rFonts w:eastAsia="Times New Roman" w:cs="宋体"/>
          <w:vertAlign w:val="subscript"/>
          <w:lang w:bidi="ar"/>
        </w:rPr>
        <w:t>4</w:t>
      </w:r>
      <w:r>
        <w:rPr>
          <w:rFonts w:eastAsia="Times New Roman" w:cs="宋体" w:hint="eastAsia"/>
          <w:vertAlign w:val="subscript"/>
          <w:lang w:bidi="ar"/>
        </w:rPr>
        <w:t>.</w:t>
      </w:r>
    </w:p>
    <w:p w14:paraId="1E7F98AF" w14:textId="77777777" w:rsidR="003717D8" w:rsidRDefault="00000000">
      <w:pPr>
        <w:spacing w:line="312" w:lineRule="auto"/>
        <w:rPr>
          <w:rFonts w:eastAsia="Times New Roman" w:cs="宋体"/>
          <w:vertAlign w:val="subscript"/>
          <w:lang w:bidi="ar"/>
        </w:rPr>
      </w:pPr>
      <w:r>
        <w:rPr>
          <w:b/>
          <w:bCs/>
        </w:rPr>
        <w:t>S</w:t>
      </w:r>
      <w:r>
        <w:rPr>
          <w:rFonts w:hint="eastAsia"/>
          <w:b/>
          <w:bCs/>
        </w:rPr>
        <w:t>upplementary</w:t>
      </w:r>
      <w:r>
        <w:rPr>
          <w:b/>
          <w:bCs/>
        </w:rPr>
        <w:t xml:space="preserve"> Fig.</w:t>
      </w:r>
      <w:r>
        <w:rPr>
          <w:rFonts w:hint="eastAsia"/>
          <w:b/>
          <w:bCs/>
        </w:rPr>
        <w:t>4</w:t>
      </w:r>
      <w:r>
        <w:t xml:space="preserve">. The scheme of the </w:t>
      </w:r>
      <w:r>
        <w:rPr>
          <w:rFonts w:hint="eastAsia"/>
        </w:rPr>
        <w:t xml:space="preserve">crystallographic structure of </w:t>
      </w:r>
      <w:r>
        <w:rPr>
          <w:rFonts w:eastAsia="Times New Roman" w:cs="宋体"/>
          <w:lang w:bidi="ar"/>
        </w:rPr>
        <w:t>(EATMP)PbBr</w:t>
      </w:r>
      <w:r>
        <w:rPr>
          <w:rFonts w:eastAsia="Times New Roman" w:cs="宋体"/>
          <w:vertAlign w:val="subscript"/>
          <w:lang w:bidi="ar"/>
        </w:rPr>
        <w:t>4</w:t>
      </w:r>
      <w:r>
        <w:rPr>
          <w:rFonts w:eastAsia="Times New Roman" w:cs="宋体" w:hint="eastAsia"/>
          <w:vertAlign w:val="subscript"/>
          <w:lang w:bidi="ar"/>
        </w:rPr>
        <w:t>.</w:t>
      </w:r>
    </w:p>
    <w:p w14:paraId="20112E7E" w14:textId="77777777" w:rsidR="003717D8" w:rsidRDefault="00000000">
      <w:pPr>
        <w:spacing w:line="312" w:lineRule="auto"/>
      </w:pPr>
      <w:r>
        <w:rPr>
          <w:b/>
          <w:bCs/>
        </w:rPr>
        <w:t>S</w:t>
      </w:r>
      <w:r>
        <w:rPr>
          <w:rFonts w:hint="eastAsia"/>
          <w:b/>
          <w:bCs/>
        </w:rPr>
        <w:t>upplementary</w:t>
      </w:r>
      <w:r>
        <w:rPr>
          <w:b/>
          <w:bCs/>
        </w:rPr>
        <w:t xml:space="preserve"> Fig.</w:t>
      </w:r>
      <w:r>
        <w:rPr>
          <w:rFonts w:hint="eastAsia"/>
          <w:b/>
          <w:bCs/>
        </w:rPr>
        <w:t>5</w:t>
      </w:r>
      <w:r>
        <w:t>. The PFM</w:t>
      </w:r>
      <w:r>
        <w:rPr>
          <w:rFonts w:hint="eastAsia"/>
        </w:rPr>
        <w:t xml:space="preserve"> images of </w:t>
      </w:r>
      <w:r>
        <w:rPr>
          <w:rFonts w:eastAsia="Times New Roman" w:cs="宋体"/>
          <w:lang w:bidi="ar"/>
        </w:rPr>
        <w:t>(EATMP)PbBr</w:t>
      </w:r>
      <w:r>
        <w:rPr>
          <w:rFonts w:eastAsia="Times New Roman" w:cs="宋体"/>
          <w:vertAlign w:val="subscript"/>
          <w:lang w:bidi="ar"/>
        </w:rPr>
        <w:t>4</w:t>
      </w:r>
      <w:r>
        <w:rPr>
          <w:rFonts w:eastAsia="Times New Roman" w:cs="宋体" w:hint="eastAsia"/>
          <w:vertAlign w:val="subscript"/>
          <w:lang w:bidi="ar"/>
        </w:rPr>
        <w:t xml:space="preserve"> </w:t>
      </w:r>
      <w:r>
        <w:rPr>
          <w:rFonts w:eastAsia="Times New Roman" w:cs="宋体" w:hint="eastAsia"/>
          <w:lang w:bidi="ar"/>
        </w:rPr>
        <w:t>film before and</w:t>
      </w:r>
      <w:r>
        <w:t xml:space="preserve"> after box poling under -12 V tip voltage</w:t>
      </w:r>
      <w:r>
        <w:rPr>
          <w:rFonts w:hint="eastAsia"/>
        </w:rPr>
        <w:t>.</w:t>
      </w:r>
    </w:p>
    <w:p w14:paraId="4E316519" w14:textId="77777777" w:rsidR="003717D8" w:rsidRDefault="00000000">
      <w:pPr>
        <w:spacing w:line="312" w:lineRule="auto"/>
        <w:rPr>
          <w:rFonts w:eastAsia="Times New Roman" w:cs="宋体"/>
          <w:lang w:bidi="ar"/>
        </w:rPr>
      </w:pPr>
      <w:r>
        <w:rPr>
          <w:b/>
          <w:bCs/>
        </w:rPr>
        <w:t>S</w:t>
      </w:r>
      <w:r>
        <w:rPr>
          <w:rFonts w:hint="eastAsia"/>
          <w:b/>
          <w:bCs/>
        </w:rPr>
        <w:t>upplementary</w:t>
      </w:r>
      <w:r>
        <w:rPr>
          <w:b/>
          <w:bCs/>
        </w:rPr>
        <w:t xml:space="preserve"> Fig.</w:t>
      </w:r>
      <w:r>
        <w:rPr>
          <w:rFonts w:hint="eastAsia"/>
          <w:b/>
          <w:bCs/>
        </w:rPr>
        <w:t xml:space="preserve">6 </w:t>
      </w:r>
      <w:r>
        <w:t>The PFM</w:t>
      </w:r>
      <w:r>
        <w:rPr>
          <w:rFonts w:hint="eastAsia"/>
        </w:rPr>
        <w:t xml:space="preserve"> images of </w:t>
      </w:r>
      <w:r>
        <w:rPr>
          <w:rFonts w:eastAsia="Times New Roman" w:cs="宋体"/>
          <w:lang w:bidi="ar"/>
        </w:rPr>
        <w:t>(EATMP)PbBr</w:t>
      </w:r>
      <w:r>
        <w:rPr>
          <w:rFonts w:eastAsia="Times New Roman" w:cs="宋体"/>
          <w:vertAlign w:val="subscript"/>
          <w:lang w:bidi="ar"/>
        </w:rPr>
        <w:t>4</w:t>
      </w:r>
      <w:r>
        <w:rPr>
          <w:rFonts w:eastAsia="Times New Roman" w:cs="宋体" w:hint="eastAsia"/>
          <w:lang w:bidi="ar"/>
        </w:rPr>
        <w:t xml:space="preserve"> showing in-plane ferroelectric polarization.</w:t>
      </w:r>
    </w:p>
    <w:p w14:paraId="58005B4E" w14:textId="77777777" w:rsidR="003717D8" w:rsidRDefault="00000000">
      <w:pPr>
        <w:spacing w:line="312" w:lineRule="auto"/>
      </w:pPr>
      <w:r>
        <w:rPr>
          <w:b/>
          <w:bCs/>
        </w:rPr>
        <w:t>S</w:t>
      </w:r>
      <w:r>
        <w:rPr>
          <w:rFonts w:hint="eastAsia"/>
          <w:b/>
          <w:bCs/>
        </w:rPr>
        <w:t>upplementary</w:t>
      </w:r>
      <w:r>
        <w:rPr>
          <w:b/>
          <w:bCs/>
        </w:rPr>
        <w:t xml:space="preserve"> Fig.</w:t>
      </w:r>
      <w:r>
        <w:rPr>
          <w:rFonts w:hint="eastAsia"/>
          <w:b/>
          <w:bCs/>
        </w:rPr>
        <w:t xml:space="preserve">7 </w:t>
      </w:r>
      <w:r>
        <w:rPr>
          <w:rFonts w:hint="eastAsia"/>
        </w:rPr>
        <w:t>The</w:t>
      </w:r>
      <w:r>
        <w:rPr>
          <w:rFonts w:hint="eastAsia"/>
          <w:b/>
          <w:bCs/>
        </w:rPr>
        <w:t xml:space="preserve"> </w:t>
      </w:r>
      <w:r>
        <w:rPr>
          <w:rFonts w:eastAsia="Times New Roman" w:cs="宋体"/>
          <w:lang w:bidi="ar"/>
        </w:rPr>
        <w:t>second harmonic generation</w:t>
      </w:r>
      <w:r>
        <w:rPr>
          <w:rFonts w:eastAsia="宋体" w:cs="宋体" w:hint="eastAsia"/>
          <w:lang w:bidi="ar"/>
        </w:rPr>
        <w:t xml:space="preserve">, </w:t>
      </w:r>
      <w:r>
        <w:rPr>
          <w:rFonts w:cs="宋体"/>
          <w:lang w:bidi="ar"/>
        </w:rPr>
        <w:t>differential</w:t>
      </w:r>
      <w:r>
        <w:rPr>
          <w:rFonts w:cs="宋体" w:hint="eastAsia"/>
          <w:lang w:bidi="ar"/>
        </w:rPr>
        <w:t xml:space="preserve"> scanning calory</w:t>
      </w:r>
      <w:r>
        <w:rPr>
          <w:rFonts w:cs="宋体"/>
          <w:lang w:bidi="ar"/>
        </w:rPr>
        <w:t>,</w:t>
      </w:r>
      <w:r>
        <w:rPr>
          <w:rFonts w:cs="宋体" w:hint="eastAsia"/>
          <w:lang w:bidi="ar"/>
        </w:rPr>
        <w:t xml:space="preserve"> and t</w:t>
      </w:r>
      <w:r>
        <w:rPr>
          <w:rFonts w:cs="宋体"/>
          <w:lang w:bidi="ar"/>
        </w:rPr>
        <w:t xml:space="preserve">hermogravimetric </w:t>
      </w:r>
      <w:r>
        <w:rPr>
          <w:rFonts w:cs="宋体" w:hint="eastAsia"/>
          <w:lang w:bidi="ar"/>
        </w:rPr>
        <w:t>a</w:t>
      </w:r>
      <w:r>
        <w:rPr>
          <w:rFonts w:cs="宋体"/>
          <w:lang w:bidi="ar"/>
        </w:rPr>
        <w:t>nalysis</w:t>
      </w:r>
      <w:r>
        <w:rPr>
          <w:rFonts w:cs="宋体" w:hint="eastAsia"/>
          <w:lang w:bidi="ar"/>
        </w:rPr>
        <w:t xml:space="preserve"> of </w:t>
      </w:r>
      <w:r>
        <w:rPr>
          <w:rFonts w:eastAsia="Times New Roman" w:cs="宋体"/>
          <w:lang w:bidi="ar"/>
        </w:rPr>
        <w:t>(EATMP)PbBr</w:t>
      </w:r>
      <w:r>
        <w:rPr>
          <w:rFonts w:eastAsia="Times New Roman" w:cs="宋体"/>
          <w:vertAlign w:val="subscript"/>
          <w:lang w:bidi="ar"/>
        </w:rPr>
        <w:t>4</w:t>
      </w:r>
      <w:r>
        <w:rPr>
          <w:rFonts w:eastAsia="Times New Roman" w:cs="宋体" w:hint="eastAsia"/>
          <w:lang w:bidi="ar"/>
        </w:rPr>
        <w:t xml:space="preserve"> </w:t>
      </w:r>
      <w:r>
        <w:rPr>
          <w:rFonts w:hint="eastAsia"/>
        </w:rPr>
        <w:t>ferroelectric film.</w:t>
      </w:r>
    </w:p>
    <w:p w14:paraId="20BB9668" w14:textId="77777777" w:rsidR="003717D8" w:rsidRDefault="00000000">
      <w:pPr>
        <w:spacing w:line="312" w:lineRule="auto"/>
      </w:pPr>
      <w:r>
        <w:rPr>
          <w:b/>
          <w:bCs/>
        </w:rPr>
        <w:t>S</w:t>
      </w:r>
      <w:r>
        <w:rPr>
          <w:rFonts w:hint="eastAsia"/>
          <w:b/>
          <w:bCs/>
        </w:rPr>
        <w:t xml:space="preserve">upplementary Fig.8 </w:t>
      </w:r>
      <w:r>
        <w:rPr>
          <w:rFonts w:hint="eastAsia"/>
        </w:rPr>
        <w:t xml:space="preserve">The density of state diagram of </w:t>
      </w:r>
      <w:r>
        <w:rPr>
          <w:rFonts w:eastAsia="Times New Roman" w:cs="宋体"/>
          <w:lang w:bidi="ar"/>
        </w:rPr>
        <w:t>(EATMP)PbBr</w:t>
      </w:r>
      <w:r>
        <w:rPr>
          <w:rFonts w:eastAsia="Times New Roman" w:cs="宋体"/>
          <w:vertAlign w:val="subscript"/>
          <w:lang w:bidi="ar"/>
        </w:rPr>
        <w:t>4</w:t>
      </w:r>
      <w:r>
        <w:rPr>
          <w:rFonts w:eastAsia="Times New Roman" w:cs="宋体" w:hint="eastAsia"/>
          <w:vertAlign w:val="subscript"/>
          <w:lang w:bidi="ar"/>
        </w:rPr>
        <w:t xml:space="preserve"> </w:t>
      </w:r>
      <w:r>
        <w:rPr>
          <w:rFonts w:hint="eastAsia"/>
        </w:rPr>
        <w:t>with the Br01, Br03 and Br04 vacancy.</w:t>
      </w:r>
    </w:p>
    <w:p w14:paraId="5785C9CE" w14:textId="77777777" w:rsidR="003717D8" w:rsidRDefault="00000000">
      <w:pPr>
        <w:spacing w:line="312" w:lineRule="auto"/>
      </w:pPr>
      <w:r>
        <w:rPr>
          <w:b/>
          <w:bCs/>
        </w:rPr>
        <w:t>S</w:t>
      </w:r>
      <w:r>
        <w:rPr>
          <w:rFonts w:hint="eastAsia"/>
          <w:b/>
          <w:bCs/>
        </w:rPr>
        <w:t>upplementary Fig.9</w:t>
      </w:r>
      <w:r>
        <w:rPr>
          <w:rFonts w:hint="eastAsia"/>
        </w:rPr>
        <w:t>. The AFM images of (EATMP)PbBr</w:t>
      </w:r>
      <w:r>
        <w:rPr>
          <w:rFonts w:hint="eastAsia"/>
          <w:vertAlign w:val="subscript"/>
        </w:rPr>
        <w:t xml:space="preserve">4 </w:t>
      </w:r>
      <w:r>
        <w:rPr>
          <w:rFonts w:hint="eastAsia"/>
        </w:rPr>
        <w:t xml:space="preserve">film. </w:t>
      </w:r>
    </w:p>
    <w:p w14:paraId="429BBC40" w14:textId="77777777" w:rsidR="003717D8" w:rsidRDefault="00000000">
      <w:pPr>
        <w:spacing w:line="312" w:lineRule="auto"/>
      </w:pPr>
      <w:r>
        <w:rPr>
          <w:b/>
          <w:bCs/>
        </w:rPr>
        <w:t>S</w:t>
      </w:r>
      <w:r>
        <w:rPr>
          <w:rFonts w:hint="eastAsia"/>
          <w:b/>
          <w:bCs/>
        </w:rPr>
        <w:t>upplementary Fig.10</w:t>
      </w:r>
      <w:r>
        <w:rPr>
          <w:rFonts w:hint="eastAsia"/>
        </w:rPr>
        <w:t xml:space="preserve"> The AFM images of the N-type MoS</w:t>
      </w:r>
      <w:r>
        <w:rPr>
          <w:rFonts w:hint="eastAsia"/>
          <w:vertAlign w:val="subscript"/>
        </w:rPr>
        <w:t>2</w:t>
      </w:r>
      <w:r>
        <w:rPr>
          <w:rFonts w:hint="eastAsia"/>
        </w:rPr>
        <w:t>, bipolar WSe</w:t>
      </w:r>
      <w:r>
        <w:rPr>
          <w:rFonts w:hint="eastAsia"/>
          <w:vertAlign w:val="subscript"/>
        </w:rPr>
        <w:t>2</w:t>
      </w:r>
      <w:r>
        <w:rPr>
          <w:vertAlign w:val="subscript"/>
        </w:rPr>
        <w:t>,</w:t>
      </w:r>
      <w:r>
        <w:rPr>
          <w:rFonts w:hint="eastAsia"/>
        </w:rPr>
        <w:t xml:space="preserve"> and P-type BP 2DFHTs.</w:t>
      </w:r>
    </w:p>
    <w:p w14:paraId="6B91C9F9" w14:textId="77777777" w:rsidR="003717D8" w:rsidRDefault="00000000">
      <w:pPr>
        <w:spacing w:line="312" w:lineRule="auto"/>
      </w:pPr>
      <w:r>
        <w:rPr>
          <w:b/>
          <w:bCs/>
        </w:rPr>
        <w:t>S</w:t>
      </w:r>
      <w:r>
        <w:rPr>
          <w:rFonts w:hint="eastAsia"/>
          <w:b/>
          <w:bCs/>
        </w:rPr>
        <w:t>upplementary Fig.11</w:t>
      </w:r>
      <w:r>
        <w:rPr>
          <w:rFonts w:hint="eastAsia"/>
        </w:rPr>
        <w:t xml:space="preserve"> The R</w:t>
      </w:r>
      <w:r>
        <w:rPr>
          <w:color w:val="000000"/>
          <w:szCs w:val="24"/>
        </w:rPr>
        <w:t>aman spectroscopy of</w:t>
      </w:r>
      <w:r>
        <w:rPr>
          <w:rFonts w:hint="eastAsia"/>
          <w:color w:val="000000"/>
          <w:szCs w:val="24"/>
        </w:rPr>
        <w:t xml:space="preserve"> </w:t>
      </w:r>
      <w:r>
        <w:rPr>
          <w:rFonts w:hint="eastAsia"/>
        </w:rPr>
        <w:t>N-type MoS</w:t>
      </w:r>
      <w:r>
        <w:rPr>
          <w:rFonts w:hint="eastAsia"/>
          <w:vertAlign w:val="subscript"/>
        </w:rPr>
        <w:t>2</w:t>
      </w:r>
      <w:r>
        <w:rPr>
          <w:rFonts w:hint="eastAsia"/>
        </w:rPr>
        <w:t>, bipolar WSe</w:t>
      </w:r>
      <w:r>
        <w:rPr>
          <w:rFonts w:hint="eastAsia"/>
          <w:vertAlign w:val="subscript"/>
        </w:rPr>
        <w:t>2</w:t>
      </w:r>
      <w:r>
        <w:rPr>
          <w:vertAlign w:val="subscript"/>
        </w:rPr>
        <w:t>,</w:t>
      </w:r>
      <w:r>
        <w:rPr>
          <w:rFonts w:hint="eastAsia"/>
        </w:rPr>
        <w:t xml:space="preserve"> and P-type BP 2DFHTs.</w:t>
      </w:r>
    </w:p>
    <w:p w14:paraId="52FE56C8" w14:textId="77777777" w:rsidR="003717D8" w:rsidRDefault="00000000">
      <w:pPr>
        <w:spacing w:line="312" w:lineRule="auto"/>
      </w:pPr>
      <w:r>
        <w:rPr>
          <w:b/>
          <w:bCs/>
        </w:rPr>
        <w:t>S</w:t>
      </w:r>
      <w:r>
        <w:rPr>
          <w:rFonts w:hint="eastAsia"/>
          <w:b/>
          <w:bCs/>
        </w:rPr>
        <w:t xml:space="preserve">upplementary Fig.12 </w:t>
      </w:r>
      <w:r>
        <w:rPr>
          <w:rFonts w:hint="eastAsia"/>
        </w:rPr>
        <w:t>The reproducibility of polarity-dependent ferroelectric regulation in 2DFHTs.</w:t>
      </w:r>
    </w:p>
    <w:p w14:paraId="02542448" w14:textId="77777777" w:rsidR="003717D8" w:rsidRDefault="00000000">
      <w:pPr>
        <w:spacing w:line="312" w:lineRule="auto"/>
      </w:pPr>
      <w:r>
        <w:rPr>
          <w:b/>
          <w:bCs/>
        </w:rPr>
        <w:t>S</w:t>
      </w:r>
      <w:r>
        <w:rPr>
          <w:rFonts w:hint="eastAsia"/>
          <w:b/>
          <w:bCs/>
        </w:rPr>
        <w:t>upplementary Fig.13</w:t>
      </w:r>
      <w:r>
        <w:rPr>
          <w:rFonts w:hint="eastAsia"/>
        </w:rPr>
        <w:t xml:space="preserve"> The transfer curves of 2DFHTs as a function sweeping ratio.</w:t>
      </w:r>
    </w:p>
    <w:p w14:paraId="710087AA" w14:textId="77777777" w:rsidR="003717D8" w:rsidRDefault="00000000">
      <w:pPr>
        <w:spacing w:line="312" w:lineRule="auto"/>
      </w:pPr>
      <w:r>
        <w:rPr>
          <w:b/>
          <w:bCs/>
        </w:rPr>
        <w:t>S</w:t>
      </w:r>
      <w:r>
        <w:rPr>
          <w:rFonts w:hint="eastAsia"/>
          <w:b/>
          <w:bCs/>
        </w:rPr>
        <w:t xml:space="preserve">upplementary Fig.14 </w:t>
      </w:r>
      <w:r>
        <w:rPr>
          <w:rFonts w:hint="eastAsia"/>
        </w:rPr>
        <w:t xml:space="preserve">The transfer curves of 2DFHTs as a function </w:t>
      </w:r>
      <w:r>
        <w:t xml:space="preserve">of </w:t>
      </w:r>
      <w:r>
        <w:rPr>
          <w:rFonts w:hint="eastAsia"/>
        </w:rPr>
        <w:t>sweeping times.</w:t>
      </w:r>
    </w:p>
    <w:p w14:paraId="3C6176BA" w14:textId="77777777" w:rsidR="003717D8" w:rsidRDefault="00000000">
      <w:pPr>
        <w:spacing w:line="312" w:lineRule="auto"/>
        <w:rPr>
          <w:rFonts w:eastAsia="等线" w:cs="宋体"/>
          <w:lang w:bidi="ar"/>
        </w:rPr>
      </w:pPr>
      <w:r>
        <w:rPr>
          <w:b/>
          <w:bCs/>
        </w:rPr>
        <w:t>S</w:t>
      </w:r>
      <w:r>
        <w:rPr>
          <w:rFonts w:hint="eastAsia"/>
          <w:b/>
          <w:bCs/>
        </w:rPr>
        <w:t xml:space="preserve">upplementary Fig.15 </w:t>
      </w:r>
      <w:r>
        <w:rPr>
          <w:rFonts w:hint="eastAsia"/>
        </w:rPr>
        <w:t xml:space="preserve">Device performance of </w:t>
      </w:r>
      <w:r>
        <w:rPr>
          <w:rFonts w:eastAsia="等线" w:cs="宋体"/>
          <w:lang w:bidi="ar"/>
        </w:rPr>
        <w:t>two-dimension</w:t>
      </w:r>
      <w:r>
        <w:rPr>
          <w:rFonts w:eastAsia="等线" w:cs="宋体" w:hint="eastAsia"/>
          <w:lang w:bidi="ar"/>
        </w:rPr>
        <w:t xml:space="preserve"> transistor without ferroelectric layer.</w:t>
      </w:r>
    </w:p>
    <w:p w14:paraId="0214929E" w14:textId="77777777" w:rsidR="003717D8" w:rsidRDefault="00000000">
      <w:pPr>
        <w:spacing w:line="312" w:lineRule="auto"/>
      </w:pPr>
      <w:r>
        <w:rPr>
          <w:b/>
          <w:bCs/>
        </w:rPr>
        <w:t>S</w:t>
      </w:r>
      <w:r>
        <w:rPr>
          <w:rFonts w:hint="eastAsia"/>
          <w:b/>
          <w:bCs/>
        </w:rPr>
        <w:t>upplementary Fig.16</w:t>
      </w:r>
      <w:r>
        <w:rPr>
          <w:rFonts w:hint="eastAsia"/>
        </w:rPr>
        <w:t xml:space="preserve"> The volatile synaptic weight update properties of WSe</w:t>
      </w:r>
      <w:r>
        <w:rPr>
          <w:rFonts w:hint="eastAsia"/>
          <w:vertAlign w:val="subscript"/>
        </w:rPr>
        <w:t>2</w:t>
      </w:r>
      <w:r>
        <w:rPr>
          <w:rFonts w:hint="eastAsia"/>
        </w:rPr>
        <w:t xml:space="preserve"> 2DFHTs.</w:t>
      </w:r>
    </w:p>
    <w:p w14:paraId="6A497117" w14:textId="77777777" w:rsidR="003717D8" w:rsidRDefault="00000000">
      <w:pPr>
        <w:spacing w:line="312" w:lineRule="auto"/>
      </w:pPr>
      <w:r>
        <w:rPr>
          <w:b/>
          <w:bCs/>
        </w:rPr>
        <w:t>S</w:t>
      </w:r>
      <w:r>
        <w:rPr>
          <w:rFonts w:hint="eastAsia"/>
          <w:b/>
          <w:bCs/>
        </w:rPr>
        <w:t>upplementary Fig.17.</w:t>
      </w:r>
      <w:r>
        <w:rPr>
          <w:rFonts w:hint="eastAsia"/>
        </w:rPr>
        <w:t xml:space="preserve"> The voltage-dependent synaptic weight update of </w:t>
      </w:r>
      <w:r>
        <w:rPr>
          <w:rFonts w:hint="eastAsia"/>
          <w:color w:val="000000"/>
          <w:szCs w:val="24"/>
        </w:rPr>
        <w:t>WSe</w:t>
      </w:r>
      <w:r>
        <w:rPr>
          <w:rFonts w:hint="eastAsia"/>
          <w:color w:val="000000"/>
          <w:szCs w:val="24"/>
          <w:vertAlign w:val="subscript"/>
        </w:rPr>
        <w:t>2</w:t>
      </w:r>
      <w:r>
        <w:rPr>
          <w:rFonts w:hint="eastAsia"/>
          <w:color w:val="000000"/>
          <w:szCs w:val="24"/>
        </w:rPr>
        <w:t xml:space="preserve"> 2DFHT</w:t>
      </w:r>
      <w:r>
        <w:rPr>
          <w:rFonts w:hint="eastAsia"/>
        </w:rPr>
        <w:t>.</w:t>
      </w:r>
    </w:p>
    <w:p w14:paraId="1E847A51" w14:textId="77777777" w:rsidR="003717D8" w:rsidRDefault="00000000">
      <w:pPr>
        <w:spacing w:line="312" w:lineRule="auto"/>
        <w:rPr>
          <w:color w:val="000000"/>
          <w:szCs w:val="24"/>
        </w:rPr>
      </w:pPr>
      <w:r>
        <w:rPr>
          <w:b/>
          <w:bCs/>
        </w:rPr>
        <w:t>S</w:t>
      </w:r>
      <w:r>
        <w:rPr>
          <w:rFonts w:hint="eastAsia"/>
          <w:b/>
          <w:bCs/>
        </w:rPr>
        <w:t>upplementary Fig.18.</w:t>
      </w:r>
      <w:r>
        <w:rPr>
          <w:rFonts w:hint="eastAsia"/>
        </w:rPr>
        <w:t xml:space="preserve"> The multi-level memory retention of </w:t>
      </w:r>
      <w:r>
        <w:rPr>
          <w:rFonts w:hint="eastAsia"/>
          <w:color w:val="000000"/>
          <w:szCs w:val="24"/>
        </w:rPr>
        <w:t>WSe</w:t>
      </w:r>
      <w:r>
        <w:rPr>
          <w:rFonts w:hint="eastAsia"/>
          <w:color w:val="000000"/>
          <w:szCs w:val="24"/>
          <w:vertAlign w:val="subscript"/>
        </w:rPr>
        <w:t>2</w:t>
      </w:r>
      <w:r>
        <w:rPr>
          <w:rFonts w:hint="eastAsia"/>
          <w:color w:val="000000"/>
          <w:szCs w:val="24"/>
        </w:rPr>
        <w:t xml:space="preserve"> 2DFHT</w:t>
      </w:r>
    </w:p>
    <w:p w14:paraId="5B5542AD" w14:textId="77777777" w:rsidR="003717D8" w:rsidRDefault="00000000">
      <w:pPr>
        <w:spacing w:line="312" w:lineRule="auto"/>
        <w:rPr>
          <w:color w:val="000000"/>
          <w:szCs w:val="24"/>
        </w:rPr>
      </w:pPr>
      <w:r>
        <w:rPr>
          <w:b/>
          <w:bCs/>
        </w:rPr>
        <w:t>S</w:t>
      </w:r>
      <w:r>
        <w:rPr>
          <w:rFonts w:hint="eastAsia"/>
          <w:b/>
          <w:bCs/>
        </w:rPr>
        <w:t>upplementary Fig.19.</w:t>
      </w:r>
      <w:r>
        <w:rPr>
          <w:rFonts w:hint="eastAsia"/>
        </w:rPr>
        <w:t xml:space="preserve"> The </w:t>
      </w:r>
      <w:r>
        <w:rPr>
          <w:rFonts w:hint="eastAsia"/>
          <w:color w:val="000000"/>
          <w:szCs w:val="24"/>
        </w:rPr>
        <w:t>2DFHTs based transfer learning neural network for image accuracy</w:t>
      </w:r>
    </w:p>
    <w:p w14:paraId="70EBCB19" w14:textId="77777777" w:rsidR="003717D8" w:rsidRDefault="00000000">
      <w:pPr>
        <w:rPr>
          <w:b/>
          <w:bCs/>
        </w:rPr>
      </w:pPr>
      <w:r>
        <w:rPr>
          <w:b/>
          <w:bCs/>
        </w:rPr>
        <w:lastRenderedPageBreak/>
        <w:t>S</w:t>
      </w:r>
      <w:r>
        <w:rPr>
          <w:rFonts w:hint="eastAsia"/>
          <w:b/>
          <w:bCs/>
        </w:rPr>
        <w:t>upplementary</w:t>
      </w:r>
      <w:r>
        <w:rPr>
          <w:b/>
          <w:bCs/>
        </w:rPr>
        <w:t xml:space="preserve"> Note </w:t>
      </w:r>
      <w:r>
        <w:rPr>
          <w:rFonts w:eastAsia="宋体" w:hint="eastAsia"/>
          <w:b/>
          <w:bCs/>
        </w:rPr>
        <w:t>1</w:t>
      </w:r>
      <w:r>
        <w:rPr>
          <w:b/>
          <w:bCs/>
        </w:rPr>
        <w:t xml:space="preserve"> TCAD simulation</w:t>
      </w:r>
    </w:p>
    <w:p w14:paraId="20DB7FA3" w14:textId="77777777" w:rsidR="003717D8" w:rsidRDefault="00000000">
      <w:r>
        <w:t xml:space="preserve">The TCAD simulation of </w:t>
      </w:r>
      <w:r>
        <w:rPr>
          <w:rFonts w:eastAsia="宋体" w:hint="eastAsia"/>
        </w:rPr>
        <w:t>Mo</w:t>
      </w:r>
      <w:r>
        <w:t>S</w:t>
      </w:r>
      <w:r>
        <w:rPr>
          <w:vertAlign w:val="subscript"/>
        </w:rPr>
        <w:softHyphen/>
        <w:t>2</w:t>
      </w:r>
      <w:r>
        <w:t xml:space="preserve"> FET</w:t>
      </w:r>
      <w:r>
        <w:rPr>
          <w:rFonts w:eastAsia="宋体" w:hint="eastAsia"/>
        </w:rPr>
        <w:t xml:space="preserve"> as well as BP</w:t>
      </w:r>
      <w:r>
        <w:t xml:space="preserve"> FET</w:t>
      </w:r>
      <w:r>
        <w:rPr>
          <w:rFonts w:eastAsia="宋体" w:hint="eastAsia"/>
        </w:rPr>
        <w:t xml:space="preserve"> </w:t>
      </w:r>
      <w:r>
        <w:t xml:space="preserve">is performed in the TCAD platform. The structure and grids of </w:t>
      </w:r>
      <w:r>
        <w:rPr>
          <w:rFonts w:eastAsia="宋体" w:hint="eastAsia"/>
        </w:rPr>
        <w:t xml:space="preserve">these </w:t>
      </w:r>
      <w:r>
        <w:t>FET</w:t>
      </w:r>
      <w:r>
        <w:rPr>
          <w:rFonts w:eastAsia="宋体" w:hint="eastAsia"/>
        </w:rPr>
        <w:t>s</w:t>
      </w:r>
      <w:r>
        <w:t xml:space="preserve"> are </w:t>
      </w:r>
      <w:r>
        <w:rPr>
          <w:rFonts w:hint="eastAsia"/>
        </w:rPr>
        <w:t>built</w:t>
      </w:r>
      <w:r>
        <w:t xml:space="preserve"> in the 2D version of the Structure Editor</w:t>
      </w:r>
      <w:r>
        <w:rPr>
          <w:rFonts w:hint="eastAsia"/>
        </w:rPr>
        <w:t>, in which</w:t>
      </w:r>
      <w:r>
        <w:t xml:space="preserve"> </w:t>
      </w:r>
      <w:r>
        <w:rPr>
          <w:rFonts w:hint="eastAsia"/>
        </w:rPr>
        <w:t>t</w:t>
      </w:r>
      <w:r>
        <w:rPr>
          <w:rFonts w:eastAsia="Times New Roman" w:cs="Times New Roman"/>
          <w:lang w:bidi="ar"/>
        </w:rPr>
        <w:t xml:space="preserve">he channel length </w:t>
      </w:r>
      <w:r>
        <w:rPr>
          <w:rFonts w:eastAsia="Times New Roman" w:cs="Times New Roman" w:hint="eastAsia"/>
          <w:lang w:bidi="ar"/>
        </w:rPr>
        <w:t xml:space="preserve">of </w:t>
      </w:r>
      <w:r>
        <w:rPr>
          <w:rFonts w:eastAsia="宋体" w:cs="Times New Roman" w:hint="eastAsia"/>
          <w:lang w:bidi="ar"/>
        </w:rPr>
        <w:t>2DFHT</w:t>
      </w:r>
      <w:r>
        <w:rPr>
          <w:rFonts w:eastAsia="Times New Roman" w:cs="Times New Roman" w:hint="eastAsia"/>
          <w:lang w:bidi="ar"/>
        </w:rPr>
        <w:t xml:space="preserve"> </w:t>
      </w:r>
      <w:r>
        <w:rPr>
          <w:rFonts w:eastAsia="Times New Roman" w:cs="Times New Roman"/>
          <w:lang w:bidi="ar"/>
        </w:rPr>
        <w:t xml:space="preserve">is set to be 10 </w:t>
      </w:r>
      <w:r>
        <w:rPr>
          <w:rFonts w:eastAsia="宋体" w:cs="Times New Roman"/>
          <w:lang w:bidi="ar"/>
        </w:rPr>
        <w:t>μ</w:t>
      </w:r>
      <w:r>
        <w:rPr>
          <w:rFonts w:eastAsia="Times New Roman" w:cs="Times New Roman"/>
          <w:lang w:bidi="ar"/>
        </w:rPr>
        <w:t xml:space="preserve">m and the thickness of the ferroelectric and semiconductor layer are 40 nm and 10 nm, respectively. </w:t>
      </w:r>
      <w:r>
        <w:rPr>
          <w:rFonts w:hint="eastAsia"/>
        </w:rPr>
        <w:t>T</w:t>
      </w:r>
      <w:r>
        <w:t>he TCAD platform solves three equations listed below in every grid to find the answers to electrical potential, electron, and hole concentration:</w:t>
      </w:r>
    </w:p>
    <w:p w14:paraId="1FBC45F1" w14:textId="77777777" w:rsidR="003717D8" w:rsidRDefault="00000000">
      <w:pPr>
        <w:jc w:val="right"/>
      </w:pPr>
      <m:oMath>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r>
          <w:rPr>
            <w:rFonts w:ascii="Cambria Math" w:hAnsi="Cambria Math"/>
          </w:rPr>
          <m:t>φ</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ε</m:t>
            </m:r>
          </m:den>
        </m:f>
        <m:d>
          <m:dPr>
            <m:ctrlPr>
              <w:rPr>
                <w:rFonts w:ascii="Cambria Math" w:hAnsi="Cambria Math"/>
              </w:rPr>
            </m:ctrlPr>
          </m:dPr>
          <m:e>
            <m:r>
              <w:rPr>
                <w:rFonts w:ascii="Cambria Math" w:hAnsi="Cambria Math"/>
              </w:rPr>
              <m:t>N</m:t>
            </m:r>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n</m:t>
            </m:r>
          </m:e>
        </m:d>
      </m:oMath>
      <w:r>
        <w:rPr>
          <w:rFonts w:hAnsi="Cambria Math" w:hint="eastAsia"/>
        </w:rPr>
        <w:t xml:space="preserve">               </w:t>
      </w:r>
      <w:r>
        <w:rPr>
          <w:rFonts w:hAnsi="Cambria Math"/>
        </w:rPr>
        <w:t xml:space="preserve">   </w:t>
      </w:r>
      <w:r>
        <w:rPr>
          <w:rFonts w:hAnsi="Cambria Math" w:hint="eastAsia"/>
        </w:rPr>
        <w:t xml:space="preserve">          (1)</w:t>
      </w:r>
    </w:p>
    <w:p w14:paraId="14D3EB19" w14:textId="77777777" w:rsidR="003717D8" w:rsidRDefault="00000000">
      <w:pPr>
        <w:ind w:firstLineChars="1500" w:firstLine="3600"/>
        <w:jc w:val="right"/>
      </w:pPr>
      <m:oMath>
        <m:d>
          <m:dPr>
            <m:begChr m:val="{"/>
            <m:endChr m:val=""/>
            <m:ctrlPr>
              <w:rPr>
                <w:rFonts w:ascii="Cambria Math" w:hAnsi="Cambria Math"/>
              </w:rPr>
            </m:ctrlPr>
          </m:dPr>
          <m:e>
            <m:eqArr>
              <m:eqArrPr>
                <m:ctrlPr>
                  <w:rPr>
                    <w:rFonts w:ascii="Cambria Math" w:hAnsi="Cambria Math"/>
                  </w:rPr>
                </m:ctrlPr>
              </m:eqArrPr>
              <m:e>
                <m:f>
                  <m:fPr>
                    <m:ctrlPr>
                      <w:rPr>
                        <w:rFonts w:ascii="Cambria Math" w:hAnsi="Cambria Math"/>
                      </w:rPr>
                    </m:ctrlPr>
                  </m:fPr>
                  <m:num>
                    <m:r>
                      <w:rPr>
                        <w:rFonts w:ascii="Cambria Math" w:hAnsi="Cambria Math"/>
                      </w:rPr>
                      <m:t>∂n</m:t>
                    </m:r>
                  </m:num>
                  <m:den>
                    <m:r>
                      <w:rPr>
                        <w:rFonts w:ascii="Cambria Math" w:hAnsi="Cambria Math"/>
                      </w:rPr>
                      <m:t>∂t</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q</m:t>
                    </m:r>
                  </m:den>
                </m:f>
                <m:r>
                  <m:rPr>
                    <m:sty m:val="p"/>
                  </m:rPr>
                  <w:rPr>
                    <w:rFonts w:ascii="Cambria Math" w:hAnsi="Cambria Math"/>
                  </w:rPr>
                  <m:t>∇∙</m:t>
                </m:r>
                <m:box>
                  <m:boxPr>
                    <m:opEmu m:val="1"/>
                    <m:ctrlPr>
                      <w:rPr>
                        <w:rFonts w:ascii="Cambria Math" w:hAnsi="Cambria Math"/>
                      </w:rPr>
                    </m:ctrlPr>
                  </m:boxPr>
                  <m:e>
                    <m:acc>
                      <m:accPr>
                        <m:chr m:val="⃗"/>
                        <m:ctrlPr>
                          <w:rPr>
                            <w:rFonts w:ascii="Cambria Math" w:hAnsi="Cambria Math"/>
                          </w:rPr>
                        </m:ctrlPr>
                      </m:accPr>
                      <m:e>
                        <m:sSub>
                          <m:sSubPr>
                            <m:ctrlPr>
                              <w:rPr>
                                <w:rFonts w:ascii="Cambria Math" w:hAnsi="Cambria Math"/>
                              </w:rPr>
                            </m:ctrlPr>
                          </m:sSubPr>
                          <m:e>
                            <m:r>
                              <w:rPr>
                                <w:rFonts w:ascii="Cambria Math" w:hAnsi="Cambria Math"/>
                              </w:rPr>
                              <m:t>J</m:t>
                            </m:r>
                          </m:e>
                          <m:sub>
                            <m:r>
                              <w:rPr>
                                <w:rFonts w:ascii="Cambria Math" w:hAnsi="Cambria Math"/>
                              </w:rPr>
                              <m:t>n</m:t>
                            </m:r>
                          </m:sub>
                        </m:sSub>
                      </m:e>
                    </m:acc>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n</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n</m:t>
                            </m:r>
                          </m:sub>
                        </m:sSub>
                      </m:e>
                    </m:d>
                  </m:e>
                </m:box>
              </m:e>
              <m:e>
                <m:f>
                  <m:fPr>
                    <m:ctrlPr>
                      <w:rPr>
                        <w:rFonts w:ascii="Cambria Math" w:hAnsi="Cambria Math"/>
                      </w:rPr>
                    </m:ctrlPr>
                  </m:fPr>
                  <m:num>
                    <m:r>
                      <w:rPr>
                        <w:rFonts w:ascii="Cambria Math" w:hAnsi="Cambria Math"/>
                      </w:rPr>
                      <m:t>∂p</m:t>
                    </m:r>
                  </m:num>
                  <m:den>
                    <m:r>
                      <w:rPr>
                        <w:rFonts w:ascii="Cambria Math" w:hAnsi="Cambria Math"/>
                      </w:rPr>
                      <m:t>∂t</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q</m:t>
                    </m:r>
                  </m:den>
                </m:f>
                <m:r>
                  <m:rPr>
                    <m:sty m:val="p"/>
                  </m:rPr>
                  <w:rPr>
                    <w:rFonts w:ascii="Cambria Math" w:hAnsi="Cambria Math"/>
                  </w:rPr>
                  <m:t>∇∙</m:t>
                </m:r>
                <m:box>
                  <m:boxPr>
                    <m:opEmu m:val="1"/>
                    <m:ctrlPr>
                      <w:rPr>
                        <w:rFonts w:ascii="Cambria Math" w:hAnsi="Cambria Math"/>
                      </w:rPr>
                    </m:ctrlPr>
                  </m:boxPr>
                  <m:e>
                    <m:acc>
                      <m:accPr>
                        <m:chr m:val="⃗"/>
                        <m:ctrlPr>
                          <w:rPr>
                            <w:rFonts w:ascii="Cambria Math" w:hAnsi="Cambria Math"/>
                          </w:rPr>
                        </m:ctrlPr>
                      </m:accPr>
                      <m:e>
                        <m:sSub>
                          <m:sSubPr>
                            <m:ctrlPr>
                              <w:rPr>
                                <w:rFonts w:ascii="Cambria Math" w:hAnsi="Cambria Math"/>
                              </w:rPr>
                            </m:ctrlPr>
                          </m:sSubPr>
                          <m:e>
                            <m:r>
                              <w:rPr>
                                <w:rFonts w:ascii="Cambria Math" w:hAnsi="Cambria Math"/>
                              </w:rPr>
                              <m:t>J</m:t>
                            </m:r>
                          </m:e>
                          <m:sub>
                            <m:r>
                              <w:rPr>
                                <w:rFonts w:ascii="Cambria Math" w:hAnsi="Cambria Math"/>
                              </w:rPr>
                              <m:t>p</m:t>
                            </m:r>
                          </m:sub>
                        </m:sSub>
                      </m:e>
                    </m:acc>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p</m:t>
                            </m:r>
                          </m:sub>
                        </m:sSub>
                      </m:e>
                    </m:d>
                  </m:e>
                </m:box>
              </m:e>
            </m:eqArr>
          </m:e>
        </m:d>
      </m:oMath>
      <w:r>
        <w:rPr>
          <w:rFonts w:hAnsi="Cambria Math" w:hint="eastAsia"/>
        </w:rPr>
        <w:t xml:space="preserve">                   </w:t>
      </w:r>
      <w:r>
        <w:rPr>
          <w:rFonts w:hAnsi="Cambria Math"/>
        </w:rPr>
        <w:t xml:space="preserve"> </w:t>
      </w:r>
      <w:r>
        <w:rPr>
          <w:rFonts w:hAnsi="Cambria Math" w:hint="eastAsia"/>
        </w:rPr>
        <w:t xml:space="preserve">  </w:t>
      </w:r>
      <w:r>
        <w:rPr>
          <w:rFonts w:hAnsi="Cambria Math"/>
        </w:rPr>
        <w:t xml:space="preserve"> </w:t>
      </w:r>
      <w:r>
        <w:rPr>
          <w:rFonts w:hAnsi="Cambria Math" w:hint="eastAsia"/>
        </w:rPr>
        <w:t xml:space="preserve">    (2)</w:t>
      </w:r>
    </w:p>
    <w:p w14:paraId="20EEC892" w14:textId="77777777" w:rsidR="003717D8" w:rsidRDefault="00000000">
      <w:pPr>
        <w:jc w:val="right"/>
      </w:pPr>
      <m:oMath>
        <m:d>
          <m:dPr>
            <m:begChr m:val="{"/>
            <m:endChr m:val=""/>
            <m:ctrlPr>
              <w:rPr>
                <w:rFonts w:ascii="Cambria Math" w:hAnsi="Cambria Math"/>
              </w:rPr>
            </m:ctrlPr>
          </m:dPr>
          <m:e>
            <m:eqArr>
              <m:eqArrPr>
                <m:ctrlPr>
                  <w:rPr>
                    <w:rFonts w:ascii="Cambria Math" w:hAnsi="Cambria Math"/>
                  </w:rPr>
                </m:ctrlPr>
              </m:eqArrPr>
              <m:e>
                <m:acc>
                  <m:accPr>
                    <m:chr m:val="⃗"/>
                    <m:ctrlPr>
                      <w:rPr>
                        <w:rFonts w:ascii="Cambria Math" w:hAnsi="Cambria Math"/>
                      </w:rPr>
                    </m:ctrlPr>
                  </m:accPr>
                  <m:e>
                    <m:sSub>
                      <m:sSubPr>
                        <m:ctrlPr>
                          <w:rPr>
                            <w:rFonts w:ascii="Cambria Math" w:hAnsi="Cambria Math"/>
                          </w:rPr>
                        </m:ctrlPr>
                      </m:sSubPr>
                      <m:e>
                        <m:r>
                          <w:rPr>
                            <w:rFonts w:ascii="Cambria Math" w:hAnsi="Cambria Math"/>
                          </w:rPr>
                          <m:t>J</m:t>
                        </m:r>
                      </m:e>
                      <m:sub>
                        <m:r>
                          <w:rPr>
                            <w:rFonts w:ascii="Cambria Math" w:hAnsi="Cambria Math"/>
                          </w:rPr>
                          <m:t>n</m:t>
                        </m:r>
                      </m:sub>
                    </m:sSub>
                  </m:e>
                </m:acc>
                <m:r>
                  <m:rPr>
                    <m:sty m:val="p"/>
                  </m:rPr>
                  <w:rPr>
                    <w:rFonts w:ascii="Cambria Math" w:hAnsi="Cambria Math"/>
                  </w:rPr>
                  <m:t>=</m:t>
                </m:r>
                <m:r>
                  <w:rPr>
                    <w:rFonts w:ascii="Cambria Math" w:hAnsi="Cambria Math"/>
                  </w:rPr>
                  <m:t>nq</m:t>
                </m:r>
                <m:sSub>
                  <m:sSubPr>
                    <m:ctrlPr>
                      <w:rPr>
                        <w:rFonts w:ascii="Cambria Math" w:hAnsi="Cambria Math"/>
                      </w:rPr>
                    </m:ctrlPr>
                  </m:sSubPr>
                  <m:e>
                    <m:r>
                      <w:rPr>
                        <w:rFonts w:ascii="Cambria Math" w:hAnsi="Cambria Math"/>
                      </w:rPr>
                      <m:t>μ</m:t>
                    </m:r>
                  </m:e>
                  <m:sub>
                    <m:r>
                      <w:rPr>
                        <w:rFonts w:ascii="Cambria Math" w:hAnsi="Cambria Math"/>
                      </w:rPr>
                      <m:t>n</m:t>
                    </m:r>
                  </m:sub>
                </m:sSub>
                <m:acc>
                  <m:accPr>
                    <m:chr m:val="⃗"/>
                    <m:ctrlPr>
                      <w:rPr>
                        <w:rFonts w:ascii="Cambria Math" w:hAnsi="Cambria Math"/>
                      </w:rPr>
                    </m:ctrlPr>
                  </m:accPr>
                  <m:e>
                    <m:r>
                      <w:rPr>
                        <w:rFonts w:ascii="Cambria Math" w:hAnsi="Cambria Math"/>
                      </w:rPr>
                      <m:t>E</m:t>
                    </m:r>
                  </m:e>
                </m:acc>
                <m:r>
                  <m:rPr>
                    <m:sty m:val="p"/>
                  </m:rPr>
                  <w:rPr>
                    <w:rFonts w:ascii="Cambria Math" w:hAnsi="Cambria Math"/>
                  </w:rPr>
                  <m:t>+</m:t>
                </m:r>
                <m:r>
                  <w:rPr>
                    <w:rFonts w:ascii="Cambria Math" w:hAnsi="Cambria Math"/>
                  </w:rPr>
                  <m:t>q</m:t>
                </m:r>
                <m:sSub>
                  <m:sSubPr>
                    <m:ctrlPr>
                      <w:rPr>
                        <w:rFonts w:ascii="Cambria Math" w:hAnsi="Cambria Math"/>
                      </w:rPr>
                    </m:ctrlPr>
                  </m:sSubPr>
                  <m:e>
                    <m:r>
                      <w:rPr>
                        <w:rFonts w:ascii="Cambria Math" w:hAnsi="Cambria Math"/>
                      </w:rPr>
                      <m:t>D</m:t>
                    </m:r>
                  </m:e>
                  <m:sub>
                    <m:r>
                      <w:rPr>
                        <w:rFonts w:ascii="Cambria Math" w:hAnsi="Cambria Math"/>
                      </w:rPr>
                      <m:t>n</m:t>
                    </m:r>
                  </m:sub>
                </m:sSub>
                <m:r>
                  <m:rPr>
                    <m:sty m:val="p"/>
                  </m:rPr>
                  <w:rPr>
                    <w:rFonts w:ascii="Cambria Math" w:hAnsi="Cambria Math"/>
                  </w:rPr>
                  <m:t>∇</m:t>
                </m:r>
                <m:r>
                  <w:rPr>
                    <w:rFonts w:ascii="Cambria Math" w:hAnsi="Cambria Math" w:hint="eastAsia"/>
                  </w:rPr>
                  <m:t>n</m:t>
                </m:r>
              </m:e>
              <m:e>
                <m:acc>
                  <m:accPr>
                    <m:chr m:val="⃗"/>
                    <m:ctrlPr>
                      <w:rPr>
                        <w:rFonts w:ascii="Cambria Math" w:hAnsi="Cambria Math"/>
                      </w:rPr>
                    </m:ctrlPr>
                  </m:accPr>
                  <m:e>
                    <m:sSub>
                      <m:sSubPr>
                        <m:ctrlPr>
                          <w:rPr>
                            <w:rFonts w:ascii="Cambria Math" w:hAnsi="Cambria Math"/>
                          </w:rPr>
                        </m:ctrlPr>
                      </m:sSubPr>
                      <m:e>
                        <m:r>
                          <w:rPr>
                            <w:rFonts w:ascii="Cambria Math" w:hAnsi="Cambria Math"/>
                          </w:rPr>
                          <m:t>J</m:t>
                        </m:r>
                      </m:e>
                      <m:sub>
                        <m:r>
                          <w:rPr>
                            <w:rFonts w:ascii="Cambria Math" w:hAnsi="Cambria Math"/>
                          </w:rPr>
                          <m:t>p</m:t>
                        </m:r>
                      </m:sub>
                    </m:sSub>
                  </m:e>
                </m:acc>
                <m:r>
                  <m:rPr>
                    <m:sty m:val="p"/>
                  </m:rPr>
                  <w:rPr>
                    <w:rFonts w:ascii="Cambria Math" w:hAnsi="Cambria Math"/>
                  </w:rPr>
                  <m:t>=</m:t>
                </m:r>
                <m:r>
                  <w:rPr>
                    <w:rFonts w:ascii="Cambria Math" w:hAnsi="Cambria Math"/>
                  </w:rPr>
                  <m:t>pq</m:t>
                </m:r>
                <m:sSub>
                  <m:sSubPr>
                    <m:ctrlPr>
                      <w:rPr>
                        <w:rFonts w:ascii="Cambria Math" w:hAnsi="Cambria Math"/>
                      </w:rPr>
                    </m:ctrlPr>
                  </m:sSubPr>
                  <m:e>
                    <m:r>
                      <w:rPr>
                        <w:rFonts w:ascii="Cambria Math" w:hAnsi="Cambria Math"/>
                      </w:rPr>
                      <m:t>μ</m:t>
                    </m:r>
                  </m:e>
                  <m:sub>
                    <m:r>
                      <w:rPr>
                        <w:rFonts w:ascii="Cambria Math" w:hAnsi="Cambria Math"/>
                      </w:rPr>
                      <m:t>p</m:t>
                    </m:r>
                  </m:sub>
                </m:sSub>
                <m:acc>
                  <m:accPr>
                    <m:chr m:val="⃗"/>
                    <m:ctrlPr>
                      <w:rPr>
                        <w:rFonts w:ascii="Cambria Math" w:hAnsi="Cambria Math"/>
                      </w:rPr>
                    </m:ctrlPr>
                  </m:accPr>
                  <m:e>
                    <m:r>
                      <w:rPr>
                        <w:rFonts w:ascii="Cambria Math" w:hAnsi="Cambria Math"/>
                      </w:rPr>
                      <m:t>E</m:t>
                    </m:r>
                  </m:e>
                </m:acc>
                <m:r>
                  <m:rPr>
                    <m:sty m:val="p"/>
                  </m:rPr>
                  <w:rPr>
                    <w:rFonts w:ascii="Cambria Math" w:hAnsi="Cambria Math"/>
                  </w:rPr>
                  <m:t>-</m:t>
                </m:r>
                <m:r>
                  <w:rPr>
                    <w:rFonts w:ascii="Cambria Math" w:hAnsi="Cambria Math"/>
                  </w:rPr>
                  <m:t>q</m:t>
                </m:r>
                <m:sSub>
                  <m:sSubPr>
                    <m:ctrlPr>
                      <w:rPr>
                        <w:rFonts w:ascii="Cambria Math" w:hAnsi="Cambria Math"/>
                      </w:rPr>
                    </m:ctrlPr>
                  </m:sSubPr>
                  <m:e>
                    <m:r>
                      <w:rPr>
                        <w:rFonts w:ascii="Cambria Math" w:hAnsi="Cambria Math"/>
                      </w:rPr>
                      <m:t>D</m:t>
                    </m:r>
                  </m:e>
                  <m:sub>
                    <m:r>
                      <w:rPr>
                        <w:rFonts w:ascii="Cambria Math" w:hAnsi="Cambria Math"/>
                      </w:rPr>
                      <m:t>p</m:t>
                    </m:r>
                  </m:sub>
                </m:sSub>
                <m:r>
                  <m:rPr>
                    <m:sty m:val="p"/>
                  </m:rPr>
                  <w:rPr>
                    <w:rFonts w:ascii="Cambria Math" w:hAnsi="Cambria Math"/>
                  </w:rPr>
                  <m:t>∇</m:t>
                </m:r>
                <m:r>
                  <w:rPr>
                    <w:rFonts w:ascii="Cambria Math" w:hAnsi="Cambria Math"/>
                  </w:rPr>
                  <m:t>p</m:t>
                </m:r>
              </m:e>
            </m:eqArr>
          </m:e>
        </m:d>
      </m:oMath>
      <w:r>
        <w:rPr>
          <w:rFonts w:hAnsi="Cambria Math" w:hint="eastAsia"/>
        </w:rPr>
        <w:t xml:space="preserve"> </w:t>
      </w:r>
      <w:r>
        <w:rPr>
          <w:rFonts w:hAnsi="Cambria Math"/>
        </w:rPr>
        <w:t xml:space="preserve"> </w:t>
      </w:r>
      <w:r>
        <w:rPr>
          <w:rFonts w:hAnsi="Cambria Math" w:hint="eastAsia"/>
        </w:rPr>
        <w:t xml:space="preserve">  </w:t>
      </w:r>
      <w:r>
        <w:rPr>
          <w:rFonts w:hAnsi="Cambria Math"/>
        </w:rPr>
        <w:t xml:space="preserve"> </w:t>
      </w:r>
      <w:r>
        <w:rPr>
          <w:rFonts w:hAnsi="Cambria Math" w:hint="eastAsia"/>
        </w:rPr>
        <w:t xml:space="preserve">                        (3)</w:t>
      </w:r>
    </w:p>
    <w:p w14:paraId="03913C25" w14:textId="77777777" w:rsidR="003717D8" w:rsidRDefault="00000000">
      <w:r>
        <w:rPr>
          <w:rFonts w:hint="eastAsia"/>
        </w:rPr>
        <w:t>E</w:t>
      </w:r>
      <w:r>
        <w:t xml:space="preserve">quation (1) is the Poisson equation where </w:t>
      </w:r>
      <m:oMath>
        <m:r>
          <w:rPr>
            <w:rFonts w:ascii="Cambria Math" w:hAnsi="Cambria Math"/>
          </w:rPr>
          <m:t>φ</m:t>
        </m:r>
      </m:oMath>
      <w:r>
        <w:t xml:space="preserve"> </w:t>
      </w:r>
      <w:r>
        <w:rPr>
          <w:rFonts w:hint="eastAsia"/>
        </w:rPr>
        <w:t>is</w:t>
      </w:r>
      <w:r>
        <w:t xml:space="preserve"> the electrical potential, </w:t>
      </w:r>
      <m:oMath>
        <m:r>
          <w:rPr>
            <w:rFonts w:ascii="Cambria Math" w:hAnsi="Cambria Math"/>
          </w:rPr>
          <m:t>q</m:t>
        </m:r>
      </m:oMath>
      <w:r>
        <w:t xml:space="preserve"> is the elementary charge, </w:t>
      </w:r>
      <m:oMath>
        <m:r>
          <w:rPr>
            <w:rFonts w:ascii="Cambria Math" w:hAnsi="Cambria Math"/>
          </w:rPr>
          <m:t>ε</m:t>
        </m:r>
      </m:oMath>
      <w:r>
        <w:rPr>
          <w:rFonts w:hint="eastAsia"/>
        </w:rPr>
        <w:t xml:space="preserve"> </w:t>
      </w:r>
      <w:r>
        <w:t xml:space="preserve">is the dielectric constant,  </w:t>
      </w:r>
      <m:oMath>
        <m:r>
          <w:rPr>
            <w:rFonts w:ascii="Cambria Math" w:hAnsi="Cambria Math"/>
          </w:rPr>
          <m:t>N</m:t>
        </m:r>
      </m:oMath>
      <w:r>
        <w:rPr>
          <w:rFonts w:hint="eastAsia"/>
        </w:rPr>
        <w:t>,</w:t>
      </w:r>
      <w:r>
        <w:rPr>
          <w:rFonts w:ascii="Cambria Math" w:hAnsi="Cambria Math"/>
          <w:i/>
        </w:rPr>
        <w:t xml:space="preserve"> </w:t>
      </w:r>
      <m:oMath>
        <m:r>
          <w:rPr>
            <w:rFonts w:ascii="Cambria Math" w:hAnsi="Cambria Math"/>
          </w:rPr>
          <m:t>p</m:t>
        </m:r>
      </m:oMath>
      <w:r>
        <w:rPr>
          <w:rFonts w:ascii="Cambria Math" w:hAnsi="Cambria Math"/>
          <w:i/>
        </w:rPr>
        <w:t xml:space="preserve"> </w:t>
      </w:r>
      <w:r>
        <w:t xml:space="preserve">and </w:t>
      </w:r>
      <m:oMath>
        <m:r>
          <w:rPr>
            <w:rFonts w:ascii="Cambria Math" w:hAnsi="Cambria Math"/>
          </w:rPr>
          <m:t>n</m:t>
        </m:r>
      </m:oMath>
      <w:r>
        <w:rPr>
          <w:rFonts w:hint="eastAsia"/>
        </w:rPr>
        <w:t xml:space="preserve"> </w:t>
      </w:r>
      <w:r>
        <w:t>are the concentration of doping, hole and electron.</w:t>
      </w:r>
    </w:p>
    <w:p w14:paraId="75BD0645" w14:textId="77777777" w:rsidR="003717D8" w:rsidRDefault="00000000">
      <w:r>
        <w:rPr>
          <w:rFonts w:hint="eastAsia"/>
        </w:rPr>
        <w:t>E</w:t>
      </w:r>
      <w:r>
        <w:t xml:space="preserve">quation (2) is the carrier continuity equation, where </w:t>
      </w:r>
      <m:oMath>
        <m:f>
          <m:fPr>
            <m:ctrlPr>
              <w:rPr>
                <w:rFonts w:ascii="Cambria Math" w:hAnsi="Cambria Math"/>
                <w:i/>
              </w:rPr>
            </m:ctrlPr>
          </m:fPr>
          <m:num>
            <m:r>
              <w:rPr>
                <w:rFonts w:ascii="Cambria Math" w:hAnsi="Cambria Math"/>
              </w:rPr>
              <m:t>∂n</m:t>
            </m:r>
          </m:num>
          <m:den>
            <m:r>
              <w:rPr>
                <w:rFonts w:ascii="Cambria Math" w:hAnsi="Cambria Math"/>
              </w:rPr>
              <m:t>∂t</m:t>
            </m:r>
          </m:den>
        </m:f>
      </m:oMath>
      <w:r>
        <w:rPr>
          <w:rFonts w:hint="eastAsia"/>
        </w:rPr>
        <w:t xml:space="preserve"> </w:t>
      </w:r>
      <w:r>
        <w:t xml:space="preserve">and </w:t>
      </w:r>
      <m:oMath>
        <m:f>
          <m:fPr>
            <m:ctrlPr>
              <w:rPr>
                <w:rFonts w:ascii="Cambria Math" w:hAnsi="Cambria Math"/>
                <w:i/>
              </w:rPr>
            </m:ctrlPr>
          </m:fPr>
          <m:num>
            <m:r>
              <w:rPr>
                <w:rFonts w:ascii="Cambria Math" w:hAnsi="Cambria Math"/>
              </w:rPr>
              <m:t>∂p</m:t>
            </m:r>
          </m:num>
          <m:den>
            <m:r>
              <w:rPr>
                <w:rFonts w:ascii="Cambria Math" w:hAnsi="Cambria Math"/>
              </w:rPr>
              <m:t>∂t</m:t>
            </m:r>
          </m:den>
        </m:f>
      </m:oMath>
      <w:r>
        <w:rPr>
          <w:rFonts w:hint="eastAsia"/>
        </w:rPr>
        <w:t xml:space="preserve"> </w:t>
      </w:r>
      <w:r>
        <w:t xml:space="preserve">are the first-order partial differential of electron and hole concentration concerning time,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J</m:t>
                </m:r>
              </m:e>
              <m:sub>
                <m:r>
                  <w:rPr>
                    <w:rFonts w:ascii="Cambria Math" w:hAnsi="Cambria Math"/>
                  </w:rPr>
                  <m:t>n</m:t>
                </m:r>
              </m:sub>
            </m:sSub>
          </m:e>
        </m:acc>
      </m:oMath>
      <w:r>
        <w:rPr>
          <w:rFonts w:hint="eastAsia"/>
        </w:rPr>
        <w:t xml:space="preserve"> </w:t>
      </w:r>
      <w:r>
        <w:t xml:space="preserve">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J</m:t>
                </m:r>
              </m:e>
              <m:sub>
                <m:r>
                  <w:rPr>
                    <w:rFonts w:ascii="Cambria Math" w:hAnsi="Cambria Math"/>
                  </w:rPr>
                  <m:t>p</m:t>
                </m:r>
              </m:sub>
            </m:sSub>
          </m:e>
        </m:acc>
      </m:oMath>
      <w:r>
        <w:rPr>
          <w:rFonts w:hint="eastAsia"/>
        </w:rPr>
        <w:t xml:space="preserve"> </w:t>
      </w:r>
      <w:r>
        <w:t xml:space="preserve">are the electron and hole current density, </w:t>
      </w:r>
      <m:oMath>
        <m:sSub>
          <m:sSubPr>
            <m:ctrlPr>
              <w:rPr>
                <w:rFonts w:ascii="Cambria Math" w:hAnsi="Cambria Math"/>
                <w:i/>
              </w:rPr>
            </m:ctrlPr>
          </m:sSubPr>
          <m:e>
            <m:r>
              <w:rPr>
                <w:rFonts w:ascii="Cambria Math" w:hAnsi="Cambria Math"/>
              </w:rPr>
              <m:t>G</m:t>
            </m:r>
          </m:e>
          <m:sub>
            <m:r>
              <w:rPr>
                <w:rFonts w:ascii="Cambria Math" w:hAnsi="Cambria Math"/>
              </w:rPr>
              <m:t>n</m:t>
            </m:r>
          </m:sub>
        </m:sSub>
      </m:oMath>
      <w:r>
        <w:t>,</w:t>
      </w:r>
      <w:r>
        <w:rPr>
          <w:rFonts w:ascii="Cambria Math" w:hAnsi="Cambria Math"/>
          <w:i/>
        </w:rPr>
        <w:t xml:space="preserve"> </w:t>
      </w:r>
      <m:oMath>
        <m:sSub>
          <m:sSubPr>
            <m:ctrlPr>
              <w:rPr>
                <w:rFonts w:ascii="Cambria Math" w:hAnsi="Cambria Math"/>
                <w:i/>
              </w:rPr>
            </m:ctrlPr>
          </m:sSubPr>
          <m:e>
            <m:r>
              <w:rPr>
                <w:rFonts w:ascii="Cambria Math" w:hAnsi="Cambria Math"/>
              </w:rPr>
              <m:t>G</m:t>
            </m:r>
          </m:e>
          <m:sub>
            <m:r>
              <w:rPr>
                <w:rFonts w:ascii="Cambria Math" w:hAnsi="Cambria Math"/>
              </w:rPr>
              <m:t>p</m:t>
            </m:r>
          </m:sub>
        </m:sSub>
      </m:oMath>
      <w:r>
        <w:rPr>
          <w:rFonts w:ascii="Cambria Math" w:hAnsi="Cambria Math" w:hint="eastAsia"/>
          <w:i/>
        </w:rPr>
        <w:t xml:space="preserve"> </w:t>
      </w:r>
      <w:r>
        <w:t xml:space="preserve">and </w:t>
      </w:r>
      <m:oMath>
        <m:sSub>
          <m:sSubPr>
            <m:ctrlPr>
              <w:rPr>
                <w:rFonts w:ascii="Cambria Math" w:hAnsi="Cambria Math"/>
                <w:i/>
              </w:rPr>
            </m:ctrlPr>
          </m:sSubPr>
          <m:e>
            <m:r>
              <w:rPr>
                <w:rFonts w:ascii="Cambria Math" w:hAnsi="Cambria Math"/>
              </w:rPr>
              <m:t>R</m:t>
            </m:r>
          </m:e>
          <m:sub>
            <m:r>
              <w:rPr>
                <w:rFonts w:ascii="Cambria Math" w:hAnsi="Cambria Math"/>
              </w:rPr>
              <m:t>n</m:t>
            </m:r>
          </m:sub>
        </m:sSub>
      </m:oMath>
      <w:r>
        <w:rPr>
          <w:rFonts w:hint="eastAsia"/>
        </w:rPr>
        <w:t>,</w:t>
      </w:r>
      <w:r>
        <w:t xml:space="preserve"> </w:t>
      </w:r>
      <m:oMath>
        <m:sSub>
          <m:sSubPr>
            <m:ctrlPr>
              <w:rPr>
                <w:rFonts w:ascii="Cambria Math" w:hAnsi="Cambria Math"/>
                <w:i/>
              </w:rPr>
            </m:ctrlPr>
          </m:sSubPr>
          <m:e>
            <m:r>
              <w:rPr>
                <w:rFonts w:ascii="Cambria Math" w:hAnsi="Cambria Math"/>
              </w:rPr>
              <m:t>R</m:t>
            </m:r>
          </m:e>
          <m:sub>
            <m:r>
              <w:rPr>
                <w:rFonts w:ascii="Cambria Math" w:hAnsi="Cambria Math"/>
              </w:rPr>
              <m:t>p</m:t>
            </m:r>
          </m:sub>
        </m:sSub>
      </m:oMath>
      <w:r>
        <w:rPr>
          <w:rFonts w:hint="eastAsia"/>
        </w:rPr>
        <w:t xml:space="preserve"> </w:t>
      </w:r>
      <w:r>
        <w:t>are the generation and recombination of electron and hole.</w:t>
      </w:r>
    </w:p>
    <w:p w14:paraId="6FA6730F" w14:textId="77777777" w:rsidR="003717D8" w:rsidRDefault="00000000">
      <w:r>
        <w:rPr>
          <w:rFonts w:hint="eastAsia"/>
        </w:rPr>
        <w:t>E</w:t>
      </w:r>
      <w:r>
        <w:t xml:space="preserve">quation (3) is the drift-diffusion equation where </w:t>
      </w:r>
      <m:oMath>
        <m:sSub>
          <m:sSubPr>
            <m:ctrlPr>
              <w:rPr>
                <w:rFonts w:ascii="Cambria Math" w:hAnsi="Cambria Math"/>
                <w:i/>
              </w:rPr>
            </m:ctrlPr>
          </m:sSubPr>
          <m:e>
            <m:r>
              <w:rPr>
                <w:rFonts w:ascii="Cambria Math" w:hAnsi="Cambria Math"/>
              </w:rPr>
              <m:t>μ</m:t>
            </m:r>
          </m:e>
          <m:sub>
            <m:r>
              <w:rPr>
                <w:rFonts w:ascii="Cambria Math" w:hAnsi="Cambria Math"/>
              </w:rPr>
              <m:t>n</m:t>
            </m:r>
          </m:sub>
        </m:sSub>
      </m:oMath>
      <w:r>
        <w:rPr>
          <w:rFonts w:hint="eastAsia"/>
        </w:rPr>
        <w:t xml:space="preserve"> </w:t>
      </w:r>
      <w:r>
        <w:t xml:space="preserve">and </w:t>
      </w:r>
      <m:oMath>
        <m:sSub>
          <m:sSubPr>
            <m:ctrlPr>
              <w:rPr>
                <w:rFonts w:ascii="Cambria Math" w:hAnsi="Cambria Math"/>
                <w:i/>
              </w:rPr>
            </m:ctrlPr>
          </m:sSubPr>
          <m:e>
            <m:r>
              <w:rPr>
                <w:rFonts w:ascii="Cambria Math" w:hAnsi="Cambria Math"/>
              </w:rPr>
              <m:t>μ</m:t>
            </m:r>
          </m:e>
          <m:sub>
            <m:r>
              <w:rPr>
                <w:rFonts w:ascii="Cambria Math" w:hAnsi="Cambria Math"/>
              </w:rPr>
              <m:t>p</m:t>
            </m:r>
          </m:sub>
        </m:sSub>
      </m:oMath>
      <w:r>
        <w:rPr>
          <w:rFonts w:hint="eastAsia"/>
        </w:rPr>
        <w:t xml:space="preserve"> </w:t>
      </w:r>
      <w:r>
        <w:t xml:space="preserve">are the mobility of electron and hole, </w:t>
      </w:r>
      <m:oMath>
        <m:acc>
          <m:accPr>
            <m:chr m:val="⃗"/>
            <m:ctrlPr>
              <w:rPr>
                <w:rFonts w:ascii="Cambria Math" w:hAnsi="Cambria Math"/>
                <w:i/>
              </w:rPr>
            </m:ctrlPr>
          </m:accPr>
          <m:e>
            <m:r>
              <w:rPr>
                <w:rFonts w:ascii="Cambria Math" w:hAnsi="Cambria Math"/>
              </w:rPr>
              <m:t>E</m:t>
            </m:r>
          </m:e>
        </m:acc>
      </m:oMath>
      <w:r>
        <w:rPr>
          <w:rFonts w:hint="eastAsia"/>
        </w:rPr>
        <w:t xml:space="preserve"> </w:t>
      </w:r>
      <w:r>
        <w:t xml:space="preserve">is the electric field strength, </w:t>
      </w:r>
      <m:oMath>
        <m:sSub>
          <m:sSubPr>
            <m:ctrlPr>
              <w:rPr>
                <w:rFonts w:ascii="Cambria Math" w:hAnsi="Cambria Math"/>
                <w:i/>
              </w:rPr>
            </m:ctrlPr>
          </m:sSubPr>
          <m:e>
            <m:r>
              <w:rPr>
                <w:rFonts w:ascii="Cambria Math" w:hAnsi="Cambria Math"/>
              </w:rPr>
              <m:t>D</m:t>
            </m:r>
          </m:e>
          <m:sub>
            <m:r>
              <w:rPr>
                <w:rFonts w:ascii="Cambria Math" w:hAnsi="Cambria Math"/>
              </w:rPr>
              <m:t>n</m:t>
            </m:r>
          </m:sub>
        </m:sSub>
      </m:oMath>
      <w:r>
        <w:rPr>
          <w:rFonts w:hint="eastAsia"/>
        </w:rPr>
        <w:t xml:space="preserve"> </w:t>
      </w:r>
      <w:r>
        <w:t xml:space="preserve">and </w:t>
      </w:r>
      <m:oMath>
        <m:sSub>
          <m:sSubPr>
            <m:ctrlPr>
              <w:rPr>
                <w:rFonts w:ascii="Cambria Math" w:hAnsi="Cambria Math"/>
                <w:i/>
              </w:rPr>
            </m:ctrlPr>
          </m:sSubPr>
          <m:e>
            <m:r>
              <w:rPr>
                <w:rFonts w:ascii="Cambria Math" w:hAnsi="Cambria Math"/>
              </w:rPr>
              <m:t>D</m:t>
            </m:r>
          </m:e>
          <m:sub>
            <m:r>
              <w:rPr>
                <w:rFonts w:ascii="Cambria Math" w:hAnsi="Cambria Math"/>
              </w:rPr>
              <m:t>p</m:t>
            </m:r>
          </m:sub>
        </m:sSub>
      </m:oMath>
      <w:r>
        <w:rPr>
          <w:rFonts w:hint="eastAsia"/>
        </w:rPr>
        <w:t xml:space="preserve"> </w:t>
      </w:r>
      <w:r>
        <w:t>are the diffusion coefficient of electron and hole.</w:t>
      </w:r>
    </w:p>
    <w:p w14:paraId="5F98F92A" w14:textId="77777777" w:rsidR="003717D8" w:rsidRDefault="00000000">
      <w:r>
        <w:t xml:space="preserve">Except for these three fundamental equations, </w:t>
      </w:r>
      <w:r>
        <w:rPr>
          <w:rFonts w:hint="eastAsia"/>
        </w:rPr>
        <w:t>TCAD</w:t>
      </w:r>
      <w:r>
        <w:t xml:space="preserve"> will add equations declared in its “device” command to correct the electrical potential, electron, and hole concentration. Different densities of traps are placed at the contact region to simulate the defects. For mobility shift, scattering from the ionized impurity and gate oxide are under consideration, high field saturation phenomenon is also included. The “OldSlotboom” model is used for band narrowing while the</w:t>
      </w:r>
      <w:r>
        <w:rPr>
          <w:rFonts w:eastAsia="宋体" w:hint="eastAsia"/>
        </w:rPr>
        <w:t xml:space="preserve"> interface-charge</w:t>
      </w:r>
      <w:r>
        <w:t xml:space="preserve"> </w:t>
      </w:r>
      <w:r>
        <w:rPr>
          <w:rFonts w:eastAsia="宋体" w:hint="eastAsia"/>
        </w:rPr>
        <w:t xml:space="preserve">specified </w:t>
      </w:r>
      <w:r>
        <w:t>“Shockley-Read-Hall (SHR)” models are used for recombination.</w:t>
      </w:r>
    </w:p>
    <w:p w14:paraId="0A9B9DB2" w14:textId="77777777" w:rsidR="003717D8" w:rsidRDefault="003717D8"/>
    <w:p w14:paraId="0EFD7C8D" w14:textId="77777777" w:rsidR="003717D8" w:rsidRDefault="00000000">
      <w:pPr>
        <w:widowControl/>
        <w:spacing w:line="240" w:lineRule="auto"/>
        <w:jc w:val="left"/>
      </w:pPr>
      <w:r>
        <w:br w:type="page"/>
      </w:r>
    </w:p>
    <w:p w14:paraId="2D9FDA42" w14:textId="77777777" w:rsidR="003717D8" w:rsidRDefault="00000000">
      <w:pPr>
        <w:spacing w:afterLines="50" w:after="156"/>
        <w:jc w:val="center"/>
      </w:pPr>
      <w:r>
        <w:rPr>
          <w:b/>
          <w:bCs/>
        </w:rPr>
        <w:lastRenderedPageBreak/>
        <w:t>S</w:t>
      </w:r>
      <w:r>
        <w:rPr>
          <w:rFonts w:hint="eastAsia"/>
          <w:b/>
          <w:bCs/>
        </w:rPr>
        <w:t>upplementary T</w:t>
      </w:r>
      <w:r>
        <w:rPr>
          <w:b/>
          <w:bCs/>
        </w:rPr>
        <w:t xml:space="preserve">able </w:t>
      </w:r>
      <w:r>
        <w:rPr>
          <w:rFonts w:eastAsia="宋体" w:hint="eastAsia"/>
          <w:b/>
          <w:bCs/>
        </w:rPr>
        <w:t>1</w:t>
      </w:r>
      <w:r>
        <w:rPr>
          <w:b/>
          <w:bCs/>
        </w:rPr>
        <w:t xml:space="preserve"> </w:t>
      </w:r>
      <w:r>
        <w:t>The parameters used in the TCAD simulation</w:t>
      </w:r>
    </w:p>
    <w:tbl>
      <w:tblPr>
        <w:tblW w:w="6561" w:type="dxa"/>
        <w:jc w:val="center"/>
        <w:tblCellMar>
          <w:left w:w="0" w:type="dxa"/>
          <w:right w:w="0" w:type="dxa"/>
        </w:tblCellMar>
        <w:tblLook w:val="04A0" w:firstRow="1" w:lastRow="0" w:firstColumn="1" w:lastColumn="0" w:noHBand="0" w:noVBand="1"/>
      </w:tblPr>
      <w:tblGrid>
        <w:gridCol w:w="3090"/>
        <w:gridCol w:w="3471"/>
      </w:tblGrid>
      <w:tr w:rsidR="003717D8" w14:paraId="4A258DD2" w14:textId="77777777">
        <w:trPr>
          <w:trHeight w:val="24"/>
          <w:jc w:val="center"/>
        </w:trPr>
        <w:tc>
          <w:tcPr>
            <w:tcW w:w="6561"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6884CFD2" w14:textId="77777777" w:rsidR="003717D8" w:rsidRDefault="00000000">
            <w:pPr>
              <w:spacing w:line="240" w:lineRule="auto"/>
              <w:jc w:val="center"/>
              <w:rPr>
                <w:rFonts w:eastAsia="等线"/>
              </w:rPr>
            </w:pPr>
            <w:r>
              <w:rPr>
                <w:rFonts w:eastAsia="等线" w:hint="eastAsia"/>
              </w:rPr>
              <w:t>Material: BP</w:t>
            </w:r>
          </w:p>
        </w:tc>
      </w:tr>
      <w:tr w:rsidR="003717D8" w14:paraId="5DB1F4C4"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tcPr>
          <w:p w14:paraId="1DBE85A9" w14:textId="77777777" w:rsidR="003717D8" w:rsidRDefault="00000000">
            <w:pPr>
              <w:spacing w:line="240" w:lineRule="auto"/>
              <w:jc w:val="left"/>
              <w:rPr>
                <w:rFonts w:eastAsia="等线"/>
              </w:rPr>
            </w:pPr>
            <w:r>
              <w:rPr>
                <w:rFonts w:eastAsia="等线"/>
              </w:rPr>
              <w:t>Parameter</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311A6C1A" w14:textId="77777777" w:rsidR="003717D8" w:rsidRDefault="00000000">
            <w:pPr>
              <w:spacing w:line="240" w:lineRule="auto"/>
              <w:jc w:val="left"/>
              <w:rPr>
                <w:rFonts w:eastAsia="等线"/>
              </w:rPr>
            </w:pPr>
            <w:r>
              <w:rPr>
                <w:rFonts w:eastAsia="等线"/>
              </w:rPr>
              <w:t>Value</w:t>
            </w:r>
          </w:p>
        </w:tc>
      </w:tr>
      <w:tr w:rsidR="003717D8" w14:paraId="2133EA63"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0F07DC72" w14:textId="77777777" w:rsidR="003717D8" w:rsidRDefault="00000000">
            <w:pPr>
              <w:spacing w:line="240" w:lineRule="auto"/>
              <w:ind w:firstLineChars="50" w:firstLine="120"/>
              <w:rPr>
                <w:rFonts w:eastAsia="等线"/>
              </w:rPr>
            </w:pPr>
            <w:r>
              <w:rPr>
                <w:rFonts w:eastAsia="等线"/>
              </w:rPr>
              <w:t>Band gap</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3BA0C1B4" w14:textId="77777777" w:rsidR="003717D8" w:rsidRDefault="00000000">
            <w:pPr>
              <w:spacing w:line="240" w:lineRule="auto"/>
              <w:rPr>
                <w:rFonts w:eastAsia="等线"/>
              </w:rPr>
            </w:pPr>
            <w:r>
              <w:rPr>
                <w:rFonts w:eastAsia="等线" w:hint="eastAsia"/>
              </w:rPr>
              <w:t>0.78</w:t>
            </w:r>
            <w:r>
              <w:rPr>
                <w:rFonts w:eastAsia="等线"/>
              </w:rPr>
              <w:t xml:space="preserve"> eV</w:t>
            </w:r>
          </w:p>
        </w:tc>
      </w:tr>
      <w:tr w:rsidR="003717D8" w14:paraId="533F94F0"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5FB3A331" w14:textId="77777777" w:rsidR="003717D8" w:rsidRDefault="00000000">
            <w:pPr>
              <w:spacing w:line="240" w:lineRule="auto"/>
              <w:ind w:firstLineChars="50" w:firstLine="120"/>
              <w:rPr>
                <w:rFonts w:eastAsia="等线"/>
              </w:rPr>
            </w:pPr>
            <w:r>
              <w:rPr>
                <w:rFonts w:eastAsia="等线"/>
              </w:rPr>
              <w:t>Electron mass</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098876BB" w14:textId="77777777" w:rsidR="003717D8" w:rsidRDefault="00000000">
            <w:pPr>
              <w:spacing w:line="240" w:lineRule="auto"/>
              <w:rPr>
                <w:rFonts w:eastAsia="等线"/>
              </w:rPr>
            </w:pPr>
            <w:r>
              <w:rPr>
                <w:rFonts w:eastAsia="等线"/>
              </w:rPr>
              <w:t>0.</w:t>
            </w:r>
            <w:r>
              <w:rPr>
                <w:rFonts w:eastAsia="等线" w:hint="eastAsia"/>
              </w:rPr>
              <w:t>42</w:t>
            </w:r>
            <w:r>
              <w:rPr>
                <w:rFonts w:eastAsia="等线"/>
              </w:rPr>
              <w:t xml:space="preserve"> m</w:t>
            </w:r>
            <w:r>
              <w:rPr>
                <w:rFonts w:eastAsia="等线"/>
                <w:vertAlign w:val="subscript"/>
              </w:rPr>
              <w:t>0</w:t>
            </w:r>
          </w:p>
        </w:tc>
      </w:tr>
      <w:tr w:rsidR="003717D8" w14:paraId="6F69E1F5"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49418D15" w14:textId="77777777" w:rsidR="003717D8" w:rsidRDefault="00000000">
            <w:pPr>
              <w:spacing w:line="240" w:lineRule="auto"/>
              <w:ind w:firstLineChars="50" w:firstLine="120"/>
              <w:rPr>
                <w:rFonts w:eastAsia="等线"/>
              </w:rPr>
            </w:pPr>
            <w:r>
              <w:rPr>
                <w:rFonts w:eastAsia="等线"/>
              </w:rPr>
              <w:t>Hole mass</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72CE4CEC" w14:textId="77777777" w:rsidR="003717D8" w:rsidRDefault="00000000">
            <w:pPr>
              <w:spacing w:line="240" w:lineRule="auto"/>
              <w:rPr>
                <w:rFonts w:eastAsia="等线"/>
              </w:rPr>
            </w:pPr>
            <w:r>
              <w:rPr>
                <w:rFonts w:eastAsia="等线" w:hint="eastAsia"/>
              </w:rPr>
              <w:t>0.35</w:t>
            </w:r>
            <w:r>
              <w:rPr>
                <w:rFonts w:eastAsia="等线"/>
              </w:rPr>
              <w:t xml:space="preserve"> m</w:t>
            </w:r>
            <w:r>
              <w:rPr>
                <w:rFonts w:eastAsia="等线"/>
                <w:vertAlign w:val="subscript"/>
              </w:rPr>
              <w:t>0</w:t>
            </w:r>
          </w:p>
        </w:tc>
      </w:tr>
      <w:tr w:rsidR="003717D8" w14:paraId="5E37A62A"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4C0E6751" w14:textId="77777777" w:rsidR="003717D8" w:rsidRDefault="00000000">
            <w:pPr>
              <w:spacing w:line="240" w:lineRule="auto"/>
              <w:ind w:firstLineChars="50" w:firstLine="120"/>
              <w:rPr>
                <w:rFonts w:eastAsia="等线"/>
              </w:rPr>
            </w:pPr>
            <w:r>
              <w:rPr>
                <w:rFonts w:eastAsia="等线" w:hint="eastAsia"/>
              </w:rPr>
              <w:t>Relative Epsilon</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5F9E7D3E" w14:textId="77777777" w:rsidR="003717D8" w:rsidRDefault="00000000">
            <w:pPr>
              <w:spacing w:line="240" w:lineRule="auto"/>
              <w:rPr>
                <w:rFonts w:eastAsia="等线"/>
              </w:rPr>
            </w:pPr>
            <w:r>
              <w:rPr>
                <w:rFonts w:eastAsia="等线" w:hint="eastAsia"/>
              </w:rPr>
              <w:t>8.3</w:t>
            </w:r>
          </w:p>
        </w:tc>
      </w:tr>
      <w:tr w:rsidR="003717D8" w14:paraId="37065988"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17EE6FA7" w14:textId="77777777" w:rsidR="003717D8" w:rsidRDefault="00000000">
            <w:pPr>
              <w:spacing w:line="240" w:lineRule="auto"/>
              <w:ind w:firstLineChars="50" w:firstLine="120"/>
              <w:rPr>
                <w:rFonts w:eastAsia="等线"/>
              </w:rPr>
            </w:pPr>
            <w:r>
              <w:rPr>
                <w:rFonts w:eastAsia="等线" w:hint="eastAsia"/>
              </w:rPr>
              <w:t>ConstantMobility:</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313E1DB4" w14:textId="77777777" w:rsidR="003717D8" w:rsidRDefault="00000000">
            <w:pPr>
              <w:spacing w:line="240" w:lineRule="auto"/>
              <w:rPr>
                <w:rFonts w:eastAsia="等线"/>
              </w:rPr>
            </w:pPr>
            <w:r>
              <w:rPr>
                <w:rFonts w:eastAsia="等线" w:hint="eastAsia"/>
              </w:rPr>
              <w:t>500 cm</w:t>
            </w:r>
            <w:r>
              <w:rPr>
                <w:rFonts w:eastAsia="等线" w:hint="eastAsia"/>
                <w:vertAlign w:val="superscript"/>
              </w:rPr>
              <w:t>2</w:t>
            </w:r>
            <w:r>
              <w:rPr>
                <w:rFonts w:eastAsia="等线" w:hint="eastAsia"/>
              </w:rPr>
              <w:t>/(Vs)</w:t>
            </w:r>
          </w:p>
        </w:tc>
      </w:tr>
      <w:tr w:rsidR="003717D8" w14:paraId="3108A223" w14:textId="77777777">
        <w:trPr>
          <w:trHeight w:val="24"/>
          <w:jc w:val="center"/>
        </w:trPr>
        <w:tc>
          <w:tcPr>
            <w:tcW w:w="6561" w:type="dxa"/>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09A599C4" w14:textId="77777777" w:rsidR="003717D8" w:rsidRDefault="00000000">
            <w:pPr>
              <w:spacing w:line="240" w:lineRule="auto"/>
              <w:jc w:val="center"/>
              <w:rPr>
                <w:rFonts w:eastAsia="等线"/>
              </w:rPr>
            </w:pPr>
            <w:r>
              <w:rPr>
                <w:rFonts w:eastAsia="等线" w:hint="eastAsia"/>
              </w:rPr>
              <w:t>Material: MoS</w:t>
            </w:r>
            <w:r>
              <w:rPr>
                <w:rFonts w:eastAsia="等线" w:hint="eastAsia"/>
                <w:vertAlign w:val="subscript"/>
              </w:rPr>
              <w:t>2</w:t>
            </w:r>
          </w:p>
        </w:tc>
      </w:tr>
      <w:tr w:rsidR="003717D8" w14:paraId="76B342FE"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3340D974" w14:textId="77777777" w:rsidR="003717D8" w:rsidRDefault="00000000">
            <w:pPr>
              <w:spacing w:line="240" w:lineRule="auto"/>
              <w:ind w:firstLineChars="50" w:firstLine="120"/>
              <w:rPr>
                <w:rFonts w:eastAsia="等线" w:cs="Times New Roman"/>
                <w:szCs w:val="28"/>
              </w:rPr>
            </w:pPr>
            <w:r>
              <w:rPr>
                <w:rFonts w:eastAsia="等线"/>
              </w:rPr>
              <w:t>Parameter</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59E30E95" w14:textId="77777777" w:rsidR="003717D8" w:rsidRDefault="00000000">
            <w:pPr>
              <w:spacing w:line="240" w:lineRule="auto"/>
              <w:rPr>
                <w:rFonts w:eastAsia="等线" w:cs="Times New Roman"/>
                <w:szCs w:val="28"/>
              </w:rPr>
            </w:pPr>
            <w:r>
              <w:rPr>
                <w:rFonts w:eastAsia="等线"/>
              </w:rPr>
              <w:t>Value</w:t>
            </w:r>
          </w:p>
        </w:tc>
      </w:tr>
      <w:tr w:rsidR="003717D8" w14:paraId="2F521CAE"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561DF472" w14:textId="77777777" w:rsidR="003717D8" w:rsidRDefault="00000000">
            <w:pPr>
              <w:spacing w:line="240" w:lineRule="auto"/>
              <w:ind w:firstLineChars="50" w:firstLine="120"/>
              <w:rPr>
                <w:rFonts w:eastAsia="等线" w:cs="Times New Roman"/>
                <w:szCs w:val="28"/>
              </w:rPr>
            </w:pPr>
            <w:r>
              <w:rPr>
                <w:rFonts w:eastAsia="等线"/>
              </w:rPr>
              <w:t>Band gap</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5637A216" w14:textId="77777777" w:rsidR="003717D8" w:rsidRDefault="00000000">
            <w:pPr>
              <w:spacing w:line="240" w:lineRule="auto"/>
              <w:rPr>
                <w:rFonts w:eastAsia="等线" w:cs="Times New Roman"/>
                <w:szCs w:val="28"/>
              </w:rPr>
            </w:pPr>
            <w:r>
              <w:rPr>
                <w:rFonts w:eastAsia="等线" w:hint="eastAsia"/>
              </w:rPr>
              <w:t>1.8</w:t>
            </w:r>
            <w:r>
              <w:rPr>
                <w:rFonts w:eastAsia="等线"/>
              </w:rPr>
              <w:t xml:space="preserve"> eV</w:t>
            </w:r>
          </w:p>
        </w:tc>
      </w:tr>
      <w:tr w:rsidR="003717D8" w14:paraId="20F940FA"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7C230E42" w14:textId="77777777" w:rsidR="003717D8" w:rsidRDefault="00000000">
            <w:pPr>
              <w:spacing w:line="240" w:lineRule="auto"/>
              <w:ind w:firstLineChars="50" w:firstLine="120"/>
              <w:rPr>
                <w:rFonts w:eastAsia="等线" w:cs="Times New Roman"/>
                <w:szCs w:val="28"/>
              </w:rPr>
            </w:pPr>
            <w:r>
              <w:rPr>
                <w:rFonts w:eastAsia="等线"/>
              </w:rPr>
              <w:t>Electron mass</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67E6EC04" w14:textId="77777777" w:rsidR="003717D8" w:rsidRDefault="00000000">
            <w:pPr>
              <w:spacing w:line="240" w:lineRule="auto"/>
              <w:rPr>
                <w:rFonts w:eastAsia="等线" w:cs="Times New Roman"/>
                <w:szCs w:val="28"/>
              </w:rPr>
            </w:pPr>
            <w:r>
              <w:rPr>
                <w:rFonts w:eastAsia="等线"/>
              </w:rPr>
              <w:t>0.</w:t>
            </w:r>
            <w:r>
              <w:rPr>
                <w:rFonts w:eastAsia="等线" w:hint="eastAsia"/>
              </w:rPr>
              <w:t>501</w:t>
            </w:r>
            <w:r>
              <w:rPr>
                <w:rFonts w:eastAsia="等线"/>
              </w:rPr>
              <w:t xml:space="preserve"> m</w:t>
            </w:r>
            <w:r>
              <w:rPr>
                <w:rFonts w:eastAsia="等线"/>
                <w:vertAlign w:val="subscript"/>
              </w:rPr>
              <w:t>0</w:t>
            </w:r>
          </w:p>
        </w:tc>
      </w:tr>
      <w:tr w:rsidR="003717D8" w14:paraId="3128AFEB"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153E8366" w14:textId="77777777" w:rsidR="003717D8" w:rsidRDefault="00000000">
            <w:pPr>
              <w:spacing w:line="240" w:lineRule="auto"/>
              <w:ind w:firstLineChars="50" w:firstLine="120"/>
              <w:rPr>
                <w:rFonts w:eastAsia="等线" w:cs="Times New Roman"/>
                <w:szCs w:val="28"/>
              </w:rPr>
            </w:pPr>
            <w:r>
              <w:rPr>
                <w:rFonts w:eastAsia="等线"/>
              </w:rPr>
              <w:t>Hole mass</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1A43ABF6" w14:textId="77777777" w:rsidR="003717D8" w:rsidRDefault="00000000">
            <w:pPr>
              <w:spacing w:line="240" w:lineRule="auto"/>
              <w:rPr>
                <w:rFonts w:eastAsia="等线" w:cs="Times New Roman"/>
                <w:szCs w:val="28"/>
              </w:rPr>
            </w:pPr>
            <w:r>
              <w:rPr>
                <w:rFonts w:eastAsia="等线" w:hint="eastAsia"/>
              </w:rPr>
              <w:t>0.588</w:t>
            </w:r>
            <w:r>
              <w:rPr>
                <w:rFonts w:eastAsia="等线"/>
              </w:rPr>
              <w:t xml:space="preserve"> m</w:t>
            </w:r>
            <w:r>
              <w:rPr>
                <w:rFonts w:eastAsia="等线"/>
                <w:vertAlign w:val="subscript"/>
              </w:rPr>
              <w:t>0</w:t>
            </w:r>
          </w:p>
        </w:tc>
      </w:tr>
      <w:tr w:rsidR="003717D8" w14:paraId="27ADBB06"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00F1A304" w14:textId="77777777" w:rsidR="003717D8" w:rsidRDefault="00000000">
            <w:pPr>
              <w:spacing w:line="240" w:lineRule="auto"/>
              <w:ind w:firstLineChars="50" w:firstLine="120"/>
              <w:rPr>
                <w:rFonts w:eastAsia="等线" w:cs="Times New Roman"/>
                <w:szCs w:val="28"/>
              </w:rPr>
            </w:pPr>
            <w:r>
              <w:rPr>
                <w:rFonts w:eastAsia="等线" w:hint="eastAsia"/>
              </w:rPr>
              <w:t>Relative Epsilon</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51077F5C" w14:textId="77777777" w:rsidR="003717D8" w:rsidRDefault="00000000">
            <w:pPr>
              <w:spacing w:line="240" w:lineRule="auto"/>
              <w:rPr>
                <w:rFonts w:eastAsia="等线" w:cs="Times New Roman"/>
                <w:szCs w:val="28"/>
              </w:rPr>
            </w:pPr>
            <w:r>
              <w:rPr>
                <w:rFonts w:eastAsia="等线" w:hint="eastAsia"/>
              </w:rPr>
              <w:t>4</w:t>
            </w:r>
          </w:p>
        </w:tc>
      </w:tr>
      <w:tr w:rsidR="003717D8" w14:paraId="660DBDC3"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4EECA8E0" w14:textId="77777777" w:rsidR="003717D8" w:rsidRDefault="00000000">
            <w:pPr>
              <w:spacing w:line="240" w:lineRule="auto"/>
              <w:ind w:firstLineChars="50" w:firstLine="120"/>
              <w:rPr>
                <w:rFonts w:eastAsia="等线" w:cs="Times New Roman"/>
                <w:szCs w:val="28"/>
              </w:rPr>
            </w:pPr>
            <w:r>
              <w:rPr>
                <w:rFonts w:eastAsia="等线" w:hint="eastAsia"/>
              </w:rPr>
              <w:t>ConstantMobility:</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68176F17" w14:textId="77777777" w:rsidR="003717D8" w:rsidRDefault="00000000">
            <w:pPr>
              <w:spacing w:line="240" w:lineRule="auto"/>
              <w:rPr>
                <w:rFonts w:eastAsia="等线" w:cs="Times New Roman"/>
                <w:szCs w:val="28"/>
              </w:rPr>
            </w:pPr>
            <w:r>
              <w:rPr>
                <w:rFonts w:eastAsia="等线" w:hint="eastAsia"/>
              </w:rPr>
              <w:t>100 cm</w:t>
            </w:r>
            <w:r>
              <w:rPr>
                <w:rFonts w:eastAsia="等线" w:hint="eastAsia"/>
                <w:vertAlign w:val="superscript"/>
              </w:rPr>
              <w:t>2</w:t>
            </w:r>
            <w:r>
              <w:rPr>
                <w:rFonts w:eastAsia="等线" w:hint="eastAsia"/>
              </w:rPr>
              <w:t>/(Vs)</w:t>
            </w:r>
          </w:p>
        </w:tc>
      </w:tr>
      <w:tr w:rsidR="003717D8" w14:paraId="05953887" w14:textId="77777777">
        <w:trPr>
          <w:trHeight w:val="24"/>
          <w:jc w:val="center"/>
        </w:trPr>
        <w:tc>
          <w:tcPr>
            <w:tcW w:w="6561" w:type="dxa"/>
            <w:gridSpan w:val="2"/>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3835DE12" w14:textId="77777777" w:rsidR="003717D8" w:rsidRDefault="00000000">
            <w:pPr>
              <w:spacing w:line="240" w:lineRule="auto"/>
              <w:jc w:val="center"/>
              <w:rPr>
                <w:rFonts w:eastAsia="等线"/>
              </w:rPr>
            </w:pPr>
            <w:r>
              <w:rPr>
                <w:rFonts w:eastAsia="等线" w:hint="eastAsia"/>
              </w:rPr>
              <w:t>Material: F</w:t>
            </w:r>
            <w:r>
              <w:rPr>
                <w:rFonts w:hint="eastAsia"/>
              </w:rPr>
              <w:t xml:space="preserve">erroelectric </w:t>
            </w:r>
            <w:r>
              <w:rPr>
                <w:rFonts w:eastAsia="宋体" w:hint="eastAsia"/>
              </w:rPr>
              <w:t>M</w:t>
            </w:r>
            <w:r>
              <w:rPr>
                <w:rFonts w:hint="eastAsia"/>
              </w:rPr>
              <w:t>aterials</w:t>
            </w:r>
          </w:p>
        </w:tc>
      </w:tr>
      <w:tr w:rsidR="003717D8" w14:paraId="21D7B020"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48A63A4E" w14:textId="77777777" w:rsidR="003717D8" w:rsidRDefault="00000000">
            <w:pPr>
              <w:spacing w:line="240" w:lineRule="auto"/>
              <w:ind w:firstLineChars="50" w:firstLine="120"/>
              <w:rPr>
                <w:rFonts w:eastAsia="等线" w:cs="Times New Roman"/>
                <w:szCs w:val="28"/>
              </w:rPr>
            </w:pPr>
            <w:r>
              <w:rPr>
                <w:rFonts w:eastAsia="等线"/>
              </w:rPr>
              <w:t>Parameter</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2C17A312" w14:textId="77777777" w:rsidR="003717D8" w:rsidRDefault="00000000">
            <w:pPr>
              <w:spacing w:line="240" w:lineRule="auto"/>
              <w:rPr>
                <w:rFonts w:eastAsia="等线" w:cs="Times New Roman"/>
                <w:szCs w:val="28"/>
              </w:rPr>
            </w:pPr>
            <w:r>
              <w:rPr>
                <w:rFonts w:eastAsia="等线"/>
              </w:rPr>
              <w:t>Value</w:t>
            </w:r>
          </w:p>
        </w:tc>
      </w:tr>
      <w:tr w:rsidR="003717D8" w14:paraId="555E5062"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6A8C7325" w14:textId="77777777" w:rsidR="003717D8" w:rsidRDefault="00000000">
            <w:pPr>
              <w:spacing w:line="240" w:lineRule="auto"/>
              <w:ind w:firstLineChars="50" w:firstLine="120"/>
              <w:rPr>
                <w:rFonts w:eastAsia="等线" w:cs="Times New Roman"/>
                <w:szCs w:val="28"/>
              </w:rPr>
            </w:pPr>
            <w:r>
              <w:rPr>
                <w:rFonts w:hAnsi="Cambria Math" w:hint="eastAsia"/>
              </w:rPr>
              <w:t>Coercive Field</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292A4323" w14:textId="77777777" w:rsidR="003717D8" w:rsidRDefault="00000000">
            <w:pPr>
              <w:spacing w:line="240" w:lineRule="auto"/>
              <w:rPr>
                <w:rFonts w:eastAsia="等线" w:cs="Times New Roman"/>
                <w:szCs w:val="28"/>
              </w:rPr>
            </w:pPr>
            <w:r>
              <w:rPr>
                <w:rFonts w:eastAsia="等线" w:cs="Times New Roman" w:hint="eastAsia"/>
                <w:szCs w:val="28"/>
              </w:rPr>
              <w:t>1.2</w:t>
            </w:r>
            <w:r>
              <w:rPr>
                <w:rFonts w:eastAsia="等线" w:cs="Times New Roman" w:hint="eastAsia"/>
                <w:szCs w:val="28"/>
              </w:rPr>
              <w:t>×</w:t>
            </w:r>
            <w:r>
              <w:rPr>
                <w:rFonts w:eastAsia="等线" w:cs="Times New Roman" w:hint="eastAsia"/>
                <w:szCs w:val="28"/>
              </w:rPr>
              <w:t>10</w:t>
            </w:r>
            <w:r>
              <w:rPr>
                <w:rFonts w:eastAsia="等线" w:cs="Times New Roman" w:hint="eastAsia"/>
                <w:szCs w:val="28"/>
                <w:vertAlign w:val="superscript"/>
              </w:rPr>
              <w:t>5</w:t>
            </w:r>
            <w:r>
              <w:rPr>
                <w:rFonts w:eastAsia="等线" w:cs="Times New Roman" w:hint="eastAsia"/>
                <w:szCs w:val="28"/>
              </w:rPr>
              <w:t xml:space="preserve"> V/cm</w:t>
            </w:r>
          </w:p>
        </w:tc>
      </w:tr>
      <w:tr w:rsidR="003717D8" w14:paraId="06340507"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1E3EA20F" w14:textId="77777777" w:rsidR="003717D8" w:rsidRDefault="00000000">
            <w:pPr>
              <w:spacing w:line="240" w:lineRule="auto"/>
              <w:ind w:firstLineChars="50" w:firstLine="120"/>
              <w:rPr>
                <w:rFonts w:eastAsia="等线" w:cs="Times New Roman"/>
                <w:szCs w:val="28"/>
              </w:rPr>
            </w:pPr>
            <w:r>
              <w:rPr>
                <w:rFonts w:hAnsi="Cambria Math" w:hint="eastAsia"/>
              </w:rPr>
              <w:t>Saturation Polarization</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63DBE6D9" w14:textId="77777777" w:rsidR="003717D8" w:rsidRDefault="00000000">
            <w:pPr>
              <w:spacing w:line="240" w:lineRule="auto"/>
              <w:rPr>
                <w:rFonts w:eastAsia="等线" w:cs="Times New Roman"/>
                <w:szCs w:val="28"/>
              </w:rPr>
            </w:pPr>
            <w:r>
              <w:rPr>
                <w:rFonts w:eastAsia="等线" w:cs="Times New Roman" w:hint="eastAsia"/>
                <w:szCs w:val="28"/>
              </w:rPr>
              <w:t>1.45</w:t>
            </w:r>
            <w:r>
              <w:rPr>
                <w:rFonts w:eastAsia="等线" w:cs="Times New Roman" w:hint="eastAsia"/>
                <w:szCs w:val="28"/>
              </w:rPr>
              <w:t>×</w:t>
            </w:r>
            <w:r>
              <w:rPr>
                <w:rFonts w:eastAsia="等线" w:cs="Times New Roman" w:hint="eastAsia"/>
                <w:szCs w:val="28"/>
              </w:rPr>
              <w:t>10</w:t>
            </w:r>
            <w:r>
              <w:rPr>
                <w:rFonts w:eastAsia="等线" w:cs="Times New Roman" w:hint="eastAsia"/>
                <w:szCs w:val="28"/>
                <w:vertAlign w:val="superscript"/>
              </w:rPr>
              <w:t>-5</w:t>
            </w:r>
            <w:r>
              <w:rPr>
                <w:rFonts w:eastAsia="等线" w:cs="Times New Roman" w:hint="eastAsia"/>
                <w:szCs w:val="28"/>
              </w:rPr>
              <w:t xml:space="preserve"> C/cm</w:t>
            </w:r>
            <w:r>
              <w:rPr>
                <w:rFonts w:eastAsia="等线" w:cs="Times New Roman" w:hint="eastAsia"/>
                <w:szCs w:val="28"/>
                <w:vertAlign w:val="superscript"/>
              </w:rPr>
              <w:t>2</w:t>
            </w:r>
          </w:p>
        </w:tc>
      </w:tr>
      <w:tr w:rsidR="003717D8" w14:paraId="57BD0CDC"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14B18A21" w14:textId="77777777" w:rsidR="003717D8" w:rsidRDefault="00000000">
            <w:pPr>
              <w:spacing w:line="240" w:lineRule="auto"/>
              <w:ind w:firstLineChars="50" w:firstLine="120"/>
              <w:rPr>
                <w:rFonts w:eastAsia="等线" w:cs="Times New Roman"/>
                <w:szCs w:val="28"/>
              </w:rPr>
            </w:pPr>
            <w:r>
              <w:rPr>
                <w:rFonts w:hAnsi="Cambria Math" w:hint="eastAsia"/>
              </w:rPr>
              <w:t>R</w:t>
            </w:r>
            <w:r>
              <w:rPr>
                <w:rFonts w:hAnsi="Cambria Math"/>
              </w:rPr>
              <w:t xml:space="preserve">emanent </w:t>
            </w:r>
            <w:r>
              <w:rPr>
                <w:rFonts w:hAnsi="Cambria Math" w:hint="eastAsia"/>
              </w:rPr>
              <w:t>P</w:t>
            </w:r>
            <w:r>
              <w:rPr>
                <w:rFonts w:hAnsi="Cambria Math"/>
              </w:rPr>
              <w:t>olarization</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7A0CCA62" w14:textId="77777777" w:rsidR="003717D8" w:rsidRDefault="00000000">
            <w:pPr>
              <w:spacing w:line="240" w:lineRule="auto"/>
              <w:rPr>
                <w:rFonts w:eastAsia="等线" w:cs="Times New Roman"/>
                <w:szCs w:val="28"/>
              </w:rPr>
            </w:pPr>
            <w:r>
              <w:rPr>
                <w:rFonts w:eastAsia="等线" w:cs="Times New Roman" w:hint="eastAsia"/>
                <w:szCs w:val="28"/>
              </w:rPr>
              <w:t>1.38</w:t>
            </w:r>
            <w:r>
              <w:rPr>
                <w:rFonts w:eastAsia="等线" w:cs="Times New Roman" w:hint="eastAsia"/>
                <w:szCs w:val="28"/>
              </w:rPr>
              <w:t>×</w:t>
            </w:r>
            <w:r>
              <w:rPr>
                <w:rFonts w:eastAsia="等线" w:cs="Times New Roman" w:hint="eastAsia"/>
                <w:szCs w:val="28"/>
              </w:rPr>
              <w:t>10</w:t>
            </w:r>
            <w:r>
              <w:rPr>
                <w:rFonts w:eastAsia="等线" w:cs="Times New Roman" w:hint="eastAsia"/>
                <w:szCs w:val="28"/>
                <w:vertAlign w:val="superscript"/>
              </w:rPr>
              <w:t>-5</w:t>
            </w:r>
            <w:r>
              <w:rPr>
                <w:rFonts w:eastAsia="等线" w:cs="Times New Roman" w:hint="eastAsia"/>
                <w:szCs w:val="28"/>
              </w:rPr>
              <w:t xml:space="preserve"> C/cm</w:t>
            </w:r>
            <w:r>
              <w:rPr>
                <w:rFonts w:eastAsia="等线" w:cs="Times New Roman" w:hint="eastAsia"/>
                <w:szCs w:val="28"/>
                <w:vertAlign w:val="superscript"/>
              </w:rPr>
              <w:t>2</w:t>
            </w:r>
          </w:p>
        </w:tc>
      </w:tr>
      <w:tr w:rsidR="003717D8" w14:paraId="2C2B4122" w14:textId="77777777">
        <w:trPr>
          <w:trHeight w:val="24"/>
          <w:jc w:val="center"/>
        </w:trPr>
        <w:tc>
          <w:tcPr>
            <w:tcW w:w="3090" w:type="dxa"/>
            <w:tcBorders>
              <w:top w:val="single" w:sz="8" w:space="0" w:color="000000"/>
              <w:left w:val="single" w:sz="8" w:space="0" w:color="000000"/>
              <w:bottom w:val="single" w:sz="8" w:space="0" w:color="000000"/>
              <w:right w:val="single" w:sz="8" w:space="0" w:color="000000"/>
            </w:tcBorders>
            <w:tcMar>
              <w:top w:w="15" w:type="dxa"/>
              <w:left w:w="15" w:type="dxa"/>
              <w:bottom w:w="0" w:type="dxa"/>
              <w:right w:w="15" w:type="dxa"/>
            </w:tcMar>
            <w:vAlign w:val="center"/>
          </w:tcPr>
          <w:p w14:paraId="0AA3261F" w14:textId="77777777" w:rsidR="003717D8" w:rsidRDefault="00000000">
            <w:pPr>
              <w:spacing w:line="240" w:lineRule="auto"/>
              <w:ind w:firstLineChars="50" w:firstLine="120"/>
              <w:rPr>
                <w:rFonts w:eastAsia="等线" w:cs="Times New Roman"/>
                <w:szCs w:val="28"/>
              </w:rPr>
            </w:pPr>
            <w:r>
              <w:rPr>
                <w:rFonts w:eastAsia="等线" w:hint="eastAsia"/>
              </w:rPr>
              <w:t>Relative Epsilon</w:t>
            </w:r>
          </w:p>
        </w:tc>
        <w:tc>
          <w:tcPr>
            <w:tcW w:w="3471" w:type="dxa"/>
            <w:tcBorders>
              <w:top w:val="single" w:sz="8" w:space="0" w:color="000000"/>
              <w:left w:val="nil"/>
              <w:bottom w:val="single" w:sz="8" w:space="0" w:color="000000"/>
              <w:right w:val="single" w:sz="8" w:space="0" w:color="000000"/>
            </w:tcBorders>
            <w:tcMar>
              <w:top w:w="72" w:type="dxa"/>
              <w:left w:w="144" w:type="dxa"/>
              <w:bottom w:w="72" w:type="dxa"/>
              <w:right w:w="144" w:type="dxa"/>
            </w:tcMar>
            <w:vAlign w:val="center"/>
          </w:tcPr>
          <w:p w14:paraId="2FFA30B4" w14:textId="77777777" w:rsidR="003717D8" w:rsidRDefault="00000000">
            <w:pPr>
              <w:spacing w:line="240" w:lineRule="auto"/>
              <w:rPr>
                <w:rFonts w:eastAsia="等线" w:cs="Times New Roman"/>
                <w:szCs w:val="28"/>
              </w:rPr>
            </w:pPr>
            <w:r>
              <w:rPr>
                <w:rFonts w:eastAsia="等线" w:hint="eastAsia"/>
              </w:rPr>
              <w:t>40</w:t>
            </w:r>
          </w:p>
        </w:tc>
      </w:tr>
    </w:tbl>
    <w:p w14:paraId="126E83BB" w14:textId="77777777" w:rsidR="003717D8" w:rsidRDefault="003717D8">
      <w:pPr>
        <w:jc w:val="center"/>
      </w:pPr>
    </w:p>
    <w:p w14:paraId="34C05043" w14:textId="77777777" w:rsidR="003717D8" w:rsidRDefault="00000000">
      <w:pPr>
        <w:rPr>
          <w:rFonts w:eastAsia="宋体"/>
        </w:rPr>
      </w:pPr>
      <w:r>
        <w:rPr>
          <w:rFonts w:hint="eastAsia"/>
          <w:i/>
          <w:iCs/>
        </w:rPr>
        <w:t xml:space="preserve">Ferroelectrics Model: </w:t>
      </w:r>
      <w:r>
        <w:rPr>
          <w:rFonts w:hint="eastAsia"/>
        </w:rPr>
        <w:t>Ferroelectrics Model</w:t>
      </w:r>
      <w:r>
        <w:rPr>
          <w:rFonts w:eastAsia="宋体" w:hint="eastAsia"/>
        </w:rPr>
        <w:t xml:space="preserve"> is activated in </w:t>
      </w:r>
      <w:r>
        <w:t>TCAD platform</w:t>
      </w:r>
      <w:r>
        <w:rPr>
          <w:rFonts w:eastAsia="宋体" w:hint="eastAsia"/>
        </w:rPr>
        <w:t xml:space="preserve"> to illustrate the ferroelectric polarization i</w:t>
      </w:r>
      <w:r>
        <w:rPr>
          <w:rFonts w:hint="eastAsia"/>
        </w:rPr>
        <w:t>n ferroelectric materials</w:t>
      </w:r>
      <w:r>
        <w:rPr>
          <w:rFonts w:eastAsia="宋体" w:hint="eastAsia"/>
        </w:rPr>
        <w:t xml:space="preserve">. First, the device computes an auxiliary field </w:t>
      </w:r>
      <w:r>
        <w:rPr>
          <w:rFonts w:eastAsia="宋体" w:hint="eastAsia"/>
          <w:i/>
          <w:iCs/>
        </w:rPr>
        <w:t>F</w:t>
      </w:r>
      <w:r>
        <w:rPr>
          <w:rFonts w:eastAsia="宋体" w:hint="eastAsia"/>
          <w:i/>
          <w:iCs/>
          <w:vertAlign w:val="subscript"/>
        </w:rPr>
        <w:t>aux</w:t>
      </w:r>
      <w:r>
        <w:rPr>
          <w:rFonts w:eastAsia="宋体" w:hint="eastAsia"/>
        </w:rPr>
        <w:t xml:space="preserve"> from the electric field </w:t>
      </w:r>
      <w:r>
        <w:rPr>
          <w:rFonts w:eastAsia="宋体" w:hint="eastAsia"/>
          <w:i/>
          <w:iCs/>
        </w:rPr>
        <w:t>F</w:t>
      </w:r>
      <w:r>
        <w:rPr>
          <w:rFonts w:eastAsia="宋体" w:hint="eastAsia"/>
        </w:rPr>
        <w:t>:</w:t>
      </w:r>
    </w:p>
    <w:p w14:paraId="50D3DE13" w14:textId="77777777" w:rsidR="003717D8" w:rsidRDefault="00000000">
      <w:pPr>
        <w:jc w:val="right"/>
      </w:pPr>
      <m:oMath>
        <m:f>
          <m:fPr>
            <m:ctrlPr>
              <w:rPr>
                <w:rFonts w:ascii="Cambria Math" w:hAnsi="Cambria Math"/>
                <w:i/>
                <w:iCs/>
              </w:rPr>
            </m:ctrlPr>
          </m:fPr>
          <m:num>
            <m:r>
              <w:rPr>
                <w:rFonts w:ascii="Cambria Math" w:hAnsi="Cambria Math"/>
              </w:rPr>
              <m:t>d</m:t>
            </m:r>
          </m:num>
          <m:den>
            <m:r>
              <w:rPr>
                <w:rFonts w:ascii="Cambria Math" w:hAnsi="Cambria Math"/>
              </w:rPr>
              <m:t>d</m:t>
            </m:r>
            <m:r>
              <w:rPr>
                <w:rFonts w:ascii="Cambria Math" w:eastAsia="宋体" w:hAnsi="Cambria Math"/>
              </w:rPr>
              <m:t>t</m:t>
            </m:r>
          </m:den>
        </m:f>
        <m:sSub>
          <m:sSubPr>
            <m:ctrlPr>
              <w:rPr>
                <w:rFonts w:ascii="Cambria Math" w:hAnsi="Cambria Math"/>
                <w:i/>
                <w:iCs/>
              </w:rPr>
            </m:ctrlPr>
          </m:sSubPr>
          <m:e>
            <m:r>
              <w:rPr>
                <w:rFonts w:ascii="Cambria Math" w:eastAsia="宋体" w:hAnsi="Cambria Math"/>
              </w:rPr>
              <m:t>F</m:t>
            </m:r>
          </m:e>
          <m:sub>
            <m:r>
              <w:rPr>
                <w:rFonts w:ascii="Cambria Math" w:eastAsia="宋体" w:hAnsi="Cambria Math"/>
              </w:rPr>
              <m:t>aux</m:t>
            </m:r>
          </m:sub>
        </m:sSub>
        <m:r>
          <w:rPr>
            <w:rFonts w:ascii="Cambria Math" w:eastAsia="宋体" w:hAnsi="Cambria Math"/>
          </w:rPr>
          <m:t>(t)</m:t>
        </m:r>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eastAsia="宋体" w:hAnsi="Cambria Math"/>
                  </w:rPr>
                  <m:t>F(t)-F</m:t>
                </m:r>
              </m:e>
              <m:sub>
                <m:r>
                  <w:rPr>
                    <w:rFonts w:ascii="Cambria Math" w:eastAsia="宋体" w:hAnsi="Cambria Math"/>
                  </w:rPr>
                  <m:t>aux</m:t>
                </m:r>
              </m:sub>
            </m:sSub>
            <m:r>
              <w:rPr>
                <w:rFonts w:ascii="Cambria Math" w:eastAsia="宋体" w:hAnsi="Cambria Math"/>
              </w:rPr>
              <m:t>(t)</m:t>
            </m:r>
          </m:num>
          <m:den>
            <m:sSub>
              <m:sSubPr>
                <m:ctrlPr>
                  <w:rPr>
                    <w:rFonts w:ascii="Cambria Math" w:hAnsi="Cambria Math"/>
                    <w:i/>
                    <w:iCs/>
                  </w:rPr>
                </m:ctrlPr>
              </m:sSubPr>
              <m:e>
                <m:r>
                  <w:rPr>
                    <w:rFonts w:ascii="Cambria Math" w:hAnsi="Cambria Math"/>
                  </w:rPr>
                  <m:t>τ</m:t>
                </m:r>
              </m:e>
              <m:sub>
                <m:r>
                  <w:rPr>
                    <w:rFonts w:ascii="Cambria Math" w:eastAsia="宋体" w:hAnsi="Cambria Math"/>
                  </w:rPr>
                  <m:t>E</m:t>
                </m:r>
              </m:sub>
            </m:sSub>
          </m:den>
        </m:f>
      </m:oMath>
      <w:r>
        <w:rPr>
          <w:rFonts w:hAnsi="Cambria Math" w:hint="eastAsia"/>
          <w:iCs/>
        </w:rPr>
        <w:t xml:space="preserve">                             </w:t>
      </w:r>
      <w:r>
        <w:rPr>
          <w:rFonts w:hAnsi="Cambria Math" w:hint="eastAsia"/>
        </w:rPr>
        <w:t>(4)</w:t>
      </w:r>
    </w:p>
    <w:p w14:paraId="6AFB6088" w14:textId="77777777" w:rsidR="003717D8" w:rsidRDefault="003717D8">
      <w:pPr>
        <w:jc w:val="center"/>
        <w:rPr>
          <w:rFonts w:hAnsi="Cambria Math"/>
        </w:rPr>
      </w:pPr>
    </w:p>
    <w:p w14:paraId="48B3353F" w14:textId="77777777" w:rsidR="003717D8" w:rsidRDefault="00000000">
      <w:pPr>
        <w:rPr>
          <w:rFonts w:hAnsi="Cambria Math"/>
        </w:rPr>
      </w:pPr>
      <w:r>
        <w:rPr>
          <w:rFonts w:hAnsi="Cambria Math"/>
        </w:rPr>
        <w:lastRenderedPageBreak/>
        <w:t>I</w:t>
      </w:r>
      <w:r>
        <w:rPr>
          <w:rFonts w:hAnsi="Cambria Math" w:hint="eastAsia"/>
        </w:rPr>
        <w:t xml:space="preserve">n which, </w:t>
      </w:r>
      <w:r>
        <w:rPr>
          <w:rFonts w:eastAsia="宋体" w:cs="Times New Roman"/>
          <w:i/>
          <w:iCs/>
        </w:rPr>
        <w:t>τ</w:t>
      </w:r>
      <w:r>
        <w:rPr>
          <w:rFonts w:hAnsi="Cambria Math" w:hint="eastAsia"/>
          <w:i/>
          <w:iCs/>
          <w:vertAlign w:val="subscript"/>
        </w:rPr>
        <w:t>E</w:t>
      </w:r>
      <w:r>
        <w:rPr>
          <w:rFonts w:hAnsi="Cambria Math" w:hint="eastAsia"/>
        </w:rPr>
        <w:t xml:space="preserve"> is a material-specific time constant. Then f</w:t>
      </w:r>
      <w:r>
        <w:rPr>
          <w:rFonts w:hAnsi="Cambria Math"/>
        </w:rPr>
        <w:t xml:space="preserve">rom the auxiliary field, </w:t>
      </w:r>
      <w:r>
        <w:rPr>
          <w:rFonts w:hAnsi="Cambria Math" w:hint="eastAsia"/>
        </w:rPr>
        <w:t>the d</w:t>
      </w:r>
      <w:r>
        <w:rPr>
          <w:rFonts w:hAnsi="Cambria Math"/>
        </w:rPr>
        <w:t>evice computes the auxiliary polarization</w:t>
      </w:r>
      <w:r>
        <w:rPr>
          <w:rFonts w:hAnsi="Cambria Math" w:hint="eastAsia"/>
        </w:rPr>
        <w:t xml:space="preserve"> </w:t>
      </w:r>
      <w:r>
        <w:rPr>
          <w:rFonts w:eastAsia="宋体" w:hint="eastAsia"/>
          <w:i/>
          <w:iCs/>
        </w:rPr>
        <w:t>P</w:t>
      </w:r>
      <w:r>
        <w:rPr>
          <w:rFonts w:eastAsia="宋体" w:hint="eastAsia"/>
          <w:i/>
          <w:iCs/>
          <w:vertAlign w:val="subscript"/>
        </w:rPr>
        <w:t>aux</w:t>
      </w:r>
      <w:r>
        <w:rPr>
          <w:rFonts w:eastAsia="宋体" w:hint="eastAsia"/>
          <w:i/>
          <w:iCs/>
        </w:rPr>
        <w:t xml:space="preserve"> </w:t>
      </w:r>
      <w:r>
        <w:rPr>
          <w:rFonts w:eastAsia="宋体" w:hint="eastAsia"/>
        </w:rPr>
        <w:t xml:space="preserve">which is an algebraic function of the auxiliary field </w:t>
      </w:r>
      <w:r>
        <w:rPr>
          <w:rFonts w:eastAsia="宋体" w:hint="eastAsia"/>
          <w:i/>
          <w:iCs/>
        </w:rPr>
        <w:t>F</w:t>
      </w:r>
      <w:r>
        <w:rPr>
          <w:rFonts w:eastAsia="宋体" w:hint="eastAsia"/>
          <w:i/>
          <w:iCs/>
          <w:vertAlign w:val="subscript"/>
        </w:rPr>
        <w:t>aux</w:t>
      </w:r>
      <w:r>
        <w:rPr>
          <w:rFonts w:eastAsia="宋体" w:hint="eastAsia"/>
        </w:rPr>
        <w:t>:</w:t>
      </w:r>
    </w:p>
    <w:p w14:paraId="1E0E84D6" w14:textId="77777777" w:rsidR="003717D8" w:rsidRDefault="00000000">
      <w:pPr>
        <w:jc w:val="right"/>
      </w:pPr>
      <m:oMath>
        <m:sSub>
          <m:sSubPr>
            <m:ctrlPr>
              <w:rPr>
                <w:rFonts w:ascii="Cambria Math" w:hAnsi="Cambria Math"/>
                <w:i/>
                <w:iCs/>
              </w:rPr>
            </m:ctrlPr>
          </m:sSubPr>
          <m:e>
            <m:r>
              <w:rPr>
                <w:rFonts w:ascii="Cambria Math" w:eastAsia="宋体" w:hAnsi="Cambria Math"/>
              </w:rPr>
              <m:t xml:space="preserve">               P</m:t>
            </m:r>
          </m:e>
          <m:sub>
            <m:r>
              <w:rPr>
                <w:rFonts w:ascii="Cambria Math" w:eastAsia="宋体" w:hAnsi="Cambria Math"/>
              </w:rPr>
              <m:t>aux</m:t>
            </m:r>
          </m:sub>
        </m:sSub>
        <m:r>
          <w:rPr>
            <w:rFonts w:ascii="Cambria Math" w:hAnsi="Cambria Math"/>
          </w:rPr>
          <m:t>=</m:t>
        </m:r>
        <m:r>
          <w:rPr>
            <w:rFonts w:ascii="Cambria Math" w:eastAsia="宋体" w:hAnsi="Cambria Math"/>
          </w:rPr>
          <m:t>c</m:t>
        </m:r>
        <m:r>
          <w:rPr>
            <w:rFonts w:ascii="Cambria Math" w:hAnsi="Cambria Math"/>
          </w:rPr>
          <m:t>∙</m:t>
        </m:r>
        <m:sSub>
          <m:sSubPr>
            <m:ctrlPr>
              <w:rPr>
                <w:rFonts w:ascii="Cambria Math" w:hAnsi="Cambria Math"/>
                <w:i/>
                <w:iCs/>
              </w:rPr>
            </m:ctrlPr>
          </m:sSubPr>
          <m:e>
            <m:r>
              <w:rPr>
                <w:rFonts w:ascii="Cambria Math" w:eastAsia="宋体" w:hAnsi="Cambria Math"/>
              </w:rPr>
              <m:t>P</m:t>
            </m:r>
          </m:e>
          <m:sub>
            <m:r>
              <w:rPr>
                <w:rFonts w:ascii="Cambria Math" w:eastAsia="宋体" w:hAnsi="Cambria Math"/>
              </w:rPr>
              <m:t>s</m:t>
            </m:r>
          </m:sub>
        </m:sSub>
        <m:r>
          <w:rPr>
            <w:rFonts w:ascii="Cambria Math" w:hAnsi="Cambria Math"/>
          </w:rPr>
          <m:t>∙</m:t>
        </m:r>
        <m:r>
          <w:rPr>
            <w:rFonts w:ascii="Cambria Math" w:eastAsia="宋体" w:hAnsi="Cambria Math"/>
          </w:rPr>
          <m:t>tanh</m:t>
        </m:r>
        <m:d>
          <m:dPr>
            <m:ctrlPr>
              <w:rPr>
                <w:rFonts w:ascii="Cambria Math" w:eastAsia="宋体" w:hAnsi="Cambria Math"/>
                <w:i/>
              </w:rPr>
            </m:ctrlPr>
          </m:dPr>
          <m:e>
            <m:r>
              <w:rPr>
                <w:rFonts w:ascii="Cambria Math" w:eastAsia="宋体" w:hAnsi="Cambria Math"/>
              </w:rPr>
              <m:t>w</m:t>
            </m:r>
            <m:r>
              <w:rPr>
                <w:rFonts w:ascii="Cambria Math" w:hAnsi="Cambria Math"/>
              </w:rPr>
              <m:t>∙</m:t>
            </m:r>
            <m:d>
              <m:dPr>
                <m:ctrlPr>
                  <w:rPr>
                    <w:rFonts w:ascii="Cambria Math" w:eastAsia="宋体" w:hAnsi="Cambria Math"/>
                    <w:i/>
                  </w:rPr>
                </m:ctrlPr>
              </m:dPr>
              <m:e>
                <m:sSub>
                  <m:sSubPr>
                    <m:ctrlPr>
                      <w:rPr>
                        <w:rFonts w:ascii="Cambria Math" w:hAnsi="Cambria Math"/>
                        <w:i/>
                        <w:iCs/>
                      </w:rPr>
                    </m:ctrlPr>
                  </m:sSubPr>
                  <m:e>
                    <m:r>
                      <w:rPr>
                        <w:rFonts w:ascii="Cambria Math" w:eastAsia="宋体" w:hAnsi="Cambria Math"/>
                      </w:rPr>
                      <m:t>F</m:t>
                    </m:r>
                  </m:e>
                  <m:sub>
                    <m:r>
                      <w:rPr>
                        <w:rFonts w:ascii="Cambria Math" w:eastAsia="宋体" w:hAnsi="Cambria Math"/>
                      </w:rPr>
                      <m:t>aux</m:t>
                    </m:r>
                  </m:sub>
                </m:sSub>
                <m:r>
                  <w:rPr>
                    <w:rFonts w:ascii="Cambria Math" w:hAnsi="Cambria Math"/>
                  </w:rPr>
                  <m:t>±</m:t>
                </m:r>
                <m:sSub>
                  <m:sSubPr>
                    <m:ctrlPr>
                      <w:rPr>
                        <w:rFonts w:ascii="Cambria Math" w:hAnsi="Cambria Math"/>
                        <w:i/>
                        <w:iCs/>
                      </w:rPr>
                    </m:ctrlPr>
                  </m:sSubPr>
                  <m:e>
                    <m:r>
                      <w:rPr>
                        <w:rFonts w:ascii="Cambria Math" w:eastAsia="宋体" w:hAnsi="Cambria Math"/>
                      </w:rPr>
                      <m:t>F</m:t>
                    </m:r>
                  </m:e>
                  <m:sub>
                    <m:r>
                      <w:rPr>
                        <w:rFonts w:ascii="Cambria Math" w:eastAsia="宋体" w:hAnsi="Cambria Math"/>
                      </w:rPr>
                      <m:t>c</m:t>
                    </m:r>
                  </m:sub>
                </m:sSub>
              </m:e>
            </m:d>
          </m:e>
        </m:d>
        <m:r>
          <w:rPr>
            <w:rFonts w:ascii="Cambria Math" w:eastAsia="宋体" w:hAnsi="Cambria Math"/>
          </w:rPr>
          <m:t>+</m:t>
        </m:r>
        <m:sSub>
          <m:sSubPr>
            <m:ctrlPr>
              <w:rPr>
                <w:rFonts w:ascii="Cambria Math" w:hAnsi="Cambria Math"/>
                <w:i/>
                <w:iCs/>
              </w:rPr>
            </m:ctrlPr>
          </m:sSubPr>
          <m:e>
            <m:r>
              <w:rPr>
                <w:rFonts w:ascii="Cambria Math" w:eastAsia="宋体" w:hAnsi="Cambria Math"/>
              </w:rPr>
              <m:t>P</m:t>
            </m:r>
          </m:e>
          <m:sub>
            <m:r>
              <w:rPr>
                <w:rFonts w:ascii="Cambria Math" w:eastAsia="宋体" w:hAnsi="Cambria Math"/>
              </w:rPr>
              <m:t>off</m:t>
            </m:r>
          </m:sub>
        </m:sSub>
        <m:r>
          <w:rPr>
            <w:rFonts w:ascii="Cambria Math" w:hAnsi="Cambria Math"/>
          </w:rPr>
          <m:t xml:space="preserve">                                    </m:t>
        </m:r>
      </m:oMath>
      <w:r>
        <w:rPr>
          <w:rFonts w:hAnsi="Cambria Math" w:hint="eastAsia"/>
          <w:iCs/>
        </w:rPr>
        <w:t xml:space="preserve"> </w:t>
      </w:r>
      <w:r>
        <w:rPr>
          <w:rFonts w:hAnsi="Cambria Math" w:hint="eastAsia"/>
        </w:rPr>
        <w:t>(5)</w:t>
      </w:r>
    </w:p>
    <w:p w14:paraId="2E0ABC24" w14:textId="77777777" w:rsidR="003717D8" w:rsidRDefault="00000000">
      <w:pPr>
        <w:jc w:val="left"/>
        <w:rPr>
          <w:rFonts w:hAnsi="Cambria Math"/>
        </w:rPr>
      </w:pPr>
      <w:r>
        <w:rPr>
          <w:rFonts w:hAnsi="Cambria Math" w:hint="eastAsia"/>
        </w:rPr>
        <w:t xml:space="preserve">Here, </w:t>
      </w:r>
      <w:r>
        <w:rPr>
          <w:rFonts w:hAnsi="Cambria Math" w:hint="eastAsia"/>
          <w:i/>
          <w:iCs/>
        </w:rPr>
        <w:t>P</w:t>
      </w:r>
      <w:r>
        <w:rPr>
          <w:rFonts w:hAnsi="Cambria Math" w:hint="eastAsia"/>
          <w:i/>
          <w:iCs/>
          <w:vertAlign w:val="subscript"/>
        </w:rPr>
        <w:t>s</w:t>
      </w:r>
      <w:r>
        <w:rPr>
          <w:rFonts w:hAnsi="Cambria Math" w:hint="eastAsia"/>
        </w:rPr>
        <w:t xml:space="preserve"> is the saturation polarization and </w:t>
      </w:r>
      <w:r>
        <w:rPr>
          <w:rFonts w:eastAsia="宋体" w:hint="eastAsia"/>
          <w:i/>
          <w:iCs/>
        </w:rPr>
        <w:t>F</w:t>
      </w:r>
      <w:r>
        <w:rPr>
          <w:rFonts w:eastAsia="宋体" w:hint="eastAsia"/>
          <w:i/>
          <w:iCs/>
          <w:vertAlign w:val="subscript"/>
        </w:rPr>
        <w:t>c</w:t>
      </w:r>
      <w:r>
        <w:rPr>
          <w:rFonts w:hAnsi="Cambria Math" w:hint="eastAsia"/>
        </w:rPr>
        <w:t xml:space="preserve"> is the coercive field, and:</w:t>
      </w:r>
    </w:p>
    <w:p w14:paraId="6CE085F8" w14:textId="77777777" w:rsidR="003717D8" w:rsidRDefault="00000000">
      <w:pPr>
        <w:jc w:val="right"/>
      </w:pPr>
      <m:oMath>
        <m:r>
          <w:rPr>
            <w:rFonts w:ascii="Cambria Math" w:eastAsia="宋体" w:hAnsi="Cambria Math"/>
          </w:rPr>
          <m:t>w</m:t>
        </m:r>
        <m:r>
          <w:rPr>
            <w:rFonts w:ascii="Cambria Math" w:hAnsi="Cambria Math"/>
          </w:rPr>
          <m:t>=</m:t>
        </m:r>
        <m:f>
          <m:fPr>
            <m:ctrlPr>
              <w:rPr>
                <w:rFonts w:ascii="Cambria Math" w:hAnsi="Cambria Math"/>
                <w:i/>
                <w:iCs/>
              </w:rPr>
            </m:ctrlPr>
          </m:fPr>
          <m:num>
            <m:r>
              <w:rPr>
                <w:rFonts w:ascii="Cambria Math" w:eastAsia="宋体" w:hAnsi="Cambria Math"/>
              </w:rPr>
              <m:t>1</m:t>
            </m:r>
          </m:num>
          <m:den>
            <m:r>
              <w:rPr>
                <w:rFonts w:ascii="Cambria Math" w:eastAsia="宋体" w:hAnsi="Cambria Math"/>
              </w:rPr>
              <m:t>2</m:t>
            </m:r>
            <m:sSub>
              <m:sSubPr>
                <m:ctrlPr>
                  <w:rPr>
                    <w:rFonts w:ascii="Cambria Math" w:hAnsi="Cambria Math"/>
                    <w:i/>
                    <w:iCs/>
                  </w:rPr>
                </m:ctrlPr>
              </m:sSubPr>
              <m:e>
                <m:r>
                  <w:rPr>
                    <w:rFonts w:ascii="Cambria Math" w:eastAsia="宋体" w:hAnsi="Cambria Math"/>
                  </w:rPr>
                  <m:t>F</m:t>
                </m:r>
              </m:e>
              <m:sub>
                <m:r>
                  <w:rPr>
                    <w:rFonts w:ascii="Cambria Math" w:eastAsia="宋体" w:hAnsi="Cambria Math"/>
                  </w:rPr>
                  <m:t>c</m:t>
                </m:r>
              </m:sub>
            </m:sSub>
          </m:den>
        </m:f>
        <m:func>
          <m:funcPr>
            <m:ctrlPr>
              <w:rPr>
                <w:rFonts w:ascii="Cambria Math" w:hAnsi="Cambria Math"/>
                <w:i/>
                <w:iCs/>
              </w:rPr>
            </m:ctrlPr>
          </m:funcPr>
          <m:fName>
            <m:r>
              <w:rPr>
                <w:rFonts w:ascii="Cambria Math" w:hAnsi="Cambria Math"/>
              </w:rPr>
              <m:t>ln</m:t>
            </m:r>
          </m:fName>
          <m:e>
            <m:f>
              <m:fPr>
                <m:ctrlPr>
                  <w:rPr>
                    <w:rFonts w:ascii="Cambria Math" w:hAnsi="Cambria Math"/>
                    <w:i/>
                    <w:iCs/>
                  </w:rPr>
                </m:ctrlPr>
              </m:fPr>
              <m:num>
                <m:sSub>
                  <m:sSubPr>
                    <m:ctrlPr>
                      <w:rPr>
                        <w:rFonts w:ascii="Cambria Math" w:hAnsi="Cambria Math"/>
                        <w:i/>
                        <w:iCs/>
                      </w:rPr>
                    </m:ctrlPr>
                  </m:sSubPr>
                  <m:e>
                    <m:r>
                      <w:rPr>
                        <w:rFonts w:ascii="Cambria Math" w:eastAsia="宋体" w:hAnsi="Cambria Math"/>
                      </w:rPr>
                      <m:t>P</m:t>
                    </m:r>
                  </m:e>
                  <m:sub>
                    <m:r>
                      <w:rPr>
                        <w:rFonts w:ascii="Cambria Math" w:eastAsia="宋体" w:hAnsi="Cambria Math"/>
                      </w:rPr>
                      <m:t>s</m:t>
                    </m:r>
                  </m:sub>
                </m:sSub>
                <m:sSub>
                  <m:sSubPr>
                    <m:ctrlPr>
                      <w:rPr>
                        <w:rFonts w:ascii="Cambria Math" w:hAnsi="Cambria Math"/>
                        <w:i/>
                        <w:iCs/>
                      </w:rPr>
                    </m:ctrlPr>
                  </m:sSubPr>
                  <m:e>
                    <m:r>
                      <w:rPr>
                        <w:rFonts w:ascii="Cambria Math" w:eastAsia="宋体" w:hAnsi="Cambria Math"/>
                      </w:rPr>
                      <m:t>+P</m:t>
                    </m:r>
                  </m:e>
                  <m:sub>
                    <m:r>
                      <w:rPr>
                        <w:rFonts w:ascii="Cambria Math" w:eastAsia="宋体" w:hAnsi="Cambria Math"/>
                      </w:rPr>
                      <m:t>r</m:t>
                    </m:r>
                  </m:sub>
                </m:sSub>
              </m:num>
              <m:den>
                <m:sSub>
                  <m:sSubPr>
                    <m:ctrlPr>
                      <w:rPr>
                        <w:rFonts w:ascii="Cambria Math" w:hAnsi="Cambria Math"/>
                        <w:i/>
                        <w:iCs/>
                      </w:rPr>
                    </m:ctrlPr>
                  </m:sSubPr>
                  <m:e>
                    <m:r>
                      <w:rPr>
                        <w:rFonts w:ascii="Cambria Math" w:eastAsia="宋体" w:hAnsi="Cambria Math"/>
                      </w:rPr>
                      <m:t>P</m:t>
                    </m:r>
                  </m:e>
                  <m:sub>
                    <m:r>
                      <w:rPr>
                        <w:rFonts w:ascii="Cambria Math" w:eastAsia="宋体" w:hAnsi="Cambria Math"/>
                      </w:rPr>
                      <m:t>s</m:t>
                    </m:r>
                  </m:sub>
                </m:sSub>
                <m:sSub>
                  <m:sSubPr>
                    <m:ctrlPr>
                      <w:rPr>
                        <w:rFonts w:ascii="Cambria Math" w:hAnsi="Cambria Math"/>
                        <w:i/>
                        <w:iCs/>
                      </w:rPr>
                    </m:ctrlPr>
                  </m:sSubPr>
                  <m:e>
                    <m:r>
                      <w:rPr>
                        <w:rFonts w:ascii="Cambria Math" w:eastAsia="宋体" w:hAnsi="Cambria Math"/>
                      </w:rPr>
                      <m:t>-P</m:t>
                    </m:r>
                  </m:e>
                  <m:sub>
                    <m:r>
                      <w:rPr>
                        <w:rFonts w:ascii="Cambria Math" w:eastAsia="宋体" w:hAnsi="Cambria Math"/>
                      </w:rPr>
                      <m:t>r</m:t>
                    </m:r>
                  </m:sub>
                </m:sSub>
              </m:den>
            </m:f>
          </m:e>
        </m:func>
      </m:oMath>
      <w:r>
        <w:rPr>
          <w:rFonts w:hAnsi="Cambria Math" w:hint="eastAsia"/>
          <w:iCs/>
        </w:rPr>
        <w:t xml:space="preserve">                              </w:t>
      </w:r>
      <w:r>
        <w:rPr>
          <w:rFonts w:hAnsi="Cambria Math" w:hint="eastAsia"/>
        </w:rPr>
        <w:t>(6)</w:t>
      </w:r>
    </w:p>
    <w:p w14:paraId="7C807393" w14:textId="77777777" w:rsidR="003717D8" w:rsidRDefault="00000000">
      <w:pPr>
        <w:rPr>
          <w:rFonts w:hAnsi="Cambria Math"/>
        </w:rPr>
      </w:pPr>
      <w:r>
        <w:rPr>
          <w:rFonts w:hAnsi="Cambria Math"/>
        </w:rPr>
        <w:t>where</w:t>
      </w:r>
      <w:r>
        <w:rPr>
          <w:rFonts w:hAnsi="Cambria Math" w:hint="eastAsia"/>
        </w:rPr>
        <w:t xml:space="preserve"> </w:t>
      </w:r>
      <w:r>
        <w:rPr>
          <w:rFonts w:hAnsi="Cambria Math" w:hint="eastAsia"/>
          <w:i/>
          <w:iCs/>
        </w:rPr>
        <w:t>P</w:t>
      </w:r>
      <w:r>
        <w:rPr>
          <w:rFonts w:hAnsi="Cambria Math" w:hint="eastAsia"/>
          <w:i/>
          <w:iCs/>
          <w:vertAlign w:val="subscript"/>
        </w:rPr>
        <w:t>r</w:t>
      </w:r>
      <w:r>
        <w:rPr>
          <w:rFonts w:hAnsi="Cambria Math"/>
        </w:rPr>
        <w:t xml:space="preserve"> is the remanent polarization</w:t>
      </w:r>
      <w:r>
        <w:rPr>
          <w:rFonts w:hAnsi="Cambria Math" w:hint="eastAsia"/>
        </w:rPr>
        <w:t xml:space="preserve">, </w:t>
      </w:r>
      <w:r>
        <w:rPr>
          <w:rFonts w:hAnsi="Cambria Math" w:hint="eastAsia"/>
          <w:i/>
          <w:iCs/>
        </w:rPr>
        <w:t>P</w:t>
      </w:r>
      <w:r>
        <w:rPr>
          <w:rFonts w:hAnsi="Cambria Math" w:hint="eastAsia"/>
          <w:i/>
          <w:iCs/>
          <w:vertAlign w:val="subscript"/>
        </w:rPr>
        <w:t>off</w:t>
      </w:r>
      <w:r>
        <w:rPr>
          <w:rFonts w:hAnsi="Cambria Math" w:hint="eastAsia"/>
          <w:i/>
          <w:iCs/>
        </w:rPr>
        <w:t xml:space="preserve"> </w:t>
      </w:r>
      <w:r>
        <w:rPr>
          <w:rFonts w:hAnsi="Cambria Math" w:hint="eastAsia"/>
        </w:rPr>
        <w:t xml:space="preserve">and </w:t>
      </w:r>
      <w:r>
        <w:rPr>
          <w:rFonts w:hAnsi="Cambria Math" w:hint="eastAsia"/>
          <w:i/>
          <w:iCs/>
        </w:rPr>
        <w:t>c</w:t>
      </w:r>
      <w:r>
        <w:rPr>
          <w:rFonts w:hAnsi="Cambria Math" w:hint="eastAsia"/>
        </w:rPr>
        <w:t xml:space="preserve"> result from the polarization history of the material. Finally, from the auxiliary polarization and auxiliary field, the device computes the actual polarization </w:t>
      </w:r>
      <w:r>
        <w:rPr>
          <w:rFonts w:hAnsi="Cambria Math" w:hint="eastAsia"/>
          <w:i/>
          <w:iCs/>
        </w:rPr>
        <w:t>P</w:t>
      </w:r>
      <w:r>
        <w:rPr>
          <w:rFonts w:hAnsi="Cambria Math" w:hint="eastAsia"/>
        </w:rPr>
        <w:t>:</w:t>
      </w:r>
    </w:p>
    <w:p w14:paraId="66DED19A" w14:textId="77777777" w:rsidR="003717D8" w:rsidRDefault="00000000">
      <w:pPr>
        <w:jc w:val="right"/>
      </w:pPr>
      <m:oMath>
        <m:f>
          <m:fPr>
            <m:ctrlPr>
              <w:rPr>
                <w:rFonts w:ascii="Cambria Math" w:hAnsi="Cambria Math"/>
                <w:i/>
                <w:iCs/>
              </w:rPr>
            </m:ctrlPr>
          </m:fPr>
          <m:num>
            <m:r>
              <w:rPr>
                <w:rFonts w:ascii="Cambria Math" w:hAnsi="Cambria Math"/>
              </w:rPr>
              <m:t>d</m:t>
            </m:r>
          </m:num>
          <m:den>
            <m:r>
              <w:rPr>
                <w:rFonts w:ascii="Cambria Math" w:hAnsi="Cambria Math"/>
              </w:rPr>
              <m:t>d</m:t>
            </m:r>
            <m:r>
              <w:rPr>
                <w:rFonts w:ascii="Cambria Math" w:eastAsia="宋体" w:hAnsi="Cambria Math"/>
              </w:rPr>
              <m:t>t</m:t>
            </m:r>
          </m:den>
        </m:f>
        <m:r>
          <w:rPr>
            <w:rFonts w:ascii="Cambria Math" w:eastAsia="宋体" w:hAnsi="Cambria Math"/>
          </w:rPr>
          <m:t>P(t)</m:t>
        </m:r>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eastAsia="宋体" w:hAnsi="Cambria Math"/>
                  </w:rPr>
                  <m:t>P</m:t>
                </m:r>
              </m:e>
              <m:sub>
                <m:r>
                  <w:rPr>
                    <w:rFonts w:ascii="Cambria Math" w:eastAsia="宋体" w:hAnsi="Cambria Math"/>
                  </w:rPr>
                  <m:t>aux</m:t>
                </m:r>
              </m:sub>
            </m:sSub>
            <m:r>
              <w:rPr>
                <w:rFonts w:ascii="Cambria Math" w:eastAsia="宋体" w:hAnsi="Cambria Math"/>
              </w:rPr>
              <m:t>[</m:t>
            </m:r>
            <m:sSub>
              <m:sSubPr>
                <m:ctrlPr>
                  <w:rPr>
                    <w:rFonts w:ascii="Cambria Math" w:hAnsi="Cambria Math"/>
                    <w:i/>
                    <w:iCs/>
                  </w:rPr>
                </m:ctrlPr>
              </m:sSubPr>
              <m:e>
                <m:r>
                  <w:rPr>
                    <w:rFonts w:ascii="Cambria Math" w:eastAsia="宋体" w:hAnsi="Cambria Math"/>
                  </w:rPr>
                  <m:t>F</m:t>
                </m:r>
              </m:e>
              <m:sub>
                <m:r>
                  <w:rPr>
                    <w:rFonts w:ascii="Cambria Math" w:eastAsia="宋体" w:hAnsi="Cambria Math"/>
                  </w:rPr>
                  <m:t>aux</m:t>
                </m:r>
              </m:sub>
            </m:sSub>
            <m:r>
              <w:rPr>
                <w:rFonts w:ascii="Cambria Math" w:eastAsia="宋体" w:hAnsi="Cambria Math"/>
              </w:rPr>
              <m:t>(t)]-P(t)</m:t>
            </m:r>
          </m:num>
          <m:den>
            <m:sSub>
              <m:sSubPr>
                <m:ctrlPr>
                  <w:rPr>
                    <w:rFonts w:ascii="Cambria Math" w:hAnsi="Cambria Math"/>
                    <w:i/>
                    <w:iCs/>
                  </w:rPr>
                </m:ctrlPr>
              </m:sSubPr>
              <m:e>
                <m:r>
                  <w:rPr>
                    <w:rFonts w:ascii="Cambria Math" w:hAnsi="Cambria Math"/>
                  </w:rPr>
                  <m:t>τ</m:t>
                </m:r>
              </m:e>
              <m:sub>
                <m:r>
                  <w:rPr>
                    <w:rFonts w:ascii="Cambria Math" w:eastAsia="宋体" w:hAnsi="Cambria Math"/>
                  </w:rPr>
                  <m:t>P</m:t>
                </m:r>
              </m:sub>
            </m:sSub>
          </m:den>
        </m:f>
        <m:r>
          <w:rPr>
            <w:rFonts w:ascii="Cambria Math" w:eastAsia="宋体" w:hAnsi="Cambria Math"/>
          </w:rPr>
          <m:t>(1+</m:t>
        </m:r>
        <m:sSub>
          <m:sSubPr>
            <m:ctrlPr>
              <w:rPr>
                <w:rFonts w:ascii="Cambria Math" w:eastAsia="宋体" w:hAnsi="Cambria Math"/>
                <w:i/>
                <w:iCs/>
              </w:rPr>
            </m:ctrlPr>
          </m:sSubPr>
          <m:e>
            <m:r>
              <w:rPr>
                <w:rFonts w:ascii="Cambria Math" w:eastAsia="宋体" w:hAnsi="Cambria Math"/>
              </w:rPr>
              <m:t>k</m:t>
            </m:r>
          </m:e>
          <m:sub>
            <m:r>
              <w:rPr>
                <w:rFonts w:ascii="Cambria Math" w:eastAsia="宋体" w:hAnsi="Cambria Math"/>
              </w:rPr>
              <m:t>n</m:t>
            </m:r>
          </m:sub>
        </m:sSub>
        <m:d>
          <m:dPr>
            <m:begChr m:val="|"/>
            <m:endChr m:val="|"/>
            <m:ctrlPr>
              <w:rPr>
                <w:rFonts w:ascii="Cambria Math" w:eastAsia="宋体" w:hAnsi="Cambria Math"/>
                <w:i/>
                <w:iCs/>
              </w:rPr>
            </m:ctrlPr>
          </m:dPr>
          <m:e>
            <m:f>
              <m:fPr>
                <m:ctrlPr>
                  <w:rPr>
                    <w:rFonts w:ascii="Cambria Math" w:hAnsi="Cambria Math"/>
                    <w:i/>
                    <w:iCs/>
                  </w:rPr>
                </m:ctrlPr>
              </m:fPr>
              <m:num>
                <m:r>
                  <w:rPr>
                    <w:rFonts w:ascii="Cambria Math" w:hAnsi="Cambria Math"/>
                  </w:rPr>
                  <m:t>d</m:t>
                </m:r>
              </m:num>
              <m:den>
                <m:r>
                  <w:rPr>
                    <w:rFonts w:ascii="Cambria Math" w:hAnsi="Cambria Math"/>
                  </w:rPr>
                  <m:t>d</m:t>
                </m:r>
                <m:r>
                  <w:rPr>
                    <w:rFonts w:ascii="Cambria Math" w:eastAsia="宋体" w:hAnsi="Cambria Math"/>
                  </w:rPr>
                  <m:t>t</m:t>
                </m:r>
              </m:den>
            </m:f>
            <m:sSub>
              <m:sSubPr>
                <m:ctrlPr>
                  <w:rPr>
                    <w:rFonts w:ascii="Cambria Math" w:hAnsi="Cambria Math"/>
                    <w:i/>
                    <w:iCs/>
                  </w:rPr>
                </m:ctrlPr>
              </m:sSubPr>
              <m:e>
                <m:r>
                  <w:rPr>
                    <w:rFonts w:ascii="Cambria Math" w:eastAsia="宋体" w:hAnsi="Cambria Math"/>
                  </w:rPr>
                  <m:t>F</m:t>
                </m:r>
              </m:e>
              <m:sub>
                <m:r>
                  <w:rPr>
                    <w:rFonts w:ascii="Cambria Math" w:eastAsia="宋体" w:hAnsi="Cambria Math"/>
                  </w:rPr>
                  <m:t>aux</m:t>
                </m:r>
              </m:sub>
            </m:sSub>
            <m:r>
              <w:rPr>
                <w:rFonts w:ascii="Cambria Math" w:eastAsia="宋体" w:hAnsi="Cambria Math"/>
              </w:rPr>
              <m:t>(t)</m:t>
            </m:r>
          </m:e>
        </m:d>
        <m:r>
          <w:rPr>
            <w:rFonts w:ascii="Cambria Math" w:eastAsia="宋体" w:hAnsi="Cambria Math"/>
          </w:rPr>
          <m:t>)</m:t>
        </m:r>
      </m:oMath>
      <w:r>
        <w:rPr>
          <w:rFonts w:hAnsi="Cambria Math" w:hint="eastAsia"/>
        </w:rPr>
        <w:t xml:space="preserve">                 (7)</w:t>
      </w:r>
    </w:p>
    <w:p w14:paraId="0D1BDCE3" w14:textId="77777777" w:rsidR="003717D8" w:rsidRDefault="00000000">
      <w:pPr>
        <w:rPr>
          <w:rFonts w:eastAsia="宋体" w:hAnsi="Cambria Math"/>
          <w:iCs/>
        </w:rPr>
      </w:pPr>
      <w:r>
        <w:rPr>
          <w:rFonts w:eastAsia="宋体" w:hAnsi="Cambria Math"/>
          <w:iCs/>
        </w:rPr>
        <w:t xml:space="preserve">Here, </w:t>
      </w:r>
      <w:r>
        <w:rPr>
          <w:rFonts w:cs="Times New Roman"/>
          <w:i/>
          <w:iCs/>
        </w:rPr>
        <w:t>τ</w:t>
      </w:r>
      <w:r>
        <w:rPr>
          <w:rFonts w:cs="Times New Roman"/>
          <w:i/>
          <w:iCs/>
          <w:vertAlign w:val="subscript"/>
        </w:rPr>
        <w:t>P</w:t>
      </w:r>
      <w:r>
        <w:rPr>
          <w:rFonts w:cs="Times New Roman"/>
        </w:rPr>
        <w:t xml:space="preserve"> </w:t>
      </w:r>
      <w:r>
        <w:rPr>
          <w:rFonts w:eastAsia="宋体" w:cs="Times New Roman"/>
          <w:iCs/>
        </w:rPr>
        <w:t>a</w:t>
      </w:r>
      <w:r>
        <w:rPr>
          <w:rFonts w:eastAsia="宋体" w:hAnsi="Cambria Math"/>
          <w:iCs/>
        </w:rPr>
        <w:t>nd</w:t>
      </w:r>
      <w:r>
        <w:rPr>
          <w:rFonts w:eastAsia="宋体" w:hAnsi="Cambria Math" w:hint="eastAsia"/>
          <w:iCs/>
        </w:rPr>
        <w:t xml:space="preserve"> </w:t>
      </w:r>
      <w:r>
        <w:rPr>
          <w:rFonts w:hAnsi="Cambria Math" w:hint="eastAsia"/>
          <w:i/>
          <w:iCs/>
        </w:rPr>
        <w:t>k</w:t>
      </w:r>
      <w:r>
        <w:rPr>
          <w:rFonts w:hAnsi="Cambria Math" w:hint="eastAsia"/>
          <w:i/>
          <w:iCs/>
          <w:vertAlign w:val="subscript"/>
        </w:rPr>
        <w:t>n</w:t>
      </w:r>
      <w:r>
        <w:rPr>
          <w:rFonts w:eastAsia="宋体" w:hAnsi="Cambria Math"/>
          <w:iCs/>
        </w:rPr>
        <w:t xml:space="preserve"> are material-specific constants</w:t>
      </w:r>
      <w:r>
        <w:rPr>
          <w:rFonts w:eastAsia="宋体" w:hAnsi="Cambria Math" w:hint="eastAsia"/>
          <w:iCs/>
        </w:rPr>
        <w:t>.</w:t>
      </w:r>
    </w:p>
    <w:p w14:paraId="00F59F13" w14:textId="77777777" w:rsidR="003717D8" w:rsidRDefault="003717D8">
      <w:pPr>
        <w:rPr>
          <w:rFonts w:eastAsia="宋体" w:hAnsi="Cambria Math"/>
          <w:iCs/>
        </w:rPr>
      </w:pPr>
    </w:p>
    <w:p w14:paraId="69E44EA0" w14:textId="77777777" w:rsidR="003717D8" w:rsidRDefault="003717D8">
      <w:pPr>
        <w:rPr>
          <w:rFonts w:eastAsia="宋体" w:hAnsi="Cambria Math"/>
          <w:iCs/>
        </w:rPr>
      </w:pPr>
    </w:p>
    <w:p w14:paraId="76A94F34" w14:textId="77777777" w:rsidR="003717D8" w:rsidRDefault="003717D8">
      <w:pPr>
        <w:rPr>
          <w:rFonts w:cs="Times New Roman"/>
        </w:rPr>
      </w:pPr>
    </w:p>
    <w:p w14:paraId="58506597" w14:textId="77777777" w:rsidR="003717D8" w:rsidRDefault="00000000">
      <w:pPr>
        <w:widowControl/>
        <w:spacing w:line="240" w:lineRule="auto"/>
        <w:jc w:val="left"/>
        <w:rPr>
          <w:rFonts w:cs="Times New Roman"/>
        </w:rPr>
      </w:pPr>
      <w:r>
        <w:rPr>
          <w:rFonts w:cs="Times New Roman"/>
        </w:rPr>
        <w:br w:type="page"/>
      </w:r>
    </w:p>
    <w:p w14:paraId="1F563AAF" w14:textId="77777777" w:rsidR="003717D8" w:rsidRDefault="00000000">
      <w:pPr>
        <w:rPr>
          <w:rFonts w:cs="Times New Roman"/>
        </w:rPr>
      </w:pPr>
      <w:r>
        <w:rPr>
          <w:b/>
          <w:bCs/>
        </w:rPr>
        <w:lastRenderedPageBreak/>
        <w:t>S</w:t>
      </w:r>
      <w:r>
        <w:rPr>
          <w:rFonts w:hint="eastAsia"/>
          <w:b/>
          <w:bCs/>
        </w:rPr>
        <w:t>upplementary</w:t>
      </w:r>
      <w:r>
        <w:rPr>
          <w:b/>
          <w:bCs/>
        </w:rPr>
        <w:t xml:space="preserve"> Note </w:t>
      </w:r>
      <w:r>
        <w:rPr>
          <w:rFonts w:eastAsia="宋体" w:hint="eastAsia"/>
          <w:b/>
          <w:bCs/>
        </w:rPr>
        <w:t>2 Density function theory (DFT) calculations</w:t>
      </w:r>
    </w:p>
    <w:p w14:paraId="4A160378" w14:textId="77777777" w:rsidR="003717D8" w:rsidRDefault="00000000">
      <w:pPr>
        <w:ind w:firstLineChars="200" w:firstLine="480"/>
        <w:rPr>
          <w:rFonts w:cs="Times New Roman"/>
        </w:rPr>
      </w:pPr>
      <w:r>
        <w:rPr>
          <w:rFonts w:cs="Times New Roman"/>
        </w:rPr>
        <w:t>All spin-polarized density functional theory (DFT) calculations were conducted using the Vienna ab initio simulation package (VASP). The projector augmented wave (PAW) pseudopotentials and a plane wave basis set with a kinetic cutoff energy of 500 eV were employed for all calculations. Additionally, the Perdew-Burke-Ernzerhof (PBE) format of the generalized gradient approximation (GGA) was used for the exchange correlation function.</w:t>
      </w:r>
      <w:r>
        <w:rPr>
          <w:rFonts w:cs="Times New Roman"/>
          <w:vertAlign w:val="superscript"/>
        </w:rPr>
        <w:t xml:space="preserve"> </w:t>
      </w:r>
      <w:r>
        <w:rPr>
          <w:rFonts w:cs="Times New Roman"/>
        </w:rPr>
        <w:t>The convergence criteria for the total energy and the residual Hellmann-Feynman force were set to be less than 10</w:t>
      </w:r>
      <w:r>
        <w:rPr>
          <w:rFonts w:cs="Times New Roman"/>
          <w:vertAlign w:val="superscript"/>
        </w:rPr>
        <w:t>−5</w:t>
      </w:r>
      <w:r>
        <w:rPr>
          <w:rFonts w:cs="Times New Roman"/>
        </w:rPr>
        <w:t xml:space="preserve"> eV and 10</w:t>
      </w:r>
      <w:r>
        <w:rPr>
          <w:rFonts w:cs="Times New Roman"/>
          <w:vertAlign w:val="superscript"/>
        </w:rPr>
        <w:t>-2</w:t>
      </w:r>
      <w:r>
        <w:rPr>
          <w:rFonts w:cs="Times New Roman"/>
        </w:rPr>
        <w:t xml:space="preserve"> eV Å</w:t>
      </w:r>
      <w:r>
        <w:rPr>
          <w:rFonts w:cs="Times New Roman"/>
          <w:vertAlign w:val="superscript"/>
        </w:rPr>
        <w:t>-1</w:t>
      </w:r>
      <w:r>
        <w:rPr>
          <w:rFonts w:cs="Times New Roman"/>
        </w:rPr>
        <w:t xml:space="preserve">, respectively. The electronic structures of the perfect crystal were studied using the unit cell, where the Brillouin zone was sampled by a 5 × 3 × 3 Γ-centered </w:t>
      </w:r>
      <w:r>
        <w:rPr>
          <w:rFonts w:cs="Times New Roman"/>
          <w:i/>
          <w:iCs/>
        </w:rPr>
        <w:t>k</w:t>
      </w:r>
      <w:r>
        <w:rPr>
          <w:rFonts w:cs="Times New Roman"/>
        </w:rPr>
        <w:t xml:space="preserve">-point grid in the Monkhorst-Pack scheme. A supercell (2 × 1 × 1) was utilized to create the defected crystals, and a 2 × 2 × 2 Γ-centered </w:t>
      </w:r>
      <w:r>
        <w:rPr>
          <w:rFonts w:cs="Times New Roman"/>
          <w:i/>
          <w:iCs/>
        </w:rPr>
        <w:t>k</w:t>
      </w:r>
      <w:r>
        <w:rPr>
          <w:rFonts w:cs="Times New Roman"/>
        </w:rPr>
        <w:t>-point grid in the Monkhorst-Pack scheme</w:t>
      </w:r>
      <w:r>
        <w:rPr>
          <w:rFonts w:cs="Times New Roman"/>
          <w:vertAlign w:val="superscript"/>
        </w:rPr>
        <w:t xml:space="preserve"> </w:t>
      </w:r>
      <w:r>
        <w:rPr>
          <w:rFonts w:cs="Times New Roman"/>
        </w:rPr>
        <w:t>was adopted for the corresponding calculations.</w:t>
      </w:r>
      <w:r>
        <w:rPr>
          <w:rFonts w:cs="Times New Roman"/>
          <w:vertAlign w:val="superscript"/>
        </w:rPr>
        <w:t>5</w:t>
      </w:r>
      <w:r>
        <w:rPr>
          <w:rFonts w:cs="Times New Roman"/>
        </w:rPr>
        <w:t xml:space="preserve"> The definition of defect formation energy (</w:t>
      </w:r>
      <m:oMath>
        <m:r>
          <w:rPr>
            <w:rFonts w:ascii="Cambria Math" w:hAnsi="Cambria Math" w:cs="Times New Roman"/>
            <w:lang w:val="el-GR"/>
          </w:rPr>
          <m:t>Δ</m:t>
        </m:r>
        <m:sSub>
          <m:sSubPr>
            <m:ctrlPr>
              <w:rPr>
                <w:rFonts w:ascii="Cambria Math" w:hAnsi="Cambria Math" w:cs="Times New Roman"/>
                <w:i/>
                <w:iCs/>
                <w:lang w:val="el-GR"/>
              </w:rPr>
            </m:ctrlPr>
          </m:sSubPr>
          <m:e>
            <m:r>
              <w:rPr>
                <w:rFonts w:ascii="Cambria Math" w:hAnsi="Cambria Math" w:cs="Times New Roman"/>
              </w:rPr>
              <m:t>E</m:t>
            </m:r>
          </m:e>
          <m:sub>
            <m:r>
              <w:rPr>
                <w:rFonts w:ascii="Cambria Math" w:hAnsi="Cambria Math" w:cs="Times New Roman"/>
              </w:rPr>
              <m:t>formation</m:t>
            </m:r>
          </m:sub>
        </m:sSub>
      </m:oMath>
      <w:r>
        <w:rPr>
          <w:rFonts w:cs="Times New Roman"/>
        </w:rPr>
        <w:t>) was given in the following equation,</w:t>
      </w:r>
    </w:p>
    <w:p w14:paraId="498FFFC4" w14:textId="77777777" w:rsidR="003717D8" w:rsidRDefault="00000000">
      <w:pPr>
        <w:jc w:val="right"/>
        <w:rPr>
          <w:rFonts w:cs="Times New Roman"/>
        </w:rPr>
      </w:pPr>
      <m:oMath>
        <m:r>
          <w:rPr>
            <w:rFonts w:ascii="Cambria Math" w:hAnsi="Cambria Math" w:cs="Times New Roman"/>
            <w:lang w:val="el-GR"/>
          </w:rPr>
          <m:t>Δ</m:t>
        </m:r>
        <m:sSub>
          <m:sSubPr>
            <m:ctrlPr>
              <w:rPr>
                <w:rFonts w:ascii="Cambria Math" w:hAnsi="Cambria Math" w:cs="Times New Roman"/>
                <w:i/>
                <w:iCs/>
                <w:lang w:val="el-GR"/>
              </w:rPr>
            </m:ctrlPr>
          </m:sSubPr>
          <m:e>
            <m:r>
              <w:rPr>
                <w:rFonts w:ascii="Cambria Math" w:hAnsi="Cambria Math" w:cs="Times New Roman"/>
              </w:rPr>
              <m:t>E</m:t>
            </m:r>
          </m:e>
          <m:sub>
            <m:r>
              <w:rPr>
                <w:rFonts w:ascii="Cambria Math" w:hAnsi="Cambria Math" w:cs="Times New Roman"/>
              </w:rPr>
              <m:t>formation</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without defect</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with defect</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Br</m:t>
            </m:r>
          </m:sub>
        </m:sSub>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Br</m:t>
            </m:r>
          </m:sub>
        </m:sSub>
        <m:r>
          <w:rPr>
            <w:rFonts w:ascii="Cambria Math" w:hAnsi="Cambria Math" w:cs="Times New Roman"/>
          </w:rPr>
          <m:t xml:space="preserve">                                </m:t>
        </m:r>
      </m:oMath>
      <w:r>
        <w:rPr>
          <w:rFonts w:cs="Times New Roman"/>
        </w:rPr>
        <w:t>(8)</w:t>
      </w:r>
    </w:p>
    <w:p w14:paraId="3453CEA2" w14:textId="77777777" w:rsidR="003717D8" w:rsidRDefault="00000000">
      <w:pPr>
        <w:rPr>
          <w:rFonts w:cs="Times New Roman"/>
          <w:lang w:val="en-SG"/>
        </w:rPr>
      </w:pPr>
      <w:r>
        <w:rPr>
          <w:rFonts w:cs="Times New Roman"/>
          <w:lang w:val="en-SG"/>
        </w:rPr>
        <w:t xml:space="preserve">where </w:t>
      </w:r>
      <m:oMath>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without defect</m:t>
            </m:r>
          </m:sub>
        </m:sSub>
      </m:oMath>
      <w:r>
        <w:rPr>
          <w:rFonts w:cs="Times New Roman"/>
          <w:lang w:val="en-SG"/>
        </w:rPr>
        <w:t xml:space="preserve"> and </w:t>
      </w:r>
      <m:oMath>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with defect</m:t>
            </m:r>
          </m:sub>
        </m:sSub>
      </m:oMath>
      <w:r>
        <w:rPr>
          <w:rFonts w:cs="Times New Roman"/>
          <w:lang w:val="en-SG"/>
        </w:rPr>
        <w:t xml:space="preserve"> represented the total energy of the supercell without and with defect, respectively, </w:t>
      </w:r>
      <m:oMath>
        <m:sSub>
          <m:sSubPr>
            <m:ctrlPr>
              <w:rPr>
                <w:rFonts w:ascii="Cambria Math" w:hAnsi="Cambria Math" w:cs="Times New Roman"/>
                <w:i/>
                <w:iCs/>
              </w:rPr>
            </m:ctrlPr>
          </m:sSubPr>
          <m:e>
            <m:r>
              <w:rPr>
                <w:rFonts w:ascii="Cambria Math" w:hAnsi="Cambria Math" w:cs="Times New Roman"/>
              </w:rPr>
              <m:t>n</m:t>
            </m:r>
          </m:e>
          <m:sub>
            <m:r>
              <w:rPr>
                <w:rFonts w:ascii="Cambria Math" w:hAnsi="Cambria Math" w:cs="Times New Roman"/>
              </w:rPr>
              <m:t>Br</m:t>
            </m:r>
          </m:sub>
        </m:sSub>
      </m:oMath>
      <w:r>
        <w:rPr>
          <w:rFonts w:cs="Times New Roman"/>
          <w:lang w:val="en-SG"/>
        </w:rPr>
        <w:t xml:space="preserve"> was the number of Br defect, and </w:t>
      </w:r>
      <m:oMath>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Br</m:t>
            </m:r>
          </m:sub>
        </m:sSub>
      </m:oMath>
      <w:r>
        <w:rPr>
          <w:rFonts w:cs="Times New Roman"/>
          <w:lang w:val="en-SG"/>
        </w:rPr>
        <w:t xml:space="preserve"> denoted the chemical potential of a single Br atom in vacuum.</w:t>
      </w:r>
    </w:p>
    <w:p w14:paraId="0E2ADAD2" w14:textId="77777777" w:rsidR="003717D8" w:rsidRDefault="00000000">
      <w:pPr>
        <w:rPr>
          <w:rFonts w:cs="Times New Roman"/>
          <w:lang w:val="en-SG"/>
        </w:rPr>
      </w:pPr>
      <w:r>
        <w:rPr>
          <w:rFonts w:cs="Times New Roman"/>
          <w:lang w:val="en-SG"/>
        </w:rPr>
        <w:br w:type="page"/>
      </w:r>
    </w:p>
    <w:p w14:paraId="1D196616" w14:textId="77777777" w:rsidR="003717D8" w:rsidRDefault="00000000">
      <w:pPr>
        <w:rPr>
          <w:rFonts w:eastAsia="宋体" w:cs="Times New Roman"/>
        </w:rPr>
      </w:pPr>
      <w:r>
        <w:rPr>
          <w:b/>
          <w:bCs/>
        </w:rPr>
        <w:lastRenderedPageBreak/>
        <w:t>S</w:t>
      </w:r>
      <w:r>
        <w:rPr>
          <w:rFonts w:hint="eastAsia"/>
          <w:b/>
          <w:bCs/>
        </w:rPr>
        <w:t>upplementary</w:t>
      </w:r>
      <w:r>
        <w:rPr>
          <w:b/>
          <w:bCs/>
        </w:rPr>
        <w:t xml:space="preserve"> Note </w:t>
      </w:r>
      <w:r>
        <w:rPr>
          <w:rFonts w:eastAsia="宋体" w:hint="eastAsia"/>
          <w:b/>
          <w:bCs/>
        </w:rPr>
        <w:t>3: the synthesis of HOIPF</w:t>
      </w:r>
    </w:p>
    <w:p w14:paraId="726E0B84" w14:textId="77777777" w:rsidR="003717D8" w:rsidRDefault="00000000">
      <w:pPr>
        <w:ind w:firstLine="480"/>
        <w:rPr>
          <w:rFonts w:cs="Times New Roman"/>
          <w:sz w:val="21"/>
          <w:szCs w:val="21"/>
        </w:rPr>
      </w:pPr>
      <w:r>
        <w:rPr>
          <w:i/>
          <w:iCs/>
        </w:rPr>
        <w:t>Synthesis of (EATMP)PbBr</w:t>
      </w:r>
      <w:r>
        <w:rPr>
          <w:i/>
          <w:iCs/>
          <w:vertAlign w:val="subscript"/>
        </w:rPr>
        <w:t>4</w:t>
      </w:r>
      <w:r>
        <w:rPr>
          <w:i/>
          <w:iCs/>
        </w:rPr>
        <w:t xml:space="preserve">: </w:t>
      </w:r>
      <w:r>
        <w:t>The bromoethylamine hydrobromide, trimethylphosphane, hydrobromic acid (HBr, 48 wt% in H2O), and lead (II) acetatetrihydrate (Pb(CH</w:t>
      </w:r>
      <w:r>
        <w:rPr>
          <w:vertAlign w:val="subscript"/>
        </w:rPr>
        <w:t>3</w:t>
      </w:r>
      <w:r>
        <w:t>CO</w:t>
      </w:r>
      <w:r>
        <w:rPr>
          <w:vertAlign w:val="subscript"/>
        </w:rPr>
        <w:t>2</w:t>
      </w:r>
      <w:r>
        <w:t>)2·3H</w:t>
      </w:r>
      <w:r>
        <w:rPr>
          <w:vertAlign w:val="subscript"/>
        </w:rPr>
        <w:t>2</w:t>
      </w:r>
      <w:r>
        <w:t>O) were procured from Sigma-Aldrich without any further purification. A solution containing equal moles of bromoethylamine hydrobromide and trimethylphosphane was prepared by dissolving them in 50 ml of ethanol within a dry flask. The resulting mixed solvent was then heated and stirred in a silicon oil bath at 65℃ for two days. Upon solvent removal under reduced pressure, (2-aminoethyl)trimethylphosphanium bromide (EATMP·Br) was obtained in the form of white solids. Subsequently, an equimolar amount of EATMP·Br and Pb(CH</w:t>
      </w:r>
      <w:r>
        <w:rPr>
          <w:vertAlign w:val="subscript"/>
        </w:rPr>
        <w:t>3</w:t>
      </w:r>
      <w:r>
        <w:t>CO</w:t>
      </w:r>
      <w:r>
        <w:rPr>
          <w:vertAlign w:val="subscript"/>
        </w:rPr>
        <w:t>2</w:t>
      </w:r>
      <w:r>
        <w:t>)2·3H</w:t>
      </w:r>
      <w:r>
        <w:rPr>
          <w:vertAlign w:val="subscript"/>
        </w:rPr>
        <w:t>2</w:t>
      </w:r>
      <w:r>
        <w:t>O was introduced into 5 ml of HBr, and the resultant (EATMP)PbBr</w:t>
      </w:r>
      <w:r>
        <w:rPr>
          <w:vertAlign w:val="subscript"/>
        </w:rPr>
        <w:t>4</w:t>
      </w:r>
      <w:r>
        <w:t xml:space="preserve"> crystals were obtained by allowing the HBr solution to evaporate slowly in a fume hood.</w:t>
      </w:r>
    </w:p>
    <w:p w14:paraId="02BCC9A2" w14:textId="77777777" w:rsidR="003717D8" w:rsidRDefault="003717D8">
      <w:pPr>
        <w:rPr>
          <w:rFonts w:cs="Times New Roman"/>
          <w:b/>
          <w:bCs/>
          <w:lang w:val="en-SG"/>
        </w:rPr>
      </w:pPr>
    </w:p>
    <w:p w14:paraId="1F8FF6F0" w14:textId="77777777" w:rsidR="003717D8" w:rsidRDefault="00000000">
      <w:pPr>
        <w:rPr>
          <w:rFonts w:cs="Times New Roman"/>
          <w:lang w:val="en-SG"/>
        </w:rPr>
      </w:pPr>
      <w:r>
        <w:rPr>
          <w:rFonts w:cs="Times New Roman"/>
          <w:lang w:val="en-SG"/>
        </w:rPr>
        <w:br w:type="page"/>
      </w:r>
    </w:p>
    <w:p w14:paraId="710119AC" w14:textId="77777777" w:rsidR="003717D8" w:rsidRDefault="00000000">
      <w:pPr>
        <w:sectPr w:rsidR="003717D8">
          <w:pgSz w:w="11906" w:h="16838"/>
          <w:pgMar w:top="1440" w:right="1080" w:bottom="1440" w:left="1080" w:header="851" w:footer="992" w:gutter="0"/>
          <w:cols w:space="425"/>
          <w:docGrid w:type="lines" w:linePitch="312"/>
        </w:sectPr>
      </w:pPr>
      <w:bookmarkStart w:id="0" w:name="OLE_LINK2"/>
      <w:r>
        <w:rPr>
          <w:noProof/>
        </w:rPr>
        <w:lastRenderedPageBreak/>
        <w:drawing>
          <wp:inline distT="0" distB="0" distL="0" distR="0" wp14:anchorId="2D1E9F58" wp14:editId="0AD3B8CE">
            <wp:extent cx="6188710" cy="2680335"/>
            <wp:effectExtent l="0" t="0" r="2540" b="5715"/>
            <wp:docPr id="2960858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85886"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6188710" cy="2680335"/>
                    </a:xfrm>
                    <a:prstGeom prst="rect">
                      <a:avLst/>
                    </a:prstGeom>
                    <a:noFill/>
                    <a:ln>
                      <a:noFill/>
                    </a:ln>
                  </pic:spPr>
                </pic:pic>
              </a:graphicData>
            </a:graphic>
          </wp:inline>
        </w:drawing>
      </w:r>
      <w:r>
        <w:rPr>
          <w:rFonts w:hint="eastAsia"/>
          <w:b/>
          <w:bCs/>
        </w:rPr>
        <w:t xml:space="preserve">Supplementary </w:t>
      </w:r>
      <w:r>
        <w:rPr>
          <w:b/>
          <w:bCs/>
        </w:rPr>
        <w:t>Fig.1</w:t>
      </w:r>
      <w:bookmarkStart w:id="1" w:name="OLE_LINK1"/>
      <w:r>
        <w:rPr>
          <w:rFonts w:ascii="宋体" w:hAnsi="宋体"/>
          <w:b/>
          <w:bCs/>
        </w:rPr>
        <w:t>｜</w:t>
      </w:r>
      <w:r>
        <w:rPr>
          <w:rFonts w:hint="eastAsia"/>
        </w:rPr>
        <w:t>The transfer curves</w:t>
      </w:r>
      <w:bookmarkEnd w:id="1"/>
      <w:r>
        <w:rPr>
          <w:rFonts w:hint="eastAsia"/>
        </w:rPr>
        <w:t xml:space="preserve"> of TCAD simulation MoS</w:t>
      </w:r>
      <w:r>
        <w:rPr>
          <w:rFonts w:hint="eastAsia"/>
          <w:vertAlign w:val="subscript"/>
        </w:rPr>
        <w:t>2</w:t>
      </w:r>
      <w:r>
        <w:rPr>
          <w:rFonts w:hint="eastAsia"/>
        </w:rPr>
        <w:t xml:space="preserve"> 2DFHT with defect concentration of </w:t>
      </w:r>
      <w:bookmarkStart w:id="2" w:name="OLE_LINK4"/>
      <w:r>
        <w:rPr>
          <w:rFonts w:hint="eastAsia"/>
        </w:rPr>
        <w:t>3</w:t>
      </w:r>
      <w:r>
        <w:rPr>
          <w:rFonts w:cs="Times New Roman"/>
        </w:rPr>
        <w:t>×</w:t>
      </w:r>
      <w:r>
        <w:rPr>
          <w:rFonts w:hint="eastAsia"/>
        </w:rPr>
        <w:t>10</w:t>
      </w:r>
      <w:r>
        <w:rPr>
          <w:rFonts w:hint="eastAsia"/>
          <w:vertAlign w:val="superscript"/>
        </w:rPr>
        <w:t>13</w:t>
      </w:r>
      <w:r>
        <w:rPr>
          <w:rFonts w:hint="eastAsia"/>
        </w:rPr>
        <w:t xml:space="preserve"> cm</w:t>
      </w:r>
      <w:r>
        <w:rPr>
          <w:rFonts w:hint="eastAsia"/>
          <w:vertAlign w:val="superscript"/>
        </w:rPr>
        <w:t>-3</w:t>
      </w:r>
      <w:bookmarkEnd w:id="2"/>
      <w:r>
        <w:rPr>
          <w:rFonts w:hint="eastAsia"/>
          <w:vertAlign w:val="superscript"/>
        </w:rPr>
        <w:t xml:space="preserve"> </w:t>
      </w:r>
      <w:r>
        <w:rPr>
          <w:rFonts w:hint="eastAsia"/>
        </w:rPr>
        <w:t xml:space="preserve">and a Pr value of a) 0.1 </w:t>
      </w:r>
      <w:r>
        <w:rPr>
          <w:rFonts w:cs="Times New Roman"/>
        </w:rPr>
        <w:t>μ</w:t>
      </w:r>
      <w:r>
        <w:rPr>
          <w:rFonts w:hint="eastAsia"/>
        </w:rPr>
        <w:t>C/cm</w:t>
      </w:r>
      <w:r>
        <w:rPr>
          <w:rFonts w:hint="eastAsia"/>
          <w:vertAlign w:val="superscript"/>
        </w:rPr>
        <w:t>2</w:t>
      </w:r>
      <w:r>
        <w:rPr>
          <w:rFonts w:hint="eastAsia"/>
        </w:rPr>
        <w:t>,</w:t>
      </w:r>
      <w:r>
        <w:t xml:space="preserve"> </w:t>
      </w:r>
      <w:r>
        <w:rPr>
          <w:rFonts w:hint="eastAsia"/>
        </w:rPr>
        <w:t xml:space="preserve">b) 1 </w:t>
      </w:r>
      <w:r>
        <w:rPr>
          <w:rFonts w:cs="Times New Roman"/>
        </w:rPr>
        <w:t>μ</w:t>
      </w:r>
      <w:r>
        <w:rPr>
          <w:rFonts w:hint="eastAsia"/>
        </w:rPr>
        <w:t>C/cm</w:t>
      </w:r>
      <w:r>
        <w:rPr>
          <w:rFonts w:hint="eastAsia"/>
          <w:vertAlign w:val="superscript"/>
        </w:rPr>
        <w:t xml:space="preserve">2 </w:t>
      </w:r>
      <w:r>
        <w:rPr>
          <w:rFonts w:hint="eastAsia"/>
        </w:rPr>
        <w:t xml:space="preserve">and c) 10 </w:t>
      </w:r>
      <w:r>
        <w:rPr>
          <w:rFonts w:cs="Times New Roman"/>
        </w:rPr>
        <w:t>μ</w:t>
      </w:r>
      <w:r>
        <w:rPr>
          <w:rFonts w:hint="eastAsia"/>
        </w:rPr>
        <w:t>C/cm</w:t>
      </w:r>
      <w:r>
        <w:rPr>
          <w:rFonts w:hint="eastAsia"/>
          <w:vertAlign w:val="superscript"/>
        </w:rPr>
        <w:t>2</w:t>
      </w:r>
      <w:r>
        <w:rPr>
          <w:rFonts w:hint="eastAsia"/>
        </w:rPr>
        <w:t xml:space="preserve">. (d-e) The Pr value of 2DFHT associated with </w:t>
      </w:r>
      <w:r>
        <w:t>Supplementary</w:t>
      </w:r>
      <w:r>
        <w:rPr>
          <w:rFonts w:hint="eastAsia"/>
        </w:rPr>
        <w:t xml:space="preserve"> Fig.1a-1c</w:t>
      </w:r>
    </w:p>
    <w:bookmarkEnd w:id="0"/>
    <w:p w14:paraId="5242CD13" w14:textId="77777777" w:rsidR="003717D8" w:rsidRDefault="00000000">
      <w:pPr>
        <w:jc w:val="center"/>
      </w:pPr>
      <w:r>
        <w:rPr>
          <w:noProof/>
        </w:rPr>
        <w:lastRenderedPageBreak/>
        <w:drawing>
          <wp:inline distT="0" distB="0" distL="0" distR="0" wp14:anchorId="77657566" wp14:editId="0A55BD99">
            <wp:extent cx="6188710" cy="2698750"/>
            <wp:effectExtent l="0" t="0" r="2540" b="6350"/>
            <wp:docPr id="10104267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26756"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6188710" cy="2698750"/>
                    </a:xfrm>
                    <a:prstGeom prst="rect">
                      <a:avLst/>
                    </a:prstGeom>
                    <a:noFill/>
                    <a:ln>
                      <a:noFill/>
                    </a:ln>
                  </pic:spPr>
                </pic:pic>
              </a:graphicData>
            </a:graphic>
          </wp:inline>
        </w:drawing>
      </w:r>
    </w:p>
    <w:p w14:paraId="67C239D3" w14:textId="77777777" w:rsidR="003717D8" w:rsidRDefault="00000000">
      <w:pPr>
        <w:sectPr w:rsidR="003717D8">
          <w:pgSz w:w="11906" w:h="16838"/>
          <w:pgMar w:top="1440" w:right="1080" w:bottom="1440" w:left="1080" w:header="851" w:footer="992" w:gutter="0"/>
          <w:cols w:space="425"/>
          <w:docGrid w:type="lines" w:linePitch="312"/>
        </w:sectPr>
      </w:pPr>
      <w:r>
        <w:rPr>
          <w:b/>
          <w:bCs/>
        </w:rPr>
        <w:t>S</w:t>
      </w:r>
      <w:r>
        <w:rPr>
          <w:rFonts w:hint="eastAsia"/>
          <w:b/>
          <w:bCs/>
        </w:rPr>
        <w:t xml:space="preserve">upplementary </w:t>
      </w:r>
      <w:r>
        <w:rPr>
          <w:b/>
          <w:bCs/>
        </w:rPr>
        <w:t>Fig.</w:t>
      </w:r>
      <w:r>
        <w:rPr>
          <w:rFonts w:hint="eastAsia"/>
          <w:b/>
          <w:bCs/>
        </w:rPr>
        <w:t>2</w:t>
      </w:r>
      <w:r>
        <w:rPr>
          <w:rFonts w:ascii="宋体" w:hAnsi="宋体"/>
          <w:b/>
          <w:bCs/>
        </w:rPr>
        <w:t>｜</w:t>
      </w:r>
      <w:r>
        <w:rPr>
          <w:rFonts w:hint="eastAsia"/>
        </w:rPr>
        <w:t>The transfer curves of TCAD simulation MoS</w:t>
      </w:r>
      <w:r>
        <w:rPr>
          <w:rFonts w:hint="eastAsia"/>
          <w:vertAlign w:val="subscript"/>
        </w:rPr>
        <w:t>2</w:t>
      </w:r>
      <w:r>
        <w:rPr>
          <w:rFonts w:hint="eastAsia"/>
        </w:rPr>
        <w:t xml:space="preserve"> 2DFHT with Pr value of 5 </w:t>
      </w:r>
      <w:r>
        <w:rPr>
          <w:rFonts w:cs="Times New Roman"/>
        </w:rPr>
        <w:t>μ</w:t>
      </w:r>
      <w:r>
        <w:rPr>
          <w:rFonts w:hint="eastAsia"/>
        </w:rPr>
        <w:t>C/cm</w:t>
      </w:r>
      <w:r>
        <w:rPr>
          <w:rFonts w:hint="eastAsia"/>
          <w:vertAlign w:val="superscript"/>
        </w:rPr>
        <w:t xml:space="preserve">2 </w:t>
      </w:r>
      <w:r>
        <w:rPr>
          <w:rFonts w:hint="eastAsia"/>
        </w:rPr>
        <w:t xml:space="preserve">and </w:t>
      </w:r>
      <w:r>
        <w:t>an</w:t>
      </w:r>
      <w:r>
        <w:rPr>
          <w:rFonts w:hint="eastAsia"/>
        </w:rPr>
        <w:t xml:space="preserve"> electron defect concentration value of a) 3</w:t>
      </w:r>
      <w:r>
        <w:rPr>
          <w:rFonts w:cs="Times New Roman"/>
        </w:rPr>
        <w:t>×</w:t>
      </w:r>
      <w:r>
        <w:rPr>
          <w:rFonts w:hint="eastAsia"/>
        </w:rPr>
        <w:t>10</w:t>
      </w:r>
      <w:r>
        <w:rPr>
          <w:rFonts w:hint="eastAsia"/>
          <w:vertAlign w:val="superscript"/>
        </w:rPr>
        <w:t>14</w:t>
      </w:r>
      <w:r>
        <w:rPr>
          <w:rFonts w:hint="eastAsia"/>
        </w:rPr>
        <w:t xml:space="preserve"> cm</w:t>
      </w:r>
      <w:r>
        <w:rPr>
          <w:rFonts w:hint="eastAsia"/>
          <w:vertAlign w:val="superscript"/>
        </w:rPr>
        <w:t>-3</w:t>
      </w:r>
      <w:r>
        <w:rPr>
          <w:rFonts w:hint="eastAsia"/>
        </w:rPr>
        <w:t>,</w:t>
      </w:r>
      <w:r>
        <w:t xml:space="preserve"> </w:t>
      </w:r>
      <w:r>
        <w:rPr>
          <w:rFonts w:hint="eastAsia"/>
        </w:rPr>
        <w:t>b) 5</w:t>
      </w:r>
      <w:r>
        <w:rPr>
          <w:rFonts w:cs="Times New Roman"/>
        </w:rPr>
        <w:t>×</w:t>
      </w:r>
      <w:r>
        <w:rPr>
          <w:rFonts w:hint="eastAsia"/>
        </w:rPr>
        <w:t>10</w:t>
      </w:r>
      <w:r>
        <w:rPr>
          <w:rFonts w:hint="eastAsia"/>
          <w:vertAlign w:val="superscript"/>
        </w:rPr>
        <w:t>13</w:t>
      </w:r>
      <w:r>
        <w:rPr>
          <w:rFonts w:hint="eastAsia"/>
        </w:rPr>
        <w:t xml:space="preserve"> cm</w:t>
      </w:r>
      <w:r>
        <w:rPr>
          <w:rFonts w:hint="eastAsia"/>
          <w:vertAlign w:val="superscript"/>
        </w:rPr>
        <w:t xml:space="preserve">-3 </w:t>
      </w:r>
      <w:r>
        <w:rPr>
          <w:rFonts w:hint="eastAsia"/>
        </w:rPr>
        <w:t>and c) 1</w:t>
      </w:r>
      <w:r>
        <w:rPr>
          <w:rFonts w:cs="Times New Roman"/>
        </w:rPr>
        <w:t>×</w:t>
      </w:r>
      <w:r>
        <w:rPr>
          <w:rFonts w:hint="eastAsia"/>
        </w:rPr>
        <w:t>10</w:t>
      </w:r>
      <w:r>
        <w:rPr>
          <w:rFonts w:hint="eastAsia"/>
          <w:vertAlign w:val="superscript"/>
        </w:rPr>
        <w:t>12</w:t>
      </w:r>
      <w:r>
        <w:rPr>
          <w:rFonts w:hint="eastAsia"/>
        </w:rPr>
        <w:t xml:space="preserve"> cm</w:t>
      </w:r>
      <w:r>
        <w:rPr>
          <w:rFonts w:hint="eastAsia"/>
          <w:vertAlign w:val="superscript"/>
        </w:rPr>
        <w:t>-3</w:t>
      </w:r>
      <w:r>
        <w:rPr>
          <w:rFonts w:hint="eastAsia"/>
        </w:rPr>
        <w:t xml:space="preserve">. (d-e) The trapped charges of 2DFHT </w:t>
      </w:r>
      <w:r>
        <w:t xml:space="preserve">are </w:t>
      </w:r>
      <w:r>
        <w:rPr>
          <w:rFonts w:hint="eastAsia"/>
        </w:rPr>
        <w:t xml:space="preserve">associated with </w:t>
      </w:r>
      <w:r>
        <w:t>Supplementary</w:t>
      </w:r>
      <w:r>
        <w:rPr>
          <w:rFonts w:hint="eastAsia"/>
        </w:rPr>
        <w:t xml:space="preserve"> Fig.2a-2c.</w:t>
      </w:r>
    </w:p>
    <w:p w14:paraId="21315162" w14:textId="77777777" w:rsidR="003717D8" w:rsidRDefault="00000000">
      <w:pPr>
        <w:jc w:val="center"/>
      </w:pPr>
      <w:r>
        <w:rPr>
          <w:noProof/>
        </w:rPr>
        <w:lastRenderedPageBreak/>
        <w:drawing>
          <wp:inline distT="0" distB="0" distL="0" distR="0" wp14:anchorId="16574DA8" wp14:editId="2E4AECEA">
            <wp:extent cx="4046220" cy="2879725"/>
            <wp:effectExtent l="0" t="0" r="0" b="0"/>
            <wp:docPr id="2044199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9931"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046400" cy="2880000"/>
                    </a:xfrm>
                    <a:prstGeom prst="rect">
                      <a:avLst/>
                    </a:prstGeom>
                    <a:noFill/>
                    <a:ln>
                      <a:noFill/>
                    </a:ln>
                  </pic:spPr>
                </pic:pic>
              </a:graphicData>
            </a:graphic>
          </wp:inline>
        </w:drawing>
      </w:r>
    </w:p>
    <w:p w14:paraId="7C0BEE7F" w14:textId="77777777" w:rsidR="003717D8" w:rsidRDefault="00000000">
      <w:r>
        <w:rPr>
          <w:b/>
          <w:bCs/>
        </w:rPr>
        <w:t>S</w:t>
      </w:r>
      <w:r>
        <w:rPr>
          <w:rFonts w:hint="eastAsia"/>
          <w:b/>
          <w:bCs/>
        </w:rPr>
        <w:t xml:space="preserve">upplementary </w:t>
      </w:r>
      <w:r>
        <w:rPr>
          <w:b/>
          <w:bCs/>
        </w:rPr>
        <w:t>Fig.</w:t>
      </w:r>
      <w:r>
        <w:rPr>
          <w:rFonts w:hint="eastAsia"/>
          <w:b/>
          <w:bCs/>
        </w:rPr>
        <w:t>3</w:t>
      </w:r>
      <w:r>
        <w:rPr>
          <w:rFonts w:cs="Times New Roman"/>
          <w:b/>
          <w:bCs/>
        </w:rPr>
        <w:t>｜</w:t>
      </w:r>
      <w:r>
        <w:t xml:space="preserve">a) The 3D view of the two-dimensional layered perovskites, showing the infinite extension of perovskites in the a-b plane; b) The top view of the perovskite structure along the crystallographic c-axis, presenting the well-layered stacking of the perovskite sheet without any in-plane displacement. </w:t>
      </w:r>
    </w:p>
    <w:p w14:paraId="70C96C6E" w14:textId="77777777" w:rsidR="003717D8" w:rsidRDefault="003717D8"/>
    <w:p w14:paraId="7A51A02F" w14:textId="77777777" w:rsidR="003717D8" w:rsidRDefault="003717D8"/>
    <w:p w14:paraId="287B1E64" w14:textId="77777777" w:rsidR="003717D8" w:rsidRDefault="003717D8"/>
    <w:p w14:paraId="1649AAC9" w14:textId="77777777" w:rsidR="003717D8" w:rsidRDefault="003717D8"/>
    <w:p w14:paraId="2329AD4C" w14:textId="77777777" w:rsidR="003717D8" w:rsidRDefault="003717D8"/>
    <w:p w14:paraId="10EA1301" w14:textId="77777777" w:rsidR="003717D8" w:rsidRDefault="003717D8"/>
    <w:p w14:paraId="7EE7D165" w14:textId="77777777" w:rsidR="003717D8" w:rsidRDefault="003717D8"/>
    <w:p w14:paraId="1E590D33" w14:textId="77777777" w:rsidR="003717D8" w:rsidRDefault="003717D8"/>
    <w:p w14:paraId="595C1A98" w14:textId="77777777" w:rsidR="003717D8" w:rsidRDefault="003717D8"/>
    <w:p w14:paraId="3D75147B" w14:textId="77777777" w:rsidR="003717D8" w:rsidRDefault="003717D8"/>
    <w:p w14:paraId="4F9F95AA" w14:textId="77777777" w:rsidR="003717D8" w:rsidRDefault="003717D8"/>
    <w:p w14:paraId="383D7293" w14:textId="77777777" w:rsidR="003717D8" w:rsidRDefault="003717D8"/>
    <w:p w14:paraId="286146BF" w14:textId="77777777" w:rsidR="003717D8" w:rsidRDefault="00000000">
      <w:pPr>
        <w:jc w:val="center"/>
      </w:pPr>
      <w:r>
        <w:rPr>
          <w:noProof/>
        </w:rPr>
        <w:lastRenderedPageBreak/>
        <w:drawing>
          <wp:inline distT="0" distB="0" distL="0" distR="0" wp14:anchorId="0B6FA068" wp14:editId="54696FA0">
            <wp:extent cx="3768725" cy="2879725"/>
            <wp:effectExtent l="0" t="0" r="3175" b="0"/>
            <wp:docPr id="13835659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65930"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769200" cy="2880000"/>
                    </a:xfrm>
                    <a:prstGeom prst="rect">
                      <a:avLst/>
                    </a:prstGeom>
                    <a:noFill/>
                    <a:ln>
                      <a:noFill/>
                    </a:ln>
                  </pic:spPr>
                </pic:pic>
              </a:graphicData>
            </a:graphic>
          </wp:inline>
        </w:drawing>
      </w:r>
    </w:p>
    <w:p w14:paraId="36E3E2F5" w14:textId="77777777" w:rsidR="003717D8" w:rsidRDefault="00000000">
      <w:pPr>
        <w:rPr>
          <w:rFonts w:eastAsia="宋体" w:cs="Times New Roman"/>
          <w:kern w:val="0"/>
          <w:szCs w:val="24"/>
        </w:rPr>
      </w:pPr>
      <w:bookmarkStart w:id="3" w:name="_Hlk157536438"/>
      <w:r>
        <w:rPr>
          <w:b/>
          <w:bCs/>
        </w:rPr>
        <w:t>S</w:t>
      </w:r>
      <w:r>
        <w:rPr>
          <w:rFonts w:hint="eastAsia"/>
          <w:b/>
          <w:bCs/>
        </w:rPr>
        <w:t xml:space="preserve">upplementary </w:t>
      </w:r>
      <w:r>
        <w:rPr>
          <w:b/>
          <w:bCs/>
        </w:rPr>
        <w:t>Fig.</w:t>
      </w:r>
      <w:r>
        <w:rPr>
          <w:rFonts w:hint="eastAsia"/>
          <w:b/>
          <w:bCs/>
        </w:rPr>
        <w:t>4</w:t>
      </w:r>
      <w:r>
        <w:rPr>
          <w:rFonts w:ascii="宋体" w:hAnsi="宋体"/>
          <w:b/>
          <w:bCs/>
        </w:rPr>
        <w:t>｜</w:t>
      </w:r>
      <w:r>
        <w:t xml:space="preserve">a) The scheme of (110) crystallographic plane and the (011) crystallographic plane in the crystal structure; b) the polar axis crystallographic b-axis presents angle to the (011) plane from the view along a-axis; c) the polar axis crystallographic b-axis presents angle to the (110) plane from the view along c-axis. Both b) and c) indicate the polar axis is tilted with respect to the substrate. </w:t>
      </w:r>
    </w:p>
    <w:bookmarkEnd w:id="3"/>
    <w:p w14:paraId="5F86951D" w14:textId="77777777" w:rsidR="003717D8" w:rsidRDefault="003717D8"/>
    <w:p w14:paraId="491357A5" w14:textId="77777777" w:rsidR="003717D8" w:rsidRDefault="003717D8"/>
    <w:p w14:paraId="0616342E" w14:textId="77777777" w:rsidR="003717D8" w:rsidRDefault="003717D8"/>
    <w:p w14:paraId="1CDC7705" w14:textId="77777777" w:rsidR="003717D8" w:rsidRDefault="003717D8"/>
    <w:p w14:paraId="50CEB808" w14:textId="77777777" w:rsidR="003717D8" w:rsidRDefault="003717D8"/>
    <w:p w14:paraId="2576F41C" w14:textId="77777777" w:rsidR="003717D8" w:rsidRDefault="003717D8"/>
    <w:p w14:paraId="5F7F8A8C" w14:textId="77777777" w:rsidR="003717D8" w:rsidRDefault="003717D8"/>
    <w:p w14:paraId="3AF2F56D" w14:textId="77777777" w:rsidR="003717D8" w:rsidRDefault="003717D8"/>
    <w:p w14:paraId="15BE24E7" w14:textId="77777777" w:rsidR="003717D8" w:rsidRDefault="003717D8"/>
    <w:p w14:paraId="3A9A5E47" w14:textId="77777777" w:rsidR="003717D8" w:rsidRDefault="003717D8"/>
    <w:p w14:paraId="4F1F91A6" w14:textId="77777777" w:rsidR="003717D8" w:rsidRDefault="003717D8"/>
    <w:p w14:paraId="09236E91" w14:textId="77777777" w:rsidR="003717D8" w:rsidRDefault="003717D8"/>
    <w:p w14:paraId="2F555B50" w14:textId="77777777" w:rsidR="003717D8" w:rsidRDefault="003717D8"/>
    <w:p w14:paraId="789CCD19" w14:textId="77777777" w:rsidR="003717D8" w:rsidRDefault="00000000">
      <w:pPr>
        <w:jc w:val="center"/>
      </w:pPr>
      <w:r>
        <w:rPr>
          <w:rFonts w:hint="eastAsia"/>
          <w:noProof/>
        </w:rPr>
        <w:lastRenderedPageBreak/>
        <w:drawing>
          <wp:inline distT="0" distB="0" distL="114300" distR="114300" wp14:anchorId="6BEC2FA7" wp14:editId="5EED1466">
            <wp:extent cx="5968365" cy="1915160"/>
            <wp:effectExtent l="0" t="0" r="0" b="8890"/>
            <wp:docPr id="17" name="图片 17" descr="Figure 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igure S5"/>
                    <pic:cNvPicPr>
                      <a:picLocks noChangeAspect="1"/>
                    </pic:cNvPicPr>
                  </pic:nvPicPr>
                  <pic:blipFill>
                    <a:blip r:embed="rId13"/>
                    <a:stretch>
                      <a:fillRect/>
                    </a:stretch>
                  </pic:blipFill>
                  <pic:spPr>
                    <a:xfrm>
                      <a:off x="0" y="0"/>
                      <a:ext cx="5968800" cy="1915200"/>
                    </a:xfrm>
                    <a:prstGeom prst="rect">
                      <a:avLst/>
                    </a:prstGeom>
                  </pic:spPr>
                </pic:pic>
              </a:graphicData>
            </a:graphic>
          </wp:inline>
        </w:drawing>
      </w:r>
    </w:p>
    <w:p w14:paraId="32752B66" w14:textId="77777777" w:rsidR="003717D8" w:rsidRDefault="00000000">
      <w:pPr>
        <w:rPr>
          <w:rFonts w:eastAsia="宋体" w:cs="Times New Roman"/>
          <w:kern w:val="0"/>
          <w:szCs w:val="24"/>
        </w:rPr>
      </w:pPr>
      <w:r>
        <w:rPr>
          <w:b/>
          <w:bCs/>
        </w:rPr>
        <w:t>S</w:t>
      </w:r>
      <w:r>
        <w:rPr>
          <w:rFonts w:hint="eastAsia"/>
          <w:b/>
          <w:bCs/>
        </w:rPr>
        <w:t xml:space="preserve">upplementary </w:t>
      </w:r>
      <w:r>
        <w:rPr>
          <w:b/>
          <w:bCs/>
        </w:rPr>
        <w:t>Fig.</w:t>
      </w:r>
      <w:r>
        <w:rPr>
          <w:rFonts w:hint="eastAsia"/>
          <w:b/>
          <w:bCs/>
        </w:rPr>
        <w:t>5</w:t>
      </w:r>
      <w:r>
        <w:rPr>
          <w:rFonts w:ascii="宋体" w:hAnsi="宋体"/>
          <w:b/>
          <w:bCs/>
        </w:rPr>
        <w:t>｜</w:t>
      </w:r>
      <w:r>
        <w:t>The deflection error map, PFM OOP amplitude and OOP phase change after box poling under -12 V tip voltage</w:t>
      </w:r>
      <w:r>
        <w:rPr>
          <w:rFonts w:hint="eastAsia"/>
        </w:rPr>
        <w:t xml:space="preserve">, the scale bar in the images is 6 </w:t>
      </w:r>
      <w:r>
        <w:rPr>
          <w:rFonts w:cs="Times New Roman"/>
        </w:rPr>
        <w:t>μm</w:t>
      </w:r>
      <w:r>
        <w:t>.</w:t>
      </w:r>
    </w:p>
    <w:p w14:paraId="540EB082" w14:textId="77777777" w:rsidR="003717D8" w:rsidRDefault="003717D8"/>
    <w:p w14:paraId="52965DDE" w14:textId="77777777" w:rsidR="003717D8" w:rsidRDefault="003717D8"/>
    <w:p w14:paraId="6D9BE40A" w14:textId="77777777" w:rsidR="003717D8" w:rsidRDefault="003717D8"/>
    <w:p w14:paraId="10883E09" w14:textId="77777777" w:rsidR="003717D8" w:rsidRDefault="003717D8"/>
    <w:p w14:paraId="55C0900C" w14:textId="77777777" w:rsidR="003717D8" w:rsidRDefault="003717D8"/>
    <w:p w14:paraId="5762FFB7" w14:textId="77777777" w:rsidR="003717D8" w:rsidRDefault="003717D8"/>
    <w:p w14:paraId="0BF8E3C7" w14:textId="77777777" w:rsidR="003717D8" w:rsidRDefault="003717D8"/>
    <w:p w14:paraId="66470A07" w14:textId="77777777" w:rsidR="003717D8" w:rsidRDefault="003717D8"/>
    <w:p w14:paraId="4E58AC59" w14:textId="77777777" w:rsidR="003717D8" w:rsidRDefault="003717D8"/>
    <w:p w14:paraId="3AD8AB33" w14:textId="77777777" w:rsidR="003717D8" w:rsidRDefault="003717D8"/>
    <w:p w14:paraId="252C8757" w14:textId="77777777" w:rsidR="003717D8" w:rsidRDefault="003717D8"/>
    <w:p w14:paraId="3850D6D8" w14:textId="77777777" w:rsidR="003717D8" w:rsidRDefault="003717D8"/>
    <w:p w14:paraId="104EE5D4" w14:textId="77777777" w:rsidR="003717D8" w:rsidRDefault="003717D8"/>
    <w:p w14:paraId="3DD3A2D3" w14:textId="77777777" w:rsidR="003717D8" w:rsidRDefault="003717D8"/>
    <w:p w14:paraId="7B1A43F4" w14:textId="77777777" w:rsidR="003717D8" w:rsidRDefault="003717D8"/>
    <w:p w14:paraId="39ADD689" w14:textId="77777777" w:rsidR="003717D8" w:rsidRDefault="003717D8"/>
    <w:p w14:paraId="5D0C1903" w14:textId="77777777" w:rsidR="003717D8" w:rsidRDefault="003717D8"/>
    <w:p w14:paraId="342880BA" w14:textId="77777777" w:rsidR="003717D8" w:rsidRDefault="003717D8"/>
    <w:p w14:paraId="10DF23FC" w14:textId="77777777" w:rsidR="003717D8" w:rsidRDefault="003717D8"/>
    <w:p w14:paraId="5B7427CD" w14:textId="77777777" w:rsidR="003717D8" w:rsidRDefault="003717D8"/>
    <w:p w14:paraId="1227D897" w14:textId="77777777" w:rsidR="003717D8" w:rsidRDefault="003717D8"/>
    <w:p w14:paraId="1DACC8AA" w14:textId="77777777" w:rsidR="003717D8" w:rsidRDefault="00000000">
      <w:pPr>
        <w:jc w:val="center"/>
      </w:pPr>
      <w:r>
        <w:rPr>
          <w:rFonts w:hint="eastAsia"/>
          <w:noProof/>
        </w:rPr>
        <w:lastRenderedPageBreak/>
        <w:drawing>
          <wp:inline distT="0" distB="0" distL="114300" distR="114300" wp14:anchorId="48347B46" wp14:editId="206A0DB0">
            <wp:extent cx="5501640" cy="4124960"/>
            <wp:effectExtent l="0" t="0" r="3810" b="8890"/>
            <wp:docPr id="18" name="图片 18" descr="Figure 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ure S6"/>
                    <pic:cNvPicPr>
                      <a:picLocks noChangeAspect="1"/>
                    </pic:cNvPicPr>
                  </pic:nvPicPr>
                  <pic:blipFill>
                    <a:blip r:embed="rId14"/>
                    <a:stretch>
                      <a:fillRect/>
                    </a:stretch>
                  </pic:blipFill>
                  <pic:spPr>
                    <a:xfrm>
                      <a:off x="0" y="0"/>
                      <a:ext cx="5501640" cy="4124960"/>
                    </a:xfrm>
                    <a:prstGeom prst="rect">
                      <a:avLst/>
                    </a:prstGeom>
                  </pic:spPr>
                </pic:pic>
              </a:graphicData>
            </a:graphic>
          </wp:inline>
        </w:drawing>
      </w:r>
    </w:p>
    <w:p w14:paraId="089AD0E4" w14:textId="77777777" w:rsidR="003717D8" w:rsidRDefault="00000000">
      <w:pPr>
        <w:rPr>
          <w:rFonts w:eastAsia="宋体" w:cs="Times New Roman"/>
          <w:kern w:val="0"/>
          <w:szCs w:val="24"/>
        </w:rPr>
        <w:sectPr w:rsidR="003717D8">
          <w:pgSz w:w="11906" w:h="16838"/>
          <w:pgMar w:top="1440" w:right="1080" w:bottom="1440" w:left="1080" w:header="851" w:footer="992" w:gutter="0"/>
          <w:cols w:space="425"/>
          <w:docGrid w:type="lines" w:linePitch="312"/>
        </w:sectPr>
      </w:pPr>
      <w:r>
        <w:rPr>
          <w:b/>
          <w:bCs/>
        </w:rPr>
        <w:t>S</w:t>
      </w:r>
      <w:r>
        <w:rPr>
          <w:rFonts w:hint="eastAsia"/>
          <w:b/>
          <w:bCs/>
        </w:rPr>
        <w:t xml:space="preserve">upplementary </w:t>
      </w:r>
      <w:r>
        <w:rPr>
          <w:b/>
          <w:bCs/>
        </w:rPr>
        <w:t>Fig.</w:t>
      </w:r>
      <w:r>
        <w:rPr>
          <w:rFonts w:hint="eastAsia"/>
          <w:b/>
          <w:bCs/>
        </w:rPr>
        <w:t>6</w:t>
      </w:r>
      <w:r>
        <w:rPr>
          <w:rFonts w:ascii="宋体" w:hAnsi="宋体"/>
          <w:b/>
          <w:bCs/>
        </w:rPr>
        <w:t>｜</w:t>
      </w:r>
      <w:r>
        <w:t xml:space="preserve">a) the initial deflection error map, IP amplitude, and IP phase image of the thin film sample, showing the multiple ferroelectric domains in the thin film; b) </w:t>
      </w:r>
      <w:bookmarkStart w:id="4" w:name="_Hlk157536916"/>
      <w:r>
        <w:t>the deflection error map, IP amplitude, and IP phase image of the thin film sample after box poling operation</w:t>
      </w:r>
      <w:bookmarkEnd w:id="4"/>
      <w:r>
        <w:t>, the identical IP phase in the box region reveals that the ferroelectric domains were driven to the same orientation. c) the deflection error map, IP amplitude, and IP phase image of the thin film sample after in-box poling operation, the switch of in-box region reveals the ferroelectric behavior of the perovskite thin film.</w:t>
      </w:r>
      <w:r>
        <w:rPr>
          <w:rFonts w:hint="eastAsia"/>
        </w:rPr>
        <w:t xml:space="preserve"> The scale bar in the images is 6 </w:t>
      </w:r>
      <w:r>
        <w:rPr>
          <w:rFonts w:cs="Times New Roman"/>
        </w:rPr>
        <w:t>μm</w:t>
      </w:r>
      <w:r>
        <w:rPr>
          <w:rFonts w:cs="Times New Roman" w:hint="eastAsia"/>
        </w:rPr>
        <w:t>.</w:t>
      </w:r>
    </w:p>
    <w:p w14:paraId="364C77F8" w14:textId="77777777" w:rsidR="003717D8" w:rsidRDefault="00000000">
      <w:pPr>
        <w:jc w:val="center"/>
      </w:pPr>
      <w:r>
        <w:rPr>
          <w:noProof/>
        </w:rPr>
        <w:lastRenderedPageBreak/>
        <w:drawing>
          <wp:inline distT="0" distB="0" distL="0" distR="0" wp14:anchorId="1F9BE9F0" wp14:editId="3B6A5D3A">
            <wp:extent cx="6235065" cy="1799590"/>
            <wp:effectExtent l="0" t="0" r="0" b="0"/>
            <wp:docPr id="338084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8432" name="图片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235200" cy="1800000"/>
                    </a:xfrm>
                    <a:prstGeom prst="rect">
                      <a:avLst/>
                    </a:prstGeom>
                    <a:noFill/>
                    <a:ln>
                      <a:noFill/>
                    </a:ln>
                  </pic:spPr>
                </pic:pic>
              </a:graphicData>
            </a:graphic>
          </wp:inline>
        </w:drawing>
      </w:r>
    </w:p>
    <w:p w14:paraId="2EA34753" w14:textId="77777777" w:rsidR="003717D8" w:rsidRDefault="00000000">
      <w:pPr>
        <w:rPr>
          <w:rFonts w:eastAsia="宋体" w:cs="Times New Roman"/>
          <w:kern w:val="0"/>
          <w:szCs w:val="24"/>
        </w:rPr>
      </w:pPr>
      <w:r>
        <w:rPr>
          <w:b/>
          <w:bCs/>
        </w:rPr>
        <w:t>S</w:t>
      </w:r>
      <w:r>
        <w:rPr>
          <w:rFonts w:hint="eastAsia"/>
          <w:b/>
          <w:bCs/>
        </w:rPr>
        <w:t xml:space="preserve">upplementary </w:t>
      </w:r>
      <w:r>
        <w:rPr>
          <w:b/>
          <w:bCs/>
        </w:rPr>
        <w:t>Fig.</w:t>
      </w:r>
      <w:r>
        <w:rPr>
          <w:rFonts w:hint="eastAsia"/>
          <w:b/>
          <w:bCs/>
        </w:rPr>
        <w:t>7</w:t>
      </w:r>
      <w:r>
        <w:rPr>
          <w:rFonts w:ascii="宋体" w:hAnsi="宋体"/>
          <w:b/>
          <w:bCs/>
        </w:rPr>
        <w:t>｜</w:t>
      </w:r>
      <w:r>
        <w:rPr>
          <w:rFonts w:hint="eastAsia"/>
        </w:rPr>
        <w:t xml:space="preserve">a) </w:t>
      </w:r>
      <w:r>
        <w:rPr>
          <w:rFonts w:eastAsia="Times New Roman" w:cs="宋体" w:hint="eastAsia"/>
          <w:lang w:bidi="ar"/>
        </w:rPr>
        <w:t>T</w:t>
      </w:r>
      <w:r>
        <w:rPr>
          <w:rFonts w:eastAsia="Times New Roman" w:cs="宋体"/>
          <w:lang w:bidi="ar"/>
        </w:rPr>
        <w:t xml:space="preserve">he second harmonic generation (SHG) of ETPB </w:t>
      </w:r>
      <w:r>
        <w:rPr>
          <w:rFonts w:eastAsia="Times New Roman" w:cs="宋体" w:hint="eastAsia"/>
          <w:lang w:bidi="ar"/>
        </w:rPr>
        <w:t>verifying</w:t>
      </w:r>
      <w:r>
        <w:rPr>
          <w:rFonts w:eastAsia="Times New Roman" w:cs="宋体"/>
          <w:lang w:bidi="ar"/>
        </w:rPr>
        <w:t xml:space="preserve"> the asymmetric polar structure of materials</w:t>
      </w:r>
      <w:r>
        <w:rPr>
          <w:rFonts w:cs="宋体" w:hint="eastAsia"/>
          <w:lang w:bidi="ar"/>
        </w:rPr>
        <w:t xml:space="preserve">; b) The </w:t>
      </w:r>
      <w:r>
        <w:rPr>
          <w:rFonts w:cs="宋体"/>
          <w:lang w:bidi="ar"/>
        </w:rPr>
        <w:t>differential</w:t>
      </w:r>
      <w:r>
        <w:rPr>
          <w:rFonts w:cs="宋体" w:hint="eastAsia"/>
          <w:lang w:bidi="ar"/>
        </w:rPr>
        <w:t xml:space="preserve"> scanning calory (DSC) reveals the paraelectric to ferroelectric phase transition at around 530 K in the ETPB crystal; c) </w:t>
      </w:r>
      <w:r>
        <w:rPr>
          <w:rFonts w:cs="宋体"/>
          <w:lang w:bidi="ar"/>
        </w:rPr>
        <w:t xml:space="preserve">Thermogravimetric </w:t>
      </w:r>
      <w:r>
        <w:rPr>
          <w:rFonts w:cs="宋体" w:hint="eastAsia"/>
          <w:lang w:bidi="ar"/>
        </w:rPr>
        <w:t>a</w:t>
      </w:r>
      <w:r>
        <w:rPr>
          <w:rFonts w:cs="宋体"/>
          <w:lang w:bidi="ar"/>
        </w:rPr>
        <w:t>nalysis</w:t>
      </w:r>
      <w:r>
        <w:rPr>
          <w:rFonts w:cs="宋体" w:hint="eastAsia"/>
          <w:lang w:bidi="ar"/>
        </w:rPr>
        <w:t xml:space="preserve"> (TGA) reveals the highly thermal </w:t>
      </w:r>
      <w:r>
        <w:rPr>
          <w:rFonts w:cs="宋体"/>
          <w:lang w:bidi="ar"/>
        </w:rPr>
        <w:t>stability</w:t>
      </w:r>
      <w:r>
        <w:rPr>
          <w:rFonts w:cs="宋体" w:hint="eastAsia"/>
          <w:lang w:bidi="ar"/>
        </w:rPr>
        <w:t xml:space="preserve"> of ETPB with the decomposition point over 600 K.</w:t>
      </w:r>
    </w:p>
    <w:p w14:paraId="48F41A03" w14:textId="77777777" w:rsidR="003717D8" w:rsidRDefault="003717D8">
      <w:pPr>
        <w:jc w:val="center"/>
      </w:pPr>
    </w:p>
    <w:p w14:paraId="5796BD48" w14:textId="77777777" w:rsidR="003717D8" w:rsidRDefault="00000000">
      <w:pPr>
        <w:widowControl/>
        <w:spacing w:line="240" w:lineRule="auto"/>
        <w:jc w:val="left"/>
      </w:pPr>
      <w:r>
        <w:br w:type="page"/>
      </w:r>
    </w:p>
    <w:p w14:paraId="4CE844FA" w14:textId="77777777" w:rsidR="003717D8" w:rsidRDefault="00000000">
      <w:pPr>
        <w:jc w:val="center"/>
      </w:pPr>
      <w:r>
        <w:rPr>
          <w:rFonts w:hint="eastAsia"/>
          <w:noProof/>
        </w:rPr>
        <w:lastRenderedPageBreak/>
        <w:drawing>
          <wp:inline distT="0" distB="0" distL="114300" distR="114300" wp14:anchorId="7A874705" wp14:editId="32BC7990">
            <wp:extent cx="6223000" cy="1799590"/>
            <wp:effectExtent l="0" t="0" r="6350" b="0"/>
            <wp:docPr id="21" name="图片 21" descr="Figure S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Figure S8-1"/>
                    <pic:cNvPicPr>
                      <a:picLocks noChangeAspect="1"/>
                    </pic:cNvPicPr>
                  </pic:nvPicPr>
                  <pic:blipFill>
                    <a:blip r:embed="rId16"/>
                    <a:stretch>
                      <a:fillRect/>
                    </a:stretch>
                  </pic:blipFill>
                  <pic:spPr>
                    <a:xfrm>
                      <a:off x="0" y="0"/>
                      <a:ext cx="6224421" cy="1800001"/>
                    </a:xfrm>
                    <a:prstGeom prst="rect">
                      <a:avLst/>
                    </a:prstGeom>
                  </pic:spPr>
                </pic:pic>
              </a:graphicData>
            </a:graphic>
          </wp:inline>
        </w:drawing>
      </w:r>
    </w:p>
    <w:p w14:paraId="05AB1226" w14:textId="77777777" w:rsidR="003717D8" w:rsidRDefault="00000000">
      <w:pPr>
        <w:rPr>
          <w:rFonts w:eastAsia="宋体" w:cs="Times New Roman"/>
          <w:kern w:val="0"/>
          <w:szCs w:val="24"/>
        </w:rPr>
      </w:pPr>
      <w:r>
        <w:rPr>
          <w:b/>
          <w:bCs/>
        </w:rPr>
        <w:t>S</w:t>
      </w:r>
      <w:r>
        <w:rPr>
          <w:rFonts w:hint="eastAsia"/>
          <w:b/>
          <w:bCs/>
        </w:rPr>
        <w:t>upplementary Fig.8</w:t>
      </w:r>
      <w:r>
        <w:rPr>
          <w:rFonts w:ascii="宋体" w:hAnsi="宋体"/>
          <w:b/>
          <w:bCs/>
        </w:rPr>
        <w:t>｜</w:t>
      </w:r>
      <w:r>
        <w:rPr>
          <w:rFonts w:hint="eastAsia"/>
        </w:rPr>
        <w:t>The density of state diagram of ETPB with the Br01, Br03</w:t>
      </w:r>
      <w:r>
        <w:t>,</w:t>
      </w:r>
      <w:r>
        <w:rPr>
          <w:rFonts w:hint="eastAsia"/>
        </w:rPr>
        <w:t xml:space="preserve"> and Br04 vacancy, all of </w:t>
      </w:r>
      <w:r>
        <w:t>which</w:t>
      </w:r>
      <w:r>
        <w:rPr>
          <w:rFonts w:hint="eastAsia"/>
        </w:rPr>
        <w:t xml:space="preserve"> </w:t>
      </w:r>
      <w:r>
        <w:t>show</w:t>
      </w:r>
      <w:r>
        <w:rPr>
          <w:rFonts w:hint="eastAsia"/>
        </w:rPr>
        <w:t xml:space="preserve"> the fermi level upward shift and the presence of defect level below the fermi level in the bandgap, indicating the emergence of the electron trap due to the absence of Br atoms.</w:t>
      </w:r>
    </w:p>
    <w:p w14:paraId="0EE401CB" w14:textId="77777777" w:rsidR="003717D8" w:rsidRDefault="003717D8">
      <w:pPr>
        <w:sectPr w:rsidR="003717D8">
          <w:pgSz w:w="11906" w:h="16838"/>
          <w:pgMar w:top="1440" w:right="1080" w:bottom="1440" w:left="1080" w:header="851" w:footer="992" w:gutter="0"/>
          <w:cols w:space="425"/>
          <w:docGrid w:type="lines" w:linePitch="312"/>
        </w:sectPr>
      </w:pPr>
    </w:p>
    <w:p w14:paraId="5C256EE2" w14:textId="77777777" w:rsidR="003717D8" w:rsidRDefault="00000000">
      <w:pPr>
        <w:jc w:val="center"/>
      </w:pPr>
      <w:r>
        <w:rPr>
          <w:noProof/>
        </w:rPr>
        <w:lastRenderedPageBreak/>
        <w:drawing>
          <wp:inline distT="0" distB="0" distL="0" distR="0" wp14:anchorId="03904EC6" wp14:editId="522AC404">
            <wp:extent cx="4546600" cy="2193290"/>
            <wp:effectExtent l="0" t="0" r="6350" b="0"/>
            <wp:docPr id="9552460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46051" name="图片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570953" cy="2205276"/>
                    </a:xfrm>
                    <a:prstGeom prst="rect">
                      <a:avLst/>
                    </a:prstGeom>
                    <a:noFill/>
                    <a:ln>
                      <a:noFill/>
                    </a:ln>
                  </pic:spPr>
                </pic:pic>
              </a:graphicData>
            </a:graphic>
          </wp:inline>
        </w:drawing>
      </w:r>
    </w:p>
    <w:p w14:paraId="231BBF67" w14:textId="77777777" w:rsidR="003717D8" w:rsidRDefault="00000000">
      <w:pPr>
        <w:rPr>
          <w:rFonts w:eastAsia="宋体" w:cs="Times New Roman"/>
          <w:kern w:val="0"/>
          <w:szCs w:val="24"/>
        </w:rPr>
      </w:pPr>
      <w:r>
        <w:rPr>
          <w:b/>
          <w:bCs/>
        </w:rPr>
        <w:t>S</w:t>
      </w:r>
      <w:r>
        <w:rPr>
          <w:rFonts w:hint="eastAsia"/>
          <w:b/>
          <w:bCs/>
        </w:rPr>
        <w:t>upplementary Fig.9</w:t>
      </w:r>
      <w:r>
        <w:rPr>
          <w:rFonts w:ascii="宋体" w:hAnsi="宋体"/>
          <w:b/>
          <w:bCs/>
        </w:rPr>
        <w:t>｜</w:t>
      </w:r>
      <w:r>
        <w:rPr>
          <w:rFonts w:hint="eastAsia"/>
        </w:rPr>
        <w:t>The AFM images of (EATMP)PbBr</w:t>
      </w:r>
      <w:r>
        <w:rPr>
          <w:rFonts w:hint="eastAsia"/>
          <w:vertAlign w:val="subscript"/>
        </w:rPr>
        <w:t>4</w:t>
      </w:r>
      <w:r>
        <w:rPr>
          <w:rFonts w:hint="eastAsia"/>
        </w:rPr>
        <w:t xml:space="preserve"> under a scale range of a) 10 </w:t>
      </w:r>
      <w:r>
        <w:rPr>
          <w:rFonts w:cs="Times New Roman"/>
        </w:rPr>
        <w:t>μ</w:t>
      </w:r>
      <w:r>
        <w:rPr>
          <w:rFonts w:cs="Times New Roman" w:hint="eastAsia"/>
        </w:rPr>
        <w:t xml:space="preserve">m and b) 1 </w:t>
      </w:r>
      <w:r>
        <w:rPr>
          <w:rFonts w:cs="Times New Roman"/>
        </w:rPr>
        <w:t>μ</w:t>
      </w:r>
      <w:r>
        <w:rPr>
          <w:rFonts w:cs="Times New Roman" w:hint="eastAsia"/>
        </w:rPr>
        <w:t xml:space="preserve">m </w:t>
      </w:r>
      <w:r>
        <w:t>indicate</w:t>
      </w:r>
      <w:r>
        <w:rPr>
          <w:rFonts w:hint="eastAsia"/>
        </w:rPr>
        <w:t xml:space="preserve"> a small roughness of the deposited ferroelectric films.</w:t>
      </w:r>
    </w:p>
    <w:p w14:paraId="7A8A8A16" w14:textId="77777777" w:rsidR="003717D8" w:rsidRDefault="003717D8"/>
    <w:p w14:paraId="2FE06C9F" w14:textId="77777777" w:rsidR="003717D8" w:rsidRDefault="003717D8"/>
    <w:p w14:paraId="4FB3E8B3" w14:textId="77777777" w:rsidR="003717D8" w:rsidRDefault="003717D8"/>
    <w:p w14:paraId="43F30C2B" w14:textId="77777777" w:rsidR="003717D8" w:rsidRDefault="003717D8"/>
    <w:p w14:paraId="5E26B219" w14:textId="77777777" w:rsidR="003717D8" w:rsidRDefault="00000000">
      <w:pPr>
        <w:widowControl/>
        <w:spacing w:line="240" w:lineRule="auto"/>
        <w:jc w:val="left"/>
      </w:pPr>
      <w:r>
        <w:br w:type="page"/>
      </w:r>
    </w:p>
    <w:p w14:paraId="0D8B592E" w14:textId="77777777" w:rsidR="003717D8" w:rsidRDefault="00000000">
      <w:pPr>
        <w:jc w:val="center"/>
      </w:pPr>
      <w:r>
        <w:rPr>
          <w:rFonts w:hint="eastAsia"/>
          <w:noProof/>
        </w:rPr>
        <w:lastRenderedPageBreak/>
        <w:drawing>
          <wp:inline distT="0" distB="0" distL="114300" distR="114300" wp14:anchorId="4DAEAF3C" wp14:editId="41856C36">
            <wp:extent cx="6227445" cy="1799590"/>
            <wp:effectExtent l="0" t="0" r="1905" b="0"/>
            <wp:docPr id="5" name="图片 5" descr="Figure 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S8"/>
                    <pic:cNvPicPr>
                      <a:picLocks noChangeAspect="1"/>
                    </pic:cNvPicPr>
                  </pic:nvPicPr>
                  <pic:blipFill>
                    <a:blip r:embed="rId18"/>
                    <a:srcRect t="7047" r="1602"/>
                    <a:stretch>
                      <a:fillRect/>
                    </a:stretch>
                  </pic:blipFill>
                  <pic:spPr>
                    <a:xfrm>
                      <a:off x="0" y="0"/>
                      <a:ext cx="6228000" cy="1800000"/>
                    </a:xfrm>
                    <a:prstGeom prst="rect">
                      <a:avLst/>
                    </a:prstGeom>
                    <a:ln>
                      <a:noFill/>
                    </a:ln>
                  </pic:spPr>
                </pic:pic>
              </a:graphicData>
            </a:graphic>
          </wp:inline>
        </w:drawing>
      </w:r>
    </w:p>
    <w:p w14:paraId="35E8E2FF" w14:textId="77777777" w:rsidR="003717D8" w:rsidRDefault="00000000">
      <w:pPr>
        <w:rPr>
          <w:rFonts w:eastAsia="宋体" w:cs="Times New Roman"/>
          <w:kern w:val="0"/>
          <w:szCs w:val="24"/>
        </w:rPr>
        <w:sectPr w:rsidR="003717D8">
          <w:pgSz w:w="11906" w:h="16838"/>
          <w:pgMar w:top="1440" w:right="1080" w:bottom="1440" w:left="1080" w:header="851" w:footer="992" w:gutter="0"/>
          <w:cols w:space="425"/>
          <w:docGrid w:type="lines" w:linePitch="312"/>
        </w:sectPr>
      </w:pPr>
      <w:r>
        <w:rPr>
          <w:b/>
          <w:bCs/>
        </w:rPr>
        <w:t>S</w:t>
      </w:r>
      <w:r>
        <w:rPr>
          <w:rFonts w:hint="eastAsia"/>
          <w:b/>
          <w:bCs/>
        </w:rPr>
        <w:t>upplementary Fig.10</w:t>
      </w:r>
      <w:r>
        <w:rPr>
          <w:rFonts w:ascii="宋体" w:hAnsi="宋体"/>
          <w:b/>
          <w:bCs/>
        </w:rPr>
        <w:t>｜</w:t>
      </w:r>
      <w:r>
        <w:rPr>
          <w:rFonts w:hint="eastAsia"/>
        </w:rPr>
        <w:t>The AFM images of the N-type MoS</w:t>
      </w:r>
      <w:r>
        <w:rPr>
          <w:rFonts w:hint="eastAsia"/>
          <w:vertAlign w:val="subscript"/>
        </w:rPr>
        <w:t>2</w:t>
      </w:r>
      <w:r>
        <w:rPr>
          <w:rFonts w:hint="eastAsia"/>
        </w:rPr>
        <w:t>, bipolar WSe</w:t>
      </w:r>
      <w:r>
        <w:rPr>
          <w:rFonts w:hint="eastAsia"/>
          <w:vertAlign w:val="subscript"/>
        </w:rPr>
        <w:t>2</w:t>
      </w:r>
      <w:r>
        <w:rPr>
          <w:vertAlign w:val="subscript"/>
        </w:rPr>
        <w:t>,</w:t>
      </w:r>
      <w:r>
        <w:rPr>
          <w:rFonts w:hint="eastAsia"/>
        </w:rPr>
        <w:t xml:space="preserve"> and P-type BP 2DFHTs </w:t>
      </w:r>
      <w:r>
        <w:t>indicate</w:t>
      </w:r>
      <w:r>
        <w:rPr>
          <w:rFonts w:hint="eastAsia"/>
        </w:rPr>
        <w:t xml:space="preserve"> that </w:t>
      </w:r>
      <w:r>
        <w:t xml:space="preserve">the </w:t>
      </w:r>
      <w:r>
        <w:rPr>
          <w:rFonts w:hint="eastAsia"/>
        </w:rPr>
        <w:t xml:space="preserve">thickness of </w:t>
      </w:r>
      <w:r>
        <w:rPr>
          <w:color w:val="000000"/>
          <w:szCs w:val="24"/>
        </w:rPr>
        <w:t>MoS</w:t>
      </w:r>
      <w:r>
        <w:rPr>
          <w:color w:val="000000"/>
          <w:szCs w:val="24"/>
          <w:vertAlign w:val="subscript"/>
        </w:rPr>
        <w:t>2</w:t>
      </w:r>
      <w:r>
        <w:rPr>
          <w:color w:val="000000"/>
          <w:szCs w:val="24"/>
        </w:rPr>
        <w:t>, WSe</w:t>
      </w:r>
      <w:r>
        <w:rPr>
          <w:color w:val="000000"/>
          <w:szCs w:val="24"/>
          <w:vertAlign w:val="subscript"/>
        </w:rPr>
        <w:t>2,</w:t>
      </w:r>
      <w:r>
        <w:rPr>
          <w:color w:val="000000"/>
          <w:szCs w:val="24"/>
        </w:rPr>
        <w:t xml:space="preserve"> and BP is 5, 8, and 17 nm, respectively</w:t>
      </w:r>
      <w:r>
        <w:rPr>
          <w:rFonts w:hint="eastAsia"/>
        </w:rPr>
        <w:t>.</w:t>
      </w:r>
    </w:p>
    <w:p w14:paraId="42592DB3" w14:textId="77777777" w:rsidR="003717D8" w:rsidRDefault="00000000">
      <w:pPr>
        <w:jc w:val="center"/>
      </w:pPr>
      <w:r>
        <w:rPr>
          <w:noProof/>
        </w:rPr>
        <w:lastRenderedPageBreak/>
        <w:drawing>
          <wp:inline distT="0" distB="0" distL="0" distR="0" wp14:anchorId="36951E2C" wp14:editId="11B34D90">
            <wp:extent cx="6202680" cy="1799590"/>
            <wp:effectExtent l="0" t="0" r="7620" b="0"/>
            <wp:docPr id="15074563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56374" name="图片 9"/>
                    <pic:cNvPicPr>
                      <a:picLocks noChangeAspect="1" noChangeArrowheads="1"/>
                    </pic:cNvPicPr>
                  </pic:nvPicPr>
                  <pic:blipFill>
                    <a:blip r:embed="rId19" cstate="print">
                      <a:extLst>
                        <a:ext uri="{28A0092B-C50C-407E-A947-70E740481C1C}">
                          <a14:useLocalDpi xmlns:a14="http://schemas.microsoft.com/office/drawing/2010/main" val="0"/>
                        </a:ext>
                      </a:extLst>
                    </a:blip>
                    <a:srcRect l="4310" t="8627" r="4371"/>
                    <a:stretch>
                      <a:fillRect/>
                    </a:stretch>
                  </pic:blipFill>
                  <pic:spPr>
                    <a:xfrm>
                      <a:off x="0" y="0"/>
                      <a:ext cx="6202800" cy="1800000"/>
                    </a:xfrm>
                    <a:prstGeom prst="rect">
                      <a:avLst/>
                    </a:prstGeom>
                    <a:noFill/>
                    <a:ln>
                      <a:noFill/>
                    </a:ln>
                  </pic:spPr>
                </pic:pic>
              </a:graphicData>
            </a:graphic>
          </wp:inline>
        </w:drawing>
      </w:r>
    </w:p>
    <w:p w14:paraId="723AF66E" w14:textId="77777777" w:rsidR="003717D8" w:rsidRDefault="00000000">
      <w:pPr>
        <w:rPr>
          <w:rFonts w:eastAsia="宋体" w:cs="Times New Roman"/>
          <w:kern w:val="0"/>
          <w:szCs w:val="24"/>
        </w:rPr>
      </w:pPr>
      <w:r>
        <w:rPr>
          <w:b/>
          <w:bCs/>
        </w:rPr>
        <w:t>S</w:t>
      </w:r>
      <w:r>
        <w:rPr>
          <w:rFonts w:hint="eastAsia"/>
          <w:b/>
          <w:bCs/>
        </w:rPr>
        <w:t>upplementary Fig.11</w:t>
      </w:r>
      <w:r>
        <w:rPr>
          <w:rFonts w:ascii="宋体" w:hAnsi="宋体"/>
          <w:b/>
          <w:bCs/>
        </w:rPr>
        <w:t>｜</w:t>
      </w:r>
      <w:r>
        <w:rPr>
          <w:rFonts w:hint="eastAsia"/>
        </w:rPr>
        <w:t>The R</w:t>
      </w:r>
      <w:r>
        <w:rPr>
          <w:color w:val="000000"/>
          <w:szCs w:val="24"/>
        </w:rPr>
        <w:t xml:space="preserve">aman spectroscopy of </w:t>
      </w:r>
      <w:r>
        <w:rPr>
          <w:rFonts w:hint="eastAsia"/>
          <w:color w:val="000000"/>
          <w:szCs w:val="24"/>
        </w:rPr>
        <w:t xml:space="preserve">a) </w:t>
      </w:r>
      <w:r>
        <w:rPr>
          <w:rFonts w:hint="eastAsia"/>
        </w:rPr>
        <w:t>MoS</w:t>
      </w:r>
      <w:r>
        <w:rPr>
          <w:rFonts w:hint="eastAsia"/>
          <w:vertAlign w:val="subscript"/>
        </w:rPr>
        <w:t xml:space="preserve">2 </w:t>
      </w:r>
      <w:r>
        <w:rPr>
          <w:rFonts w:hint="eastAsia"/>
        </w:rPr>
        <w:t>and ferroelectric PVK/MoS</w:t>
      </w:r>
      <w:r>
        <w:rPr>
          <w:rFonts w:hint="eastAsia"/>
          <w:vertAlign w:val="subscript"/>
        </w:rPr>
        <w:t>2</w:t>
      </w:r>
      <w:r>
        <w:rPr>
          <w:rFonts w:hint="eastAsia"/>
        </w:rPr>
        <w:t xml:space="preserve"> heterojunction, b) WSe</w:t>
      </w:r>
      <w:r>
        <w:rPr>
          <w:rFonts w:hint="eastAsia"/>
          <w:vertAlign w:val="subscript"/>
        </w:rPr>
        <w:t xml:space="preserve">2 </w:t>
      </w:r>
      <w:r>
        <w:rPr>
          <w:rFonts w:hint="eastAsia"/>
        </w:rPr>
        <w:t>and ferroelectric PVK/WSe</w:t>
      </w:r>
      <w:r>
        <w:rPr>
          <w:rFonts w:hint="eastAsia"/>
          <w:vertAlign w:val="subscript"/>
        </w:rPr>
        <w:t>2</w:t>
      </w:r>
      <w:r>
        <w:rPr>
          <w:rFonts w:hint="eastAsia"/>
        </w:rPr>
        <w:t xml:space="preserve"> heterojunction, c) BP and ferroelectric PVK/BP heterojunction, respectively. The consistent peaks of semiconductor films and heterojunction films indicate that ferroelectric films do not affect the properties of semiconductor films.</w:t>
      </w:r>
    </w:p>
    <w:p w14:paraId="5B0CC1F6" w14:textId="77777777" w:rsidR="003717D8" w:rsidRDefault="003717D8"/>
    <w:p w14:paraId="1379D8B4" w14:textId="77777777" w:rsidR="003717D8" w:rsidRDefault="003717D8"/>
    <w:p w14:paraId="447B3F2B" w14:textId="77777777" w:rsidR="003717D8" w:rsidRDefault="003717D8"/>
    <w:p w14:paraId="47331CED" w14:textId="77777777" w:rsidR="003717D8" w:rsidRDefault="003717D8"/>
    <w:p w14:paraId="0EE994CE" w14:textId="77777777" w:rsidR="003717D8" w:rsidRDefault="003717D8"/>
    <w:p w14:paraId="31FE5B1C" w14:textId="77777777" w:rsidR="003717D8" w:rsidRDefault="003717D8"/>
    <w:p w14:paraId="05FA0476" w14:textId="77777777" w:rsidR="003717D8" w:rsidRDefault="00000000">
      <w:pPr>
        <w:widowControl/>
        <w:spacing w:line="240" w:lineRule="auto"/>
        <w:jc w:val="left"/>
      </w:pPr>
      <w:r>
        <w:br w:type="page"/>
      </w:r>
    </w:p>
    <w:p w14:paraId="6389DAB0" w14:textId="77777777" w:rsidR="003717D8" w:rsidRDefault="00000000">
      <w:r>
        <w:rPr>
          <w:noProof/>
        </w:rPr>
        <w:lastRenderedPageBreak/>
        <w:drawing>
          <wp:inline distT="0" distB="0" distL="0" distR="0" wp14:anchorId="26B33D0B" wp14:editId="45399D85">
            <wp:extent cx="6249035" cy="1799590"/>
            <wp:effectExtent l="0" t="0" r="0" b="0"/>
            <wp:docPr id="16575905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90596" name="图片 10"/>
                    <pic:cNvPicPr>
                      <a:picLocks noChangeAspect="1" noChangeArrowheads="1"/>
                    </pic:cNvPicPr>
                  </pic:nvPicPr>
                  <pic:blipFill>
                    <a:blip r:embed="rId20" cstate="print">
                      <a:extLst>
                        <a:ext uri="{28A0092B-C50C-407E-A947-70E740481C1C}">
                          <a14:useLocalDpi xmlns:a14="http://schemas.microsoft.com/office/drawing/2010/main" val="0"/>
                        </a:ext>
                      </a:extLst>
                    </a:blip>
                    <a:srcRect l="3079" t="9137" r="3344"/>
                    <a:stretch>
                      <a:fillRect/>
                    </a:stretch>
                  </pic:blipFill>
                  <pic:spPr>
                    <a:xfrm>
                      <a:off x="0" y="0"/>
                      <a:ext cx="6249600" cy="1800000"/>
                    </a:xfrm>
                    <a:prstGeom prst="rect">
                      <a:avLst/>
                    </a:prstGeom>
                    <a:noFill/>
                    <a:ln>
                      <a:noFill/>
                    </a:ln>
                  </pic:spPr>
                </pic:pic>
              </a:graphicData>
            </a:graphic>
          </wp:inline>
        </w:drawing>
      </w:r>
    </w:p>
    <w:p w14:paraId="3A977824" w14:textId="77777777" w:rsidR="003717D8" w:rsidRDefault="00000000">
      <w:pPr>
        <w:rPr>
          <w:rFonts w:eastAsia="宋体" w:cs="Times New Roman"/>
          <w:kern w:val="0"/>
          <w:szCs w:val="24"/>
        </w:rPr>
      </w:pPr>
      <w:r>
        <w:rPr>
          <w:b/>
          <w:bCs/>
        </w:rPr>
        <w:t>S</w:t>
      </w:r>
      <w:r>
        <w:rPr>
          <w:rFonts w:hint="eastAsia"/>
          <w:b/>
          <w:bCs/>
        </w:rPr>
        <w:t>upplementary Fig.12</w:t>
      </w:r>
      <w:r>
        <w:rPr>
          <w:rFonts w:ascii="宋体" w:hAnsi="宋体"/>
          <w:b/>
          <w:bCs/>
        </w:rPr>
        <w:t>｜</w:t>
      </w:r>
      <w:r>
        <w:t>The</w:t>
      </w:r>
      <w:r>
        <w:rPr>
          <w:rFonts w:hint="eastAsia"/>
        </w:rPr>
        <w:t xml:space="preserve"> double sweep transfer curves of six random devices from </w:t>
      </w:r>
      <w:r>
        <w:rPr>
          <w:rFonts w:hint="eastAsia"/>
          <w:color w:val="000000"/>
          <w:szCs w:val="24"/>
        </w:rPr>
        <w:t xml:space="preserve">a) </w:t>
      </w:r>
      <w:r>
        <w:rPr>
          <w:rFonts w:hint="eastAsia"/>
        </w:rPr>
        <w:t>MoS</w:t>
      </w:r>
      <w:r>
        <w:rPr>
          <w:rFonts w:hint="eastAsia"/>
          <w:vertAlign w:val="subscript"/>
        </w:rPr>
        <w:t xml:space="preserve">2 </w:t>
      </w:r>
      <w:r>
        <w:rPr>
          <w:rFonts w:hint="eastAsia"/>
        </w:rPr>
        <w:t>2DFHTs, b) WSe</w:t>
      </w:r>
      <w:r>
        <w:rPr>
          <w:rFonts w:hint="eastAsia"/>
          <w:vertAlign w:val="subscript"/>
        </w:rPr>
        <w:t xml:space="preserve">2 </w:t>
      </w:r>
      <w:r>
        <w:rPr>
          <w:rFonts w:hint="eastAsia"/>
        </w:rPr>
        <w:t xml:space="preserve">2DFHTs, </w:t>
      </w:r>
      <w:r>
        <w:t xml:space="preserve">and </w:t>
      </w:r>
      <w:r>
        <w:rPr>
          <w:rFonts w:hint="eastAsia"/>
        </w:rPr>
        <w:t>c) BP 2DFHTs, respectively. All six devices exhibit the same hysteresis direction, illustrating the reproducibility of polarity-dependent macroscopic ferroelectric modulation.</w:t>
      </w:r>
    </w:p>
    <w:p w14:paraId="5FE8CDA0" w14:textId="77777777" w:rsidR="003717D8" w:rsidRDefault="003717D8">
      <w:pPr>
        <w:sectPr w:rsidR="003717D8">
          <w:pgSz w:w="11906" w:h="16838"/>
          <w:pgMar w:top="1440" w:right="1080" w:bottom="1440" w:left="1080" w:header="851" w:footer="992" w:gutter="0"/>
          <w:cols w:space="425"/>
          <w:docGrid w:type="lines" w:linePitch="312"/>
        </w:sectPr>
      </w:pPr>
    </w:p>
    <w:p w14:paraId="01255715" w14:textId="77777777" w:rsidR="003717D8" w:rsidRDefault="00000000">
      <w:pPr>
        <w:jc w:val="center"/>
      </w:pPr>
      <w:r>
        <w:rPr>
          <w:rFonts w:hint="eastAsia"/>
          <w:noProof/>
        </w:rPr>
        <w:lastRenderedPageBreak/>
        <w:drawing>
          <wp:inline distT="0" distB="0" distL="114300" distR="114300" wp14:anchorId="4E5CDEF1" wp14:editId="5BE1A568">
            <wp:extent cx="5760085" cy="3267710"/>
            <wp:effectExtent l="0" t="0" r="12065" b="8890"/>
            <wp:docPr id="3" name="图片 3" descr="Figure S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S14-1"/>
                    <pic:cNvPicPr>
                      <a:picLocks noChangeAspect="1"/>
                    </pic:cNvPicPr>
                  </pic:nvPicPr>
                  <pic:blipFill>
                    <a:blip r:embed="rId21"/>
                    <a:srcRect l="3061" t="3201" r="3770" b="1042"/>
                    <a:stretch>
                      <a:fillRect/>
                    </a:stretch>
                  </pic:blipFill>
                  <pic:spPr>
                    <a:xfrm>
                      <a:off x="0" y="0"/>
                      <a:ext cx="5760085" cy="3267710"/>
                    </a:xfrm>
                    <a:prstGeom prst="rect">
                      <a:avLst/>
                    </a:prstGeom>
                  </pic:spPr>
                </pic:pic>
              </a:graphicData>
            </a:graphic>
          </wp:inline>
        </w:drawing>
      </w:r>
    </w:p>
    <w:p w14:paraId="108A7FF2" w14:textId="77777777" w:rsidR="003717D8" w:rsidRDefault="00000000">
      <w:r>
        <w:rPr>
          <w:b/>
          <w:bCs/>
        </w:rPr>
        <w:t>S</w:t>
      </w:r>
      <w:r>
        <w:rPr>
          <w:rFonts w:hint="eastAsia"/>
          <w:b/>
          <w:bCs/>
        </w:rPr>
        <w:t>upplementary Fig.13</w:t>
      </w:r>
      <w:r>
        <w:rPr>
          <w:rFonts w:ascii="宋体" w:hAnsi="宋体"/>
          <w:b/>
          <w:bCs/>
        </w:rPr>
        <w:t>｜</w:t>
      </w:r>
      <w:r>
        <w:rPr>
          <w:rFonts w:hint="eastAsia"/>
        </w:rPr>
        <w:t>a-c) The double sweep transfer curves of MoS</w:t>
      </w:r>
      <w:r>
        <w:rPr>
          <w:rFonts w:hint="eastAsia"/>
          <w:vertAlign w:val="subscript"/>
        </w:rPr>
        <w:t xml:space="preserve">2, </w:t>
      </w:r>
      <w:r>
        <w:rPr>
          <w:rFonts w:hint="eastAsia"/>
        </w:rPr>
        <w:t>WSe</w:t>
      </w:r>
      <w:r>
        <w:rPr>
          <w:rFonts w:hint="eastAsia"/>
          <w:vertAlign w:val="subscript"/>
        </w:rPr>
        <w:t>2</w:t>
      </w:r>
      <w:r>
        <w:rPr>
          <w:rFonts w:hint="eastAsia"/>
        </w:rPr>
        <w:t xml:space="preserve"> and BP</w:t>
      </w:r>
      <w:r>
        <w:rPr>
          <w:rFonts w:hint="eastAsia"/>
          <w:vertAlign w:val="subscript"/>
        </w:rPr>
        <w:t xml:space="preserve"> </w:t>
      </w:r>
      <w:r>
        <w:rPr>
          <w:rFonts w:hint="eastAsia"/>
        </w:rPr>
        <w:t>2DFHT as a function sweeping ratio. d-f</w:t>
      </w:r>
      <w:r>
        <w:rPr>
          <w:rFonts w:hint="eastAsia"/>
          <w:color w:val="000000"/>
          <w:szCs w:val="24"/>
        </w:rPr>
        <w:t xml:space="preserve">) The extracted threshold voltages under different gate voltage sweep </w:t>
      </w:r>
      <w:r>
        <w:rPr>
          <w:color w:val="000000"/>
          <w:szCs w:val="24"/>
        </w:rPr>
        <w:t>ratios</w:t>
      </w:r>
      <w:r>
        <w:rPr>
          <w:rFonts w:hint="eastAsia"/>
          <w:color w:val="000000"/>
          <w:szCs w:val="24"/>
        </w:rPr>
        <w:t xml:space="preserve"> of </w:t>
      </w:r>
      <w:r>
        <w:rPr>
          <w:rFonts w:hint="eastAsia"/>
        </w:rPr>
        <w:t>MoS</w:t>
      </w:r>
      <w:r>
        <w:rPr>
          <w:rFonts w:hint="eastAsia"/>
          <w:vertAlign w:val="subscript"/>
        </w:rPr>
        <w:t xml:space="preserve">2, </w:t>
      </w:r>
      <w:r>
        <w:rPr>
          <w:rFonts w:hint="eastAsia"/>
        </w:rPr>
        <w:t>WSe2 and BP</w:t>
      </w:r>
      <w:r>
        <w:rPr>
          <w:rFonts w:hint="eastAsia"/>
          <w:vertAlign w:val="subscript"/>
        </w:rPr>
        <w:t xml:space="preserve"> </w:t>
      </w:r>
      <w:r>
        <w:rPr>
          <w:rFonts w:hint="eastAsia"/>
        </w:rPr>
        <w:t>2DFHT.</w:t>
      </w:r>
    </w:p>
    <w:p w14:paraId="2C5B2D0D" w14:textId="77777777" w:rsidR="003717D8" w:rsidRDefault="00000000">
      <w:pPr>
        <w:ind w:firstLine="466"/>
      </w:pPr>
      <w:r>
        <w:rPr>
          <w:rFonts w:hint="eastAsia"/>
        </w:rPr>
        <w:t xml:space="preserve">As shown in </w:t>
      </w:r>
      <w:r>
        <w:t xml:space="preserve">Supplementary </w:t>
      </w:r>
      <w:r>
        <w:rPr>
          <w:rFonts w:hint="eastAsia"/>
        </w:rPr>
        <w:t>Fig.13, the hysteresis windows of MoS</w:t>
      </w:r>
      <w:r>
        <w:rPr>
          <w:rFonts w:hint="eastAsia"/>
          <w:vertAlign w:val="subscript"/>
        </w:rPr>
        <w:t xml:space="preserve">2 </w:t>
      </w:r>
      <w:r>
        <w:rPr>
          <w:rFonts w:hint="eastAsia"/>
        </w:rPr>
        <w:t xml:space="preserve">2DFHT </w:t>
      </w:r>
      <w:r>
        <w:t>increase</w:t>
      </w:r>
      <w:r>
        <w:rPr>
          <w:rFonts w:hint="eastAsia"/>
        </w:rPr>
        <w:t xml:space="preserve"> with the decrease of gate sweeping speed, which suggests the charge-trapping dominated modulation mechanism in the n-type MoS</w:t>
      </w:r>
      <w:r>
        <w:rPr>
          <w:rFonts w:hint="eastAsia"/>
          <w:vertAlign w:val="subscript"/>
        </w:rPr>
        <w:t xml:space="preserve">2 </w:t>
      </w:r>
      <w:r>
        <w:rPr>
          <w:rFonts w:hint="eastAsia"/>
        </w:rPr>
        <w:t>2DFHT. While, the hysteresis window of the p-region WSe</w:t>
      </w:r>
      <w:r>
        <w:rPr>
          <w:rFonts w:hint="eastAsia"/>
          <w:vertAlign w:val="subscript"/>
        </w:rPr>
        <w:t>2</w:t>
      </w:r>
      <w:r>
        <w:rPr>
          <w:rFonts w:hint="eastAsia"/>
        </w:rPr>
        <w:t xml:space="preserve"> and p-type BP 2DFHT </w:t>
      </w:r>
      <w:r>
        <w:t>is</w:t>
      </w:r>
      <w:r>
        <w:rPr>
          <w:rFonts w:hint="eastAsia"/>
        </w:rPr>
        <w:t xml:space="preserve"> independent </w:t>
      </w:r>
      <w:r>
        <w:t>of</w:t>
      </w:r>
      <w:r>
        <w:rPr>
          <w:rFonts w:hint="eastAsia"/>
        </w:rPr>
        <w:t xml:space="preserve"> the sweeping speed of gate voltages, which is consistent with the ferroelectric polarization mechanism.</w:t>
      </w:r>
    </w:p>
    <w:p w14:paraId="40DC0B4D" w14:textId="77777777" w:rsidR="003717D8" w:rsidRDefault="00000000">
      <w:pPr>
        <w:sectPr w:rsidR="003717D8">
          <w:pgSz w:w="11906" w:h="16838"/>
          <w:pgMar w:top="1440" w:right="1080" w:bottom="1440" w:left="1080" w:header="851" w:footer="992" w:gutter="0"/>
          <w:cols w:space="425"/>
          <w:docGrid w:type="lines" w:linePitch="312"/>
        </w:sectPr>
      </w:pPr>
      <w:r>
        <w:rPr>
          <w:rFonts w:hint="eastAsia"/>
        </w:rPr>
        <w:t xml:space="preserve">  </w:t>
      </w:r>
    </w:p>
    <w:p w14:paraId="54AA5450" w14:textId="77777777" w:rsidR="003717D8" w:rsidRDefault="00000000">
      <w:pPr>
        <w:jc w:val="center"/>
      </w:pPr>
      <w:r>
        <w:rPr>
          <w:noProof/>
        </w:rPr>
        <w:lastRenderedPageBreak/>
        <w:drawing>
          <wp:inline distT="0" distB="0" distL="0" distR="0" wp14:anchorId="7A936929" wp14:editId="043636B2">
            <wp:extent cx="6238240" cy="1799590"/>
            <wp:effectExtent l="0" t="0" r="0" b="0"/>
            <wp:docPr id="8279762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976285" name="图片 12"/>
                    <pic:cNvPicPr>
                      <a:picLocks noChangeAspect="1" noChangeArrowheads="1"/>
                    </pic:cNvPicPr>
                  </pic:nvPicPr>
                  <pic:blipFill>
                    <a:blip r:embed="rId22" cstate="print">
                      <a:extLst>
                        <a:ext uri="{28A0092B-C50C-407E-A947-70E740481C1C}">
                          <a14:useLocalDpi xmlns:a14="http://schemas.microsoft.com/office/drawing/2010/main" val="0"/>
                        </a:ext>
                      </a:extLst>
                    </a:blip>
                    <a:srcRect l="2360" t="7966" r="3140"/>
                    <a:stretch>
                      <a:fillRect/>
                    </a:stretch>
                  </pic:blipFill>
                  <pic:spPr>
                    <a:xfrm>
                      <a:off x="0" y="0"/>
                      <a:ext cx="6238800" cy="1800000"/>
                    </a:xfrm>
                    <a:prstGeom prst="rect">
                      <a:avLst/>
                    </a:prstGeom>
                    <a:noFill/>
                    <a:ln>
                      <a:noFill/>
                    </a:ln>
                  </pic:spPr>
                </pic:pic>
              </a:graphicData>
            </a:graphic>
          </wp:inline>
        </w:drawing>
      </w:r>
    </w:p>
    <w:p w14:paraId="25716039" w14:textId="77777777" w:rsidR="003717D8" w:rsidRDefault="00000000">
      <w:pPr>
        <w:rPr>
          <w:rFonts w:eastAsia="宋体" w:cs="Times New Roman"/>
          <w:kern w:val="0"/>
          <w:szCs w:val="24"/>
        </w:rPr>
      </w:pPr>
      <w:r>
        <w:rPr>
          <w:b/>
          <w:bCs/>
        </w:rPr>
        <w:t>S</w:t>
      </w:r>
      <w:r>
        <w:rPr>
          <w:rFonts w:hint="eastAsia"/>
          <w:b/>
          <w:bCs/>
        </w:rPr>
        <w:t>upplementary Fig.14</w:t>
      </w:r>
      <w:r>
        <w:rPr>
          <w:rFonts w:ascii="宋体" w:hAnsi="宋体"/>
          <w:b/>
          <w:bCs/>
        </w:rPr>
        <w:t>｜</w:t>
      </w:r>
      <w:r>
        <w:rPr>
          <w:rFonts w:hint="eastAsia"/>
        </w:rPr>
        <w:t>a) The double sweep transfer curves of a) MoS</w:t>
      </w:r>
      <w:r>
        <w:rPr>
          <w:rFonts w:hint="eastAsia"/>
          <w:vertAlign w:val="subscript"/>
        </w:rPr>
        <w:t xml:space="preserve">2 </w:t>
      </w:r>
      <w:r>
        <w:rPr>
          <w:rFonts w:hint="eastAsia"/>
        </w:rPr>
        <w:t>2DFHT, b) WSe</w:t>
      </w:r>
      <w:r>
        <w:rPr>
          <w:rFonts w:hint="eastAsia"/>
          <w:vertAlign w:val="subscript"/>
        </w:rPr>
        <w:t>2</w:t>
      </w:r>
      <w:r>
        <w:rPr>
          <w:rFonts w:hint="eastAsia"/>
        </w:rPr>
        <w:t xml:space="preserve"> 2DFHT</w:t>
      </w:r>
      <w:r>
        <w:t>,</w:t>
      </w:r>
      <w:r>
        <w:rPr>
          <w:rFonts w:hint="eastAsia"/>
        </w:rPr>
        <w:t xml:space="preserve"> and c) BP</w:t>
      </w:r>
      <w:r>
        <w:rPr>
          <w:rFonts w:hint="eastAsia"/>
          <w:vertAlign w:val="subscript"/>
        </w:rPr>
        <w:t xml:space="preserve"> </w:t>
      </w:r>
      <w:r>
        <w:rPr>
          <w:rFonts w:hint="eastAsia"/>
        </w:rPr>
        <w:t xml:space="preserve">2DFHT as a function of sweeping times. </w:t>
      </w:r>
    </w:p>
    <w:p w14:paraId="09853869" w14:textId="77777777" w:rsidR="003717D8" w:rsidRDefault="00000000">
      <w:pPr>
        <w:ind w:firstLineChars="200" w:firstLine="480"/>
      </w:pPr>
      <w:r>
        <w:t>S</w:t>
      </w:r>
      <w:r>
        <w:rPr>
          <w:rFonts w:hint="eastAsia"/>
        </w:rPr>
        <w:t>upplementary</w:t>
      </w:r>
      <w:r>
        <w:rPr>
          <w:rFonts w:hint="eastAsia"/>
          <w:b/>
          <w:bCs/>
        </w:rPr>
        <w:t xml:space="preserve"> </w:t>
      </w:r>
      <w:r>
        <w:rPr>
          <w:rFonts w:hint="eastAsia"/>
        </w:rPr>
        <w:t>Fig.14a illustrates the transfer curves of the MoS</w:t>
      </w:r>
      <w:r>
        <w:rPr>
          <w:rFonts w:hint="eastAsia"/>
          <w:vertAlign w:val="subscript"/>
        </w:rPr>
        <w:t>2</w:t>
      </w:r>
      <w:r>
        <w:rPr>
          <w:rFonts w:hint="eastAsia"/>
        </w:rPr>
        <w:t xml:space="preserve"> 2DFHT, where an increase in sweeping times leads to a gradual decrease in channel current, attributed to electron trapping in the ferroelectric layer. In contrast, the channel current of BP 2DFHT increases with the increase of sweeping times, due to the trapped electrons (</w:t>
      </w:r>
      <w:r>
        <w:t xml:space="preserve">Supplementary </w:t>
      </w:r>
      <w:r>
        <w:rPr>
          <w:rFonts w:hint="eastAsia"/>
        </w:rPr>
        <w:t>Fig.14c). Notably, the channel current in the n-region of the WSe</w:t>
      </w:r>
      <w:r>
        <w:rPr>
          <w:rFonts w:hint="eastAsia"/>
          <w:vertAlign w:val="subscript"/>
        </w:rPr>
        <w:t>2</w:t>
      </w:r>
      <w:r>
        <w:rPr>
          <w:rFonts w:hint="eastAsia"/>
        </w:rPr>
        <w:t xml:space="preserve"> transistor decreases with the increase of sweeping times, accompanied by an increased current in the p-region (</w:t>
      </w:r>
      <w:r>
        <w:t xml:space="preserve">Supplementary </w:t>
      </w:r>
      <w:r>
        <w:rPr>
          <w:rFonts w:hint="eastAsia"/>
        </w:rPr>
        <w:t>Fig.14b). This can be ascribed to the trapping of electrons in the ferroelectric layer, leading to the decrease of electron currents and the increase of hole currents. Besides, the change of current is a reversible process, which can be restored by applying a gate voltage of 60 V for 100 s, providing further evidence of the FE switch</w:t>
      </w:r>
    </w:p>
    <w:p w14:paraId="56D1D57B" w14:textId="77777777" w:rsidR="003717D8" w:rsidRDefault="003717D8">
      <w:pPr>
        <w:ind w:firstLineChars="200" w:firstLine="480"/>
      </w:pPr>
    </w:p>
    <w:p w14:paraId="4AF7B882" w14:textId="77777777" w:rsidR="003717D8" w:rsidRDefault="003717D8">
      <w:pPr>
        <w:ind w:firstLineChars="200" w:firstLine="480"/>
      </w:pPr>
    </w:p>
    <w:p w14:paraId="1C6E317D" w14:textId="77777777" w:rsidR="003717D8" w:rsidRDefault="003717D8">
      <w:pPr>
        <w:ind w:firstLineChars="200" w:firstLine="480"/>
      </w:pPr>
    </w:p>
    <w:p w14:paraId="4A6D4F38" w14:textId="77777777" w:rsidR="003717D8" w:rsidRDefault="003717D8">
      <w:pPr>
        <w:ind w:firstLineChars="200" w:firstLine="480"/>
      </w:pPr>
    </w:p>
    <w:p w14:paraId="5E84E3C5" w14:textId="77777777" w:rsidR="003717D8" w:rsidRDefault="003717D8">
      <w:pPr>
        <w:ind w:firstLineChars="200" w:firstLine="480"/>
      </w:pPr>
    </w:p>
    <w:p w14:paraId="2B22E0E6" w14:textId="77777777" w:rsidR="003717D8" w:rsidRDefault="003717D8">
      <w:pPr>
        <w:ind w:firstLineChars="200" w:firstLine="480"/>
      </w:pPr>
    </w:p>
    <w:p w14:paraId="741A9358" w14:textId="77777777" w:rsidR="003717D8" w:rsidRDefault="003717D8">
      <w:pPr>
        <w:ind w:firstLineChars="200" w:firstLine="480"/>
      </w:pPr>
    </w:p>
    <w:p w14:paraId="3A939539" w14:textId="77777777" w:rsidR="003717D8" w:rsidRDefault="003717D8">
      <w:pPr>
        <w:ind w:firstLineChars="200" w:firstLine="480"/>
      </w:pPr>
    </w:p>
    <w:p w14:paraId="4AD08818" w14:textId="77777777" w:rsidR="003717D8" w:rsidRDefault="003717D8">
      <w:pPr>
        <w:ind w:firstLineChars="200" w:firstLine="480"/>
      </w:pPr>
    </w:p>
    <w:p w14:paraId="3D01D922" w14:textId="77777777" w:rsidR="003717D8" w:rsidRDefault="003717D8">
      <w:pPr>
        <w:ind w:firstLineChars="200" w:firstLine="480"/>
      </w:pPr>
    </w:p>
    <w:p w14:paraId="0AF3D415" w14:textId="77777777" w:rsidR="003717D8" w:rsidRDefault="00000000">
      <w:r>
        <w:rPr>
          <w:noProof/>
        </w:rPr>
        <w:lastRenderedPageBreak/>
        <w:drawing>
          <wp:inline distT="0" distB="0" distL="0" distR="0" wp14:anchorId="2EDCF440" wp14:editId="6D930DD2">
            <wp:extent cx="6173470" cy="1799590"/>
            <wp:effectExtent l="0" t="0" r="0" b="0"/>
            <wp:docPr id="14808961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96103" name="图片 13"/>
                    <pic:cNvPicPr>
                      <a:picLocks noChangeAspect="1" noChangeArrowheads="1"/>
                    </pic:cNvPicPr>
                  </pic:nvPicPr>
                  <pic:blipFill>
                    <a:blip r:embed="rId23" cstate="print">
                      <a:extLst>
                        <a:ext uri="{28A0092B-C50C-407E-A947-70E740481C1C}">
                          <a14:useLocalDpi xmlns:a14="http://schemas.microsoft.com/office/drawing/2010/main" val="0"/>
                        </a:ext>
                      </a:extLst>
                    </a:blip>
                    <a:srcRect l="924" t="8154" r="3140"/>
                    <a:stretch>
                      <a:fillRect/>
                    </a:stretch>
                  </pic:blipFill>
                  <pic:spPr>
                    <a:xfrm>
                      <a:off x="0" y="0"/>
                      <a:ext cx="6174000" cy="1800000"/>
                    </a:xfrm>
                    <a:prstGeom prst="rect">
                      <a:avLst/>
                    </a:prstGeom>
                    <a:noFill/>
                    <a:ln>
                      <a:noFill/>
                    </a:ln>
                  </pic:spPr>
                </pic:pic>
              </a:graphicData>
            </a:graphic>
          </wp:inline>
        </w:drawing>
      </w:r>
    </w:p>
    <w:p w14:paraId="471BDE3A" w14:textId="77777777" w:rsidR="003717D8" w:rsidRDefault="00000000">
      <w:pPr>
        <w:rPr>
          <w:rFonts w:eastAsia="宋体" w:cs="Times New Roman"/>
          <w:kern w:val="0"/>
          <w:szCs w:val="24"/>
        </w:rPr>
      </w:pPr>
      <w:r>
        <w:rPr>
          <w:b/>
          <w:bCs/>
        </w:rPr>
        <w:t>S</w:t>
      </w:r>
      <w:r>
        <w:rPr>
          <w:rFonts w:hint="eastAsia"/>
          <w:b/>
          <w:bCs/>
        </w:rPr>
        <w:t>upplementary Fig.15</w:t>
      </w:r>
      <w:r>
        <w:rPr>
          <w:rFonts w:ascii="宋体" w:hAnsi="宋体"/>
          <w:b/>
          <w:bCs/>
        </w:rPr>
        <w:t>｜</w:t>
      </w:r>
      <w:r>
        <w:rPr>
          <w:rFonts w:hint="eastAsia"/>
        </w:rPr>
        <w:t>a) The double sweep transfer curves under different gate voltage sweeping ranges of a) MoS</w:t>
      </w:r>
      <w:r>
        <w:rPr>
          <w:rFonts w:hint="eastAsia"/>
          <w:vertAlign w:val="subscript"/>
        </w:rPr>
        <w:t xml:space="preserve">2 </w:t>
      </w:r>
      <w:r>
        <w:rPr>
          <w:rFonts w:hint="eastAsia"/>
        </w:rPr>
        <w:t>transistor without ferroelectric layer. b</w:t>
      </w:r>
      <w:r>
        <w:rPr>
          <w:rFonts w:hint="eastAsia"/>
          <w:color w:val="000000"/>
          <w:szCs w:val="24"/>
        </w:rPr>
        <w:t xml:space="preserve">) </w:t>
      </w:r>
      <w:r>
        <w:rPr>
          <w:rFonts w:hint="eastAsia"/>
        </w:rPr>
        <w:t>WSe</w:t>
      </w:r>
      <w:r>
        <w:rPr>
          <w:rFonts w:hint="eastAsia"/>
          <w:vertAlign w:val="subscript"/>
        </w:rPr>
        <w:t>2</w:t>
      </w:r>
      <w:r>
        <w:rPr>
          <w:rFonts w:hint="eastAsia"/>
        </w:rPr>
        <w:t xml:space="preserve"> transistor without ferroelectric layer. c) BP transistor without ferroelectric layer.</w:t>
      </w:r>
    </w:p>
    <w:p w14:paraId="1329448B" w14:textId="77777777" w:rsidR="003717D8" w:rsidRDefault="00000000">
      <w:r>
        <w:rPr>
          <w:rFonts w:hint="eastAsia"/>
        </w:rPr>
        <w:t xml:space="preserve">    As a comparison, </w:t>
      </w:r>
      <w:r>
        <w:t xml:space="preserve">Supplementary </w:t>
      </w:r>
      <w:r>
        <w:rPr>
          <w:rFonts w:hint="eastAsia"/>
        </w:rPr>
        <w:t xml:space="preserve">Fig.15 illustrates the transfer curves of three corresponding 2D transistors without the </w:t>
      </w:r>
      <w:r>
        <w:t>ETPB</w:t>
      </w:r>
      <w:r>
        <w:rPr>
          <w:rFonts w:hint="eastAsia"/>
        </w:rPr>
        <w:t xml:space="preserve"> ferroelectric layer. As shown in </w:t>
      </w:r>
      <w:r>
        <w:t xml:space="preserve">Supplementary </w:t>
      </w:r>
      <w:r>
        <w:rPr>
          <w:rFonts w:hint="eastAsia"/>
        </w:rPr>
        <w:t>Fig.15, the devices lacking a ferroelectric layer fail to show the phenomenon of ferroelectric polarization, where the hysteresis window reverses as the gate voltage scan range expands. This confirms that the hysteresis and channel current regulatory behavior in 2DFHTs is due to polarization and defect trapping within the ferroelectric layer.</w:t>
      </w:r>
    </w:p>
    <w:p w14:paraId="31374A6F" w14:textId="77777777" w:rsidR="003717D8" w:rsidRDefault="003717D8"/>
    <w:p w14:paraId="312F582C" w14:textId="77777777" w:rsidR="003717D8" w:rsidRDefault="00000000">
      <w:pPr>
        <w:sectPr w:rsidR="003717D8">
          <w:pgSz w:w="11906" w:h="16838"/>
          <w:pgMar w:top="1440" w:right="1080" w:bottom="1440" w:left="1080" w:header="851" w:footer="992" w:gutter="0"/>
          <w:cols w:space="425"/>
          <w:docGrid w:type="lines" w:linePitch="312"/>
        </w:sectPr>
      </w:pPr>
      <w:r>
        <w:rPr>
          <w:rFonts w:hint="eastAsia"/>
        </w:rPr>
        <w:t xml:space="preserve">  </w:t>
      </w:r>
    </w:p>
    <w:p w14:paraId="00564D48" w14:textId="77777777" w:rsidR="003717D8" w:rsidRDefault="00000000">
      <w:pPr>
        <w:jc w:val="center"/>
      </w:pPr>
      <w:r>
        <w:rPr>
          <w:rFonts w:hint="eastAsia"/>
          <w:noProof/>
        </w:rPr>
        <w:lastRenderedPageBreak/>
        <w:drawing>
          <wp:inline distT="0" distB="0" distL="114300" distR="114300" wp14:anchorId="3D861193" wp14:editId="5B5CF79D">
            <wp:extent cx="4517390" cy="1799590"/>
            <wp:effectExtent l="0" t="0" r="0" b="0"/>
            <wp:docPr id="11" name="图片 11" descr="Figure 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 S14"/>
                    <pic:cNvPicPr>
                      <a:picLocks noChangeAspect="1"/>
                    </pic:cNvPicPr>
                  </pic:nvPicPr>
                  <pic:blipFill>
                    <a:blip r:embed="rId24"/>
                    <a:srcRect l="1240" t="6690" r="3917" b="280"/>
                    <a:stretch>
                      <a:fillRect/>
                    </a:stretch>
                  </pic:blipFill>
                  <pic:spPr>
                    <a:xfrm>
                      <a:off x="0" y="0"/>
                      <a:ext cx="4518000" cy="1800000"/>
                    </a:xfrm>
                    <a:prstGeom prst="rect">
                      <a:avLst/>
                    </a:prstGeom>
                  </pic:spPr>
                </pic:pic>
              </a:graphicData>
            </a:graphic>
          </wp:inline>
        </w:drawing>
      </w:r>
    </w:p>
    <w:p w14:paraId="09DF669A" w14:textId="77777777" w:rsidR="003717D8" w:rsidRDefault="00000000">
      <w:pPr>
        <w:rPr>
          <w:rFonts w:eastAsia="宋体" w:cs="Times New Roman"/>
          <w:kern w:val="0"/>
          <w:szCs w:val="24"/>
        </w:rPr>
      </w:pPr>
      <w:r>
        <w:rPr>
          <w:b/>
          <w:bCs/>
        </w:rPr>
        <w:t>S</w:t>
      </w:r>
      <w:r>
        <w:rPr>
          <w:rFonts w:hint="eastAsia"/>
          <w:b/>
          <w:bCs/>
        </w:rPr>
        <w:t>upplementary Fig.16</w:t>
      </w:r>
      <w:r>
        <w:rPr>
          <w:rFonts w:ascii="宋体" w:hAnsi="宋体"/>
          <w:b/>
          <w:bCs/>
        </w:rPr>
        <w:t>｜</w:t>
      </w:r>
      <w:r>
        <w:rPr>
          <w:rFonts w:hint="eastAsia"/>
        </w:rPr>
        <w:t xml:space="preserve">a) The </w:t>
      </w:r>
      <w:r>
        <w:rPr>
          <w:color w:val="000000"/>
          <w:szCs w:val="24"/>
        </w:rPr>
        <w:t xml:space="preserve">potentiation and inhibition of post-synaptic currents </w:t>
      </w:r>
      <w:r>
        <w:rPr>
          <w:rFonts w:hint="eastAsia"/>
          <w:color w:val="000000"/>
          <w:szCs w:val="24"/>
        </w:rPr>
        <w:t>of WSe</w:t>
      </w:r>
      <w:r>
        <w:rPr>
          <w:rFonts w:hint="eastAsia"/>
          <w:color w:val="000000"/>
          <w:szCs w:val="24"/>
          <w:vertAlign w:val="subscript"/>
        </w:rPr>
        <w:t>2</w:t>
      </w:r>
      <w:r>
        <w:rPr>
          <w:rFonts w:hint="eastAsia"/>
          <w:color w:val="000000"/>
          <w:szCs w:val="24"/>
        </w:rPr>
        <w:t xml:space="preserve"> 2DFHT </w:t>
      </w:r>
      <w:r>
        <w:rPr>
          <w:color w:val="000000"/>
          <w:szCs w:val="24"/>
        </w:rPr>
        <w:t>triggered by 10 V and -10 V gate voltage pulses with a pulse width of 100 ms</w:t>
      </w:r>
      <w:r>
        <w:rPr>
          <w:rFonts w:hint="eastAsia"/>
          <w:color w:val="000000"/>
          <w:szCs w:val="24"/>
        </w:rPr>
        <w:t xml:space="preserve">. b) the </w:t>
      </w:r>
      <w:r>
        <w:rPr>
          <w:color w:val="000000"/>
          <w:szCs w:val="24"/>
        </w:rPr>
        <w:t>paired-pulse</w:t>
      </w:r>
      <w:r>
        <w:rPr>
          <w:rFonts w:hint="eastAsia"/>
          <w:color w:val="000000"/>
          <w:szCs w:val="24"/>
        </w:rPr>
        <w:t xml:space="preserve"> facilitation (PPF) and </w:t>
      </w:r>
      <w:r>
        <w:rPr>
          <w:color w:val="000000"/>
          <w:szCs w:val="24"/>
        </w:rPr>
        <w:t>paired-pulse</w:t>
      </w:r>
      <w:r>
        <w:rPr>
          <w:rFonts w:hint="eastAsia"/>
          <w:color w:val="000000"/>
          <w:szCs w:val="24"/>
        </w:rPr>
        <w:t xml:space="preserve"> facilitation depression (PPD) of WSe</w:t>
      </w:r>
      <w:r>
        <w:rPr>
          <w:rFonts w:hint="eastAsia"/>
          <w:color w:val="000000"/>
          <w:szCs w:val="24"/>
          <w:vertAlign w:val="subscript"/>
        </w:rPr>
        <w:t>2</w:t>
      </w:r>
      <w:r>
        <w:rPr>
          <w:rFonts w:hint="eastAsia"/>
          <w:color w:val="000000"/>
          <w:szCs w:val="24"/>
        </w:rPr>
        <w:t xml:space="preserve"> 2DFHT under two continuous pulses of </w:t>
      </w:r>
      <w:r>
        <w:rPr>
          <w:color w:val="000000"/>
          <w:szCs w:val="24"/>
        </w:rPr>
        <w:t xml:space="preserve">10 V and -10 V gate voltage pulses with a pulse </w:t>
      </w:r>
      <w:r>
        <w:rPr>
          <w:rFonts w:hint="eastAsia"/>
          <w:color w:val="000000"/>
          <w:szCs w:val="24"/>
        </w:rPr>
        <w:t>interval</w:t>
      </w:r>
      <w:r>
        <w:rPr>
          <w:color w:val="000000"/>
          <w:szCs w:val="24"/>
        </w:rPr>
        <w:t xml:space="preserve"> of 100 ms</w:t>
      </w:r>
      <w:r>
        <w:rPr>
          <w:rFonts w:hint="eastAsia"/>
          <w:color w:val="000000"/>
          <w:szCs w:val="24"/>
        </w:rPr>
        <w:t>. The induced channel current of WSe</w:t>
      </w:r>
      <w:r>
        <w:rPr>
          <w:rFonts w:hint="eastAsia"/>
          <w:color w:val="000000"/>
          <w:szCs w:val="24"/>
          <w:vertAlign w:val="subscript"/>
        </w:rPr>
        <w:t>2</w:t>
      </w:r>
      <w:r>
        <w:rPr>
          <w:rFonts w:hint="eastAsia"/>
          <w:color w:val="000000"/>
          <w:szCs w:val="24"/>
        </w:rPr>
        <w:t xml:space="preserve"> 2DFHT quickly returns to the initial state under small gate voltages, indicating the volatile synaptic weight update properties of devices.</w:t>
      </w:r>
    </w:p>
    <w:p w14:paraId="5A6FD233" w14:textId="77777777" w:rsidR="003717D8" w:rsidRDefault="003717D8">
      <w:pPr>
        <w:rPr>
          <w:color w:val="000000"/>
          <w:szCs w:val="24"/>
        </w:rPr>
      </w:pPr>
    </w:p>
    <w:p w14:paraId="0EDFD5D9" w14:textId="77777777" w:rsidR="003717D8" w:rsidRDefault="003717D8">
      <w:pPr>
        <w:rPr>
          <w:color w:val="000000"/>
          <w:szCs w:val="24"/>
        </w:rPr>
      </w:pPr>
    </w:p>
    <w:p w14:paraId="3C1B9C88" w14:textId="77777777" w:rsidR="003717D8" w:rsidRDefault="003717D8">
      <w:pPr>
        <w:rPr>
          <w:color w:val="000000"/>
          <w:szCs w:val="24"/>
        </w:rPr>
      </w:pPr>
    </w:p>
    <w:p w14:paraId="0A50D7D0" w14:textId="77777777" w:rsidR="003717D8" w:rsidRDefault="003717D8">
      <w:pPr>
        <w:rPr>
          <w:color w:val="000000"/>
          <w:szCs w:val="24"/>
        </w:rPr>
      </w:pPr>
    </w:p>
    <w:p w14:paraId="5A740833" w14:textId="77777777" w:rsidR="003717D8" w:rsidRDefault="003717D8">
      <w:pPr>
        <w:rPr>
          <w:color w:val="000000"/>
          <w:szCs w:val="24"/>
        </w:rPr>
      </w:pPr>
    </w:p>
    <w:p w14:paraId="306B6ADD" w14:textId="77777777" w:rsidR="003717D8" w:rsidRDefault="00000000">
      <w:pPr>
        <w:jc w:val="center"/>
        <w:rPr>
          <w:color w:val="000000"/>
          <w:szCs w:val="24"/>
        </w:rPr>
      </w:pPr>
      <w:r>
        <w:rPr>
          <w:noProof/>
          <w:color w:val="000000"/>
          <w:szCs w:val="24"/>
        </w:rPr>
        <w:lastRenderedPageBreak/>
        <w:drawing>
          <wp:inline distT="0" distB="0" distL="114300" distR="114300" wp14:anchorId="18941941" wp14:editId="04999694">
            <wp:extent cx="4488180" cy="3713480"/>
            <wp:effectExtent l="0" t="0" r="7620" b="1270"/>
            <wp:docPr id="12" name="图片 12" descr="Figure 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 S15"/>
                    <pic:cNvPicPr>
                      <a:picLocks noChangeAspect="1"/>
                    </pic:cNvPicPr>
                  </pic:nvPicPr>
                  <pic:blipFill>
                    <a:blip r:embed="rId25"/>
                    <a:srcRect l="5658" t="1601" r="2598" b="2174"/>
                    <a:stretch>
                      <a:fillRect/>
                    </a:stretch>
                  </pic:blipFill>
                  <pic:spPr>
                    <a:xfrm>
                      <a:off x="0" y="0"/>
                      <a:ext cx="4488180" cy="3713480"/>
                    </a:xfrm>
                    <a:prstGeom prst="rect">
                      <a:avLst/>
                    </a:prstGeom>
                  </pic:spPr>
                </pic:pic>
              </a:graphicData>
            </a:graphic>
          </wp:inline>
        </w:drawing>
      </w:r>
    </w:p>
    <w:p w14:paraId="23EF6E10" w14:textId="77777777" w:rsidR="003717D8" w:rsidRDefault="00000000">
      <w:pPr>
        <w:rPr>
          <w:rFonts w:eastAsia="宋体" w:cs="Times New Roman"/>
          <w:kern w:val="0"/>
          <w:szCs w:val="24"/>
        </w:rPr>
      </w:pPr>
      <w:r>
        <w:rPr>
          <w:b/>
          <w:bCs/>
        </w:rPr>
        <w:t>S</w:t>
      </w:r>
      <w:r>
        <w:rPr>
          <w:rFonts w:hint="eastAsia"/>
          <w:b/>
          <w:bCs/>
        </w:rPr>
        <w:t>upplementary Fig.17</w:t>
      </w:r>
      <w:r>
        <w:rPr>
          <w:rFonts w:ascii="宋体" w:hAnsi="宋体"/>
          <w:b/>
          <w:bCs/>
        </w:rPr>
        <w:t>｜</w:t>
      </w:r>
      <w:r>
        <w:rPr>
          <w:rFonts w:hint="eastAsia"/>
        </w:rPr>
        <w:t xml:space="preserve">The voltage-dependent synaptic weight update of </w:t>
      </w:r>
      <w:r>
        <w:rPr>
          <w:rFonts w:hint="eastAsia"/>
          <w:color w:val="000000"/>
          <w:szCs w:val="24"/>
        </w:rPr>
        <w:t>WSe</w:t>
      </w:r>
      <w:r>
        <w:rPr>
          <w:rFonts w:hint="eastAsia"/>
          <w:color w:val="000000"/>
          <w:szCs w:val="24"/>
          <w:vertAlign w:val="subscript"/>
        </w:rPr>
        <w:t>2</w:t>
      </w:r>
      <w:r>
        <w:rPr>
          <w:rFonts w:hint="eastAsia"/>
          <w:color w:val="000000"/>
          <w:szCs w:val="24"/>
        </w:rPr>
        <w:t xml:space="preserve"> 2DFHT</w:t>
      </w:r>
      <w:r>
        <w:rPr>
          <w:rFonts w:hint="eastAsia"/>
        </w:rPr>
        <w:t>. a) The potentiation synaptic weight update as a function of 50 gate voltage pulses of 10 V. b) The inhibition synaptic weight update as a function of 50 gate voltage pulses of -10 V. c) The transition state of synaptic weight update with inhibition to potentiation as a function of 50 gate voltage pulses of -40 V. d) The potentiation state of synaptic weight update</w:t>
      </w:r>
      <w:r>
        <w:t xml:space="preserve"> </w:t>
      </w:r>
      <w:r>
        <w:rPr>
          <w:rFonts w:hint="eastAsia"/>
        </w:rPr>
        <w:t xml:space="preserve">as a function of 50 gate voltage pulses of -50 V. </w:t>
      </w:r>
    </w:p>
    <w:p w14:paraId="335E241F" w14:textId="77777777" w:rsidR="003717D8" w:rsidRDefault="00000000">
      <w:pPr>
        <w:ind w:firstLineChars="200" w:firstLine="480"/>
        <w:rPr>
          <w:color w:val="000000"/>
          <w:szCs w:val="24"/>
        </w:rPr>
      </w:pPr>
      <w:r>
        <w:rPr>
          <w:color w:val="000000"/>
          <w:szCs w:val="24"/>
        </w:rPr>
        <w:t xml:space="preserve">The </w:t>
      </w:r>
      <w:r>
        <w:rPr>
          <w:rFonts w:hint="eastAsia"/>
          <w:color w:val="000000"/>
          <w:szCs w:val="24"/>
        </w:rPr>
        <w:t>WSe</w:t>
      </w:r>
      <w:r>
        <w:rPr>
          <w:rFonts w:hint="eastAsia"/>
          <w:color w:val="000000"/>
          <w:szCs w:val="24"/>
          <w:vertAlign w:val="subscript"/>
        </w:rPr>
        <w:t>2</w:t>
      </w:r>
      <w:r>
        <w:rPr>
          <w:rFonts w:hint="eastAsia"/>
          <w:color w:val="000000"/>
          <w:szCs w:val="24"/>
        </w:rPr>
        <w:t xml:space="preserve"> 2DFHT </w:t>
      </w:r>
      <w:r>
        <w:rPr>
          <w:color w:val="000000"/>
          <w:szCs w:val="24"/>
        </w:rPr>
        <w:t xml:space="preserve">demonstrates synaptic weight updates, showing </w:t>
      </w:r>
      <w:r>
        <w:rPr>
          <w:rFonts w:hint="eastAsia"/>
        </w:rPr>
        <w:t>potentiation</w:t>
      </w:r>
      <w:r>
        <w:rPr>
          <w:color w:val="000000"/>
          <w:szCs w:val="24"/>
        </w:rPr>
        <w:t xml:space="preserve"> and </w:t>
      </w:r>
      <w:r>
        <w:rPr>
          <w:rFonts w:hint="eastAsia"/>
        </w:rPr>
        <w:t>inhibition</w:t>
      </w:r>
      <w:r>
        <w:rPr>
          <w:color w:val="000000"/>
          <w:szCs w:val="24"/>
        </w:rPr>
        <w:t xml:space="preserve"> due to </w:t>
      </w:r>
      <w:r>
        <w:rPr>
          <w:rFonts w:hint="eastAsia"/>
          <w:color w:val="000000"/>
          <w:szCs w:val="24"/>
        </w:rPr>
        <w:t>the charge-</w:t>
      </w:r>
      <w:r>
        <w:rPr>
          <w:color w:val="000000"/>
          <w:szCs w:val="24"/>
        </w:rPr>
        <w:t>trapping and release</w:t>
      </w:r>
      <w:r>
        <w:rPr>
          <w:rFonts w:hint="eastAsia"/>
          <w:color w:val="000000"/>
          <w:szCs w:val="24"/>
        </w:rPr>
        <w:t xml:space="preserve"> in the ferroelectric layer</w:t>
      </w:r>
      <w:r>
        <w:rPr>
          <w:color w:val="000000"/>
          <w:szCs w:val="24"/>
        </w:rPr>
        <w:t xml:space="preserve">, respectively, at a low voltage of ±10 </w:t>
      </w:r>
      <w:r>
        <w:rPr>
          <w:rFonts w:hint="eastAsia"/>
          <w:color w:val="000000"/>
          <w:szCs w:val="24"/>
        </w:rPr>
        <w:t>V</w:t>
      </w:r>
      <w:r>
        <w:rPr>
          <w:color w:val="000000"/>
          <w:szCs w:val="24"/>
        </w:rPr>
        <w:t xml:space="preserve">. As the gate voltage </w:t>
      </w:r>
      <w:r>
        <w:rPr>
          <w:rFonts w:hint="eastAsia"/>
          <w:color w:val="000000"/>
          <w:szCs w:val="24"/>
        </w:rPr>
        <w:t>gradually</w:t>
      </w:r>
      <w:r>
        <w:rPr>
          <w:color w:val="000000"/>
          <w:szCs w:val="24"/>
        </w:rPr>
        <w:t xml:space="preserve"> increases, the current undergoes a transitional state during the -40V pulse and ultimately shifts to fully enhanced synaptic behavior at -50V. This variation in synaptic activity signifies a transition from a defect-trapping mechanism to a ferroelectric polarization mechanism.</w:t>
      </w:r>
    </w:p>
    <w:p w14:paraId="3D9C779A" w14:textId="77777777" w:rsidR="003717D8" w:rsidRDefault="00000000">
      <w:r>
        <w:rPr>
          <w:rFonts w:hint="eastAsia"/>
        </w:rPr>
        <w:br w:type="page"/>
      </w:r>
    </w:p>
    <w:p w14:paraId="36A52D95" w14:textId="77777777" w:rsidR="003717D8" w:rsidRDefault="00000000">
      <w:pPr>
        <w:jc w:val="center"/>
      </w:pPr>
      <w:r>
        <w:rPr>
          <w:noProof/>
        </w:rPr>
        <w:lastRenderedPageBreak/>
        <w:drawing>
          <wp:inline distT="0" distB="0" distL="0" distR="0" wp14:anchorId="13325594" wp14:editId="0D09CFE2">
            <wp:extent cx="3333750" cy="2552700"/>
            <wp:effectExtent l="0" t="0" r="0" b="0"/>
            <wp:docPr id="16386522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52232" name="图片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333750" cy="2552700"/>
                    </a:xfrm>
                    <a:prstGeom prst="rect">
                      <a:avLst/>
                    </a:prstGeom>
                    <a:noFill/>
                    <a:ln>
                      <a:noFill/>
                    </a:ln>
                  </pic:spPr>
                </pic:pic>
              </a:graphicData>
            </a:graphic>
          </wp:inline>
        </w:drawing>
      </w:r>
    </w:p>
    <w:p w14:paraId="79D27069" w14:textId="77777777" w:rsidR="003717D8" w:rsidRDefault="00000000">
      <w:pPr>
        <w:rPr>
          <w:color w:val="000000"/>
          <w:szCs w:val="24"/>
        </w:rPr>
      </w:pPr>
      <w:r>
        <w:rPr>
          <w:b/>
          <w:bCs/>
        </w:rPr>
        <w:t>S</w:t>
      </w:r>
      <w:r>
        <w:rPr>
          <w:rFonts w:hint="eastAsia"/>
          <w:b/>
          <w:bCs/>
        </w:rPr>
        <w:t>upplementary Fig.18</w:t>
      </w:r>
      <w:r>
        <w:rPr>
          <w:rFonts w:ascii="宋体" w:hAnsi="宋体"/>
          <w:b/>
          <w:bCs/>
        </w:rPr>
        <w:t>｜</w:t>
      </w:r>
      <w:r>
        <w:rPr>
          <w:rFonts w:hint="eastAsia"/>
        </w:rPr>
        <w:t xml:space="preserve">The multi-level memory retention of </w:t>
      </w:r>
      <w:r>
        <w:rPr>
          <w:rFonts w:hint="eastAsia"/>
          <w:color w:val="000000"/>
          <w:szCs w:val="24"/>
        </w:rPr>
        <w:t>WSe</w:t>
      </w:r>
      <w:r>
        <w:rPr>
          <w:rFonts w:hint="eastAsia"/>
          <w:color w:val="000000"/>
          <w:szCs w:val="24"/>
          <w:vertAlign w:val="subscript"/>
        </w:rPr>
        <w:t>2</w:t>
      </w:r>
      <w:r>
        <w:rPr>
          <w:rFonts w:hint="eastAsia"/>
          <w:color w:val="000000"/>
          <w:szCs w:val="24"/>
        </w:rPr>
        <w:t xml:space="preserve"> 2DFHT under a gate bias of -60 V with different pulse </w:t>
      </w:r>
      <w:r>
        <w:rPr>
          <w:color w:val="000000"/>
          <w:szCs w:val="24"/>
        </w:rPr>
        <w:t>widths</w:t>
      </w:r>
      <w:r>
        <w:rPr>
          <w:rFonts w:hint="eastAsia"/>
          <w:color w:val="000000"/>
          <w:szCs w:val="24"/>
        </w:rPr>
        <w:t>.</w:t>
      </w:r>
    </w:p>
    <w:p w14:paraId="192F70B2" w14:textId="77777777" w:rsidR="003717D8" w:rsidRDefault="00000000">
      <w:pPr>
        <w:rPr>
          <w:color w:val="000000"/>
          <w:szCs w:val="24"/>
        </w:rPr>
      </w:pPr>
      <w:r>
        <w:rPr>
          <w:rFonts w:hint="eastAsia"/>
          <w:color w:val="000000"/>
          <w:szCs w:val="24"/>
        </w:rPr>
        <w:br w:type="page"/>
      </w:r>
    </w:p>
    <w:p w14:paraId="4C031C94" w14:textId="77777777" w:rsidR="003717D8" w:rsidRDefault="00000000">
      <w:pPr>
        <w:jc w:val="center"/>
        <w:rPr>
          <w:color w:val="000000"/>
          <w:szCs w:val="24"/>
        </w:rPr>
      </w:pPr>
      <w:r>
        <w:rPr>
          <w:rFonts w:hint="eastAsia"/>
          <w:noProof/>
          <w:color w:val="000000"/>
          <w:szCs w:val="24"/>
        </w:rPr>
        <w:lastRenderedPageBreak/>
        <w:drawing>
          <wp:inline distT="0" distB="0" distL="114300" distR="114300" wp14:anchorId="4C78BEA8" wp14:editId="4F371DA7">
            <wp:extent cx="5798185" cy="4152900"/>
            <wp:effectExtent l="0" t="0" r="12065" b="0"/>
            <wp:docPr id="1" name="图片 1"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5"/>
                    <pic:cNvPicPr>
                      <a:picLocks noChangeAspect="1"/>
                    </pic:cNvPicPr>
                  </pic:nvPicPr>
                  <pic:blipFill>
                    <a:blip r:embed="rId27"/>
                    <a:stretch>
                      <a:fillRect/>
                    </a:stretch>
                  </pic:blipFill>
                  <pic:spPr>
                    <a:xfrm>
                      <a:off x="0" y="0"/>
                      <a:ext cx="5798185" cy="4152900"/>
                    </a:xfrm>
                    <a:prstGeom prst="rect">
                      <a:avLst/>
                    </a:prstGeom>
                  </pic:spPr>
                </pic:pic>
              </a:graphicData>
            </a:graphic>
          </wp:inline>
        </w:drawing>
      </w:r>
    </w:p>
    <w:p w14:paraId="2E6C3149" w14:textId="77777777" w:rsidR="003717D8" w:rsidRDefault="00000000">
      <w:pPr>
        <w:rPr>
          <w:rFonts w:cs="Times New Roman"/>
          <w:kern w:val="0"/>
          <w:szCs w:val="24"/>
        </w:rPr>
      </w:pPr>
      <w:r>
        <w:rPr>
          <w:b/>
          <w:bCs/>
        </w:rPr>
        <w:t>S</w:t>
      </w:r>
      <w:r>
        <w:rPr>
          <w:rFonts w:hint="eastAsia"/>
          <w:b/>
          <w:bCs/>
        </w:rPr>
        <w:t xml:space="preserve">upplementary Fig.19 </w:t>
      </w:r>
      <w:r>
        <w:rPr>
          <w:rFonts w:eastAsia="等线"/>
          <w:b/>
          <w:bCs/>
        </w:rPr>
        <w:t>a</w:t>
      </w:r>
      <w:r>
        <w:rPr>
          <w:rFonts w:eastAsia="等线"/>
        </w:rPr>
        <w:t xml:space="preserve"> </w:t>
      </w:r>
      <w:r>
        <w:rPr>
          <w:rFonts w:eastAsia="等线" w:hint="eastAsia"/>
        </w:rPr>
        <w:t>the f</w:t>
      </w:r>
      <w:r>
        <w:rPr>
          <w:rFonts w:eastAsia="等线"/>
        </w:rPr>
        <w:t xml:space="preserve">ive classes of Google map images for the train, validation, and recognition dataset. </w:t>
      </w:r>
      <w:r>
        <w:rPr>
          <w:rFonts w:eastAsia="等线"/>
          <w:b/>
          <w:bCs/>
        </w:rPr>
        <w:t>b</w:t>
      </w:r>
      <w:r>
        <w:rPr>
          <w:rFonts w:eastAsia="等线"/>
        </w:rPr>
        <w:t xml:space="preserve"> </w:t>
      </w:r>
      <w:r>
        <w:rPr>
          <w:rFonts w:eastAsia="等线" w:hint="eastAsia"/>
        </w:rPr>
        <w:t>t</w:t>
      </w:r>
      <w:r>
        <w:rPr>
          <w:rFonts w:eastAsia="等线"/>
        </w:rPr>
        <w:t xml:space="preserve">he schematic of a transfer learning neural network consists of a convolutional neural network and a fully connected network. </w:t>
      </w:r>
      <w:r>
        <w:rPr>
          <w:rFonts w:eastAsia="等线"/>
          <w:b/>
          <w:bCs/>
        </w:rPr>
        <w:t>c</w:t>
      </w:r>
      <w:r>
        <w:rPr>
          <w:rFonts w:eastAsia="等线"/>
        </w:rPr>
        <w:t xml:space="preserve"> </w:t>
      </w:r>
      <w:r>
        <w:rPr>
          <w:rFonts w:eastAsia="等线" w:hint="eastAsia"/>
        </w:rPr>
        <w:t>t</w:t>
      </w:r>
      <w:r>
        <w:rPr>
          <w:rFonts w:eastAsia="等线"/>
        </w:rPr>
        <w:t xml:space="preserve">he comparison of accuracy between networks with frozen and unfrozen feature information during the training epoch. </w:t>
      </w:r>
      <w:r>
        <w:rPr>
          <w:rFonts w:eastAsia="等线"/>
          <w:b/>
          <w:bCs/>
        </w:rPr>
        <w:t>d</w:t>
      </w:r>
      <w:r>
        <w:rPr>
          <w:rFonts w:eastAsia="等线"/>
        </w:rPr>
        <w:t xml:space="preserve"> </w:t>
      </w:r>
      <w:r>
        <w:rPr>
          <w:rFonts w:eastAsia="等线" w:hint="eastAsia"/>
        </w:rPr>
        <w:t>t</w:t>
      </w:r>
      <w:r>
        <w:rPr>
          <w:rFonts w:eastAsia="等线"/>
        </w:rPr>
        <w:t xml:space="preserve">he accuracy and time efficiency of frozen and unfrozen neural networks. </w:t>
      </w:r>
      <w:r>
        <w:rPr>
          <w:rFonts w:eastAsia="等线"/>
          <w:b/>
          <w:bCs/>
        </w:rPr>
        <w:t>e</w:t>
      </w:r>
      <w:r>
        <w:rPr>
          <w:rFonts w:eastAsia="等线"/>
        </w:rPr>
        <w:t xml:space="preserve"> the recognition accuracy of each image class under frozen and unfrozen neural networks.</w:t>
      </w:r>
    </w:p>
    <w:p w14:paraId="07AB76FE" w14:textId="77777777" w:rsidR="003717D8" w:rsidRDefault="00000000">
      <w:pPr>
        <w:widowControl/>
        <w:spacing w:line="480" w:lineRule="auto"/>
        <w:ind w:firstLineChars="200" w:firstLine="480"/>
        <w:rPr>
          <w:rFonts w:eastAsia="宋体"/>
          <w:color w:val="000000"/>
          <w:szCs w:val="24"/>
        </w:rPr>
      </w:pPr>
      <w:r>
        <w:rPr>
          <w:rFonts w:eastAsia="Times New Roman" w:cs="宋体"/>
          <w:color w:val="000000"/>
          <w:szCs w:val="24"/>
          <w:lang w:bidi="ar"/>
        </w:rPr>
        <w:t>Supplementary Fig.19a displays a selection of five image categories—agriculture, harbor, idle-land, park, and residential—harvested from the SIRI-WHU Google Earth dataset. Each category comprises 200 images divided into test and training classes. Supplementary Fig.19b shows the schematic neural network for transfer learning based on</w:t>
      </w:r>
      <w:r>
        <w:rPr>
          <w:rFonts w:eastAsia="Times New Roman" w:cs="宋体"/>
          <w:lang w:bidi="ar"/>
        </w:rPr>
        <w:t xml:space="preserve"> </w:t>
      </w:r>
      <w:r>
        <w:rPr>
          <w:rFonts w:eastAsia="Times New Roman" w:cs="宋体"/>
          <w:color w:val="000000"/>
          <w:szCs w:val="24"/>
          <w:lang w:bidi="ar"/>
        </w:rPr>
        <w:t>the LeNet model which consists of a feature extractor using a convolutional neural network (CNN), followed by a fully</w:t>
      </w:r>
      <w:r>
        <w:rPr>
          <w:rFonts w:eastAsia="宋体" w:cs="宋体"/>
          <w:color w:val="000000"/>
          <w:szCs w:val="24"/>
          <w:lang w:bidi="ar"/>
        </w:rPr>
        <w:t xml:space="preserve"> </w:t>
      </w:r>
      <w:r>
        <w:rPr>
          <w:rFonts w:eastAsia="Times New Roman" w:cs="宋体"/>
          <w:color w:val="000000"/>
          <w:szCs w:val="24"/>
          <w:lang w:bidi="ar"/>
        </w:rPr>
        <w:t xml:space="preserve">connected layer (FCL) for classification. The initial stage involves preprocessing the input images for the CNN, which includes splitting images into specific kernel weights and partitioning the dataset into training and testing </w:t>
      </w:r>
      <w:r>
        <w:rPr>
          <w:rFonts w:eastAsia="Times New Roman" w:cs="宋体"/>
          <w:color w:val="000000"/>
          <w:szCs w:val="24"/>
          <w:lang w:bidi="ar"/>
        </w:rPr>
        <w:lastRenderedPageBreak/>
        <w:t>subsets. The model is then instantiated with predefined input and output shapes, and the convolutional layers are set as frozen and unfrozen, which respectively represent retained or discarded the feature parameters extracted by the network. Upon completion of feature extraction through convolution operations, the image information is flattened and forwarded to the FCL for subsequent training processes. In the test case, the input data of images are sequentially passed</w:t>
      </w:r>
      <w:r>
        <w:rPr>
          <w:rFonts w:eastAsia="宋体" w:cs="宋体"/>
          <w:color w:val="000000"/>
          <w:szCs w:val="24"/>
          <w:lang w:bidi="ar"/>
        </w:rPr>
        <w:t xml:space="preserve"> </w:t>
      </w:r>
      <w:r>
        <w:rPr>
          <w:rFonts w:eastAsia="Times New Roman" w:cs="宋体"/>
          <w:color w:val="000000"/>
          <w:szCs w:val="24"/>
          <w:lang w:bidi="ar"/>
        </w:rPr>
        <w:t xml:space="preserve">to the transferred CNN and the learned FCL to recognize five classes of images with five neurons in the output layer of FCL. Supplementary Fig.19c illustrates a comparative analysis of recognition accuracies under 50 training epochs, showing a notable superiority in the frozen network, which achieved </w:t>
      </w:r>
      <w:r>
        <w:rPr>
          <w:rFonts w:eastAsia="宋体" w:cs="宋体"/>
          <w:color w:val="000000"/>
          <w:szCs w:val="24"/>
          <w:lang w:bidi="ar"/>
        </w:rPr>
        <w:t>a </w:t>
      </w:r>
      <w:r>
        <w:rPr>
          <w:rFonts w:eastAsia="Times New Roman" w:cs="宋体"/>
          <w:color w:val="000000"/>
          <w:szCs w:val="24"/>
          <w:lang w:bidi="ar"/>
        </w:rPr>
        <w:t>recognition accuracy of 93.9%, compared to 64.3% in its unfrozen counterpart. Furthermore, the efficiency of the frozen network was significantly enhanced, recording a reduced training time of 7.4 seconds per epoch, versus 27.3 seconds for the unfrozen network, as depicted in Supplementary Fig.19d. Additional comparisons of recognition accuracies for the five image classes are presented in</w:t>
      </w:r>
      <w:r>
        <w:rPr>
          <w:rFonts w:eastAsia="Times New Roman" w:cs="宋体"/>
          <w:b/>
          <w:bCs/>
          <w:color w:val="000000"/>
          <w:szCs w:val="24"/>
          <w:lang w:bidi="ar"/>
        </w:rPr>
        <w:t xml:space="preserve"> </w:t>
      </w:r>
      <w:r>
        <w:rPr>
          <w:rFonts w:eastAsia="Times New Roman" w:cs="宋体"/>
          <w:color w:val="000000"/>
          <w:szCs w:val="24"/>
          <w:lang w:bidi="ar"/>
        </w:rPr>
        <w:t>Supplementary Fig.19</w:t>
      </w:r>
      <w:r>
        <w:rPr>
          <w:rFonts w:eastAsia="宋体" w:cs="宋体"/>
          <w:color w:val="000000"/>
          <w:szCs w:val="24"/>
          <w:lang w:bidi="ar"/>
        </w:rPr>
        <w:t>e</w:t>
      </w:r>
      <w:r>
        <w:rPr>
          <w:rFonts w:eastAsia="Times New Roman" w:cs="宋体"/>
          <w:color w:val="000000"/>
          <w:szCs w:val="24"/>
          <w:lang w:bidi="ar"/>
        </w:rPr>
        <w:t xml:space="preserve">, highlighting the enhanced capability of the network with preserved weights to more accurately distinguish among varied image types. </w:t>
      </w:r>
    </w:p>
    <w:p w14:paraId="5800ADF6" w14:textId="77777777" w:rsidR="003717D8" w:rsidRDefault="003717D8">
      <w:pPr>
        <w:rPr>
          <w:color w:val="000000"/>
          <w:szCs w:val="24"/>
        </w:rPr>
      </w:pPr>
    </w:p>
    <w:sectPr w:rsidR="003717D8">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1E05C1" w14:textId="77777777" w:rsidR="007838A7" w:rsidRDefault="007838A7">
      <w:pPr>
        <w:spacing w:line="240" w:lineRule="auto"/>
      </w:pPr>
      <w:r>
        <w:separator/>
      </w:r>
    </w:p>
  </w:endnote>
  <w:endnote w:type="continuationSeparator" w:id="0">
    <w:p w14:paraId="117A9BDD" w14:textId="77777777" w:rsidR="007838A7" w:rsidRDefault="007838A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8698081"/>
    </w:sdtPr>
    <w:sdtContent>
      <w:p w14:paraId="75C520D3" w14:textId="77777777" w:rsidR="003717D8" w:rsidRDefault="00000000">
        <w:pPr>
          <w:pStyle w:val="a3"/>
          <w:jc w:val="center"/>
        </w:pPr>
        <w:r>
          <w:fldChar w:fldCharType="begin"/>
        </w:r>
        <w:r>
          <w:instrText>PAGE   \* MERGEFORMAT</w:instrText>
        </w:r>
        <w:r>
          <w:fldChar w:fldCharType="separate"/>
        </w:r>
        <w:r>
          <w:rPr>
            <w:lang w:val="zh-CN"/>
          </w:rPr>
          <w:t>2</w:t>
        </w:r>
        <w:r>
          <w:fldChar w:fldCharType="end"/>
        </w:r>
      </w:p>
    </w:sdtContent>
  </w:sdt>
  <w:p w14:paraId="26893364" w14:textId="77777777" w:rsidR="003717D8" w:rsidRDefault="003717D8">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A3493E" w14:textId="77777777" w:rsidR="007838A7" w:rsidRDefault="007838A7">
      <w:r>
        <w:separator/>
      </w:r>
    </w:p>
  </w:footnote>
  <w:footnote w:type="continuationSeparator" w:id="0">
    <w:p w14:paraId="5A75818F" w14:textId="77777777" w:rsidR="007838A7" w:rsidRDefault="007838A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zWztDQ3MTY1M7IwNDNX0lEKTi0uzszPAymwrAUA3r0rOiwAAAA="/>
    <w:docVar w:name="commondata" w:val="eyJoZGlkIjoiMmQ4MzY2ZDM5NzE2ODYxMzA4Y2YxYThmMWY2NDhhY2YifQ=="/>
  </w:docVars>
  <w:rsids>
    <w:rsidRoot w:val="033917D5"/>
    <w:rsid w:val="00020911"/>
    <w:rsid w:val="000268AE"/>
    <w:rsid w:val="00051BB2"/>
    <w:rsid w:val="00091443"/>
    <w:rsid w:val="000B6E0E"/>
    <w:rsid w:val="000C263C"/>
    <w:rsid w:val="000D1B23"/>
    <w:rsid w:val="000D4FAA"/>
    <w:rsid w:val="00127366"/>
    <w:rsid w:val="001C369D"/>
    <w:rsid w:val="001E23D3"/>
    <w:rsid w:val="001F5881"/>
    <w:rsid w:val="0020673F"/>
    <w:rsid w:val="00225309"/>
    <w:rsid w:val="002821CE"/>
    <w:rsid w:val="003372DC"/>
    <w:rsid w:val="003717D8"/>
    <w:rsid w:val="00387D2F"/>
    <w:rsid w:val="003B1737"/>
    <w:rsid w:val="00447595"/>
    <w:rsid w:val="005531D8"/>
    <w:rsid w:val="005A1B3B"/>
    <w:rsid w:val="005C06F3"/>
    <w:rsid w:val="005F6389"/>
    <w:rsid w:val="00622075"/>
    <w:rsid w:val="0065292A"/>
    <w:rsid w:val="0067181C"/>
    <w:rsid w:val="006F2273"/>
    <w:rsid w:val="00705C19"/>
    <w:rsid w:val="00766BE1"/>
    <w:rsid w:val="00772EEE"/>
    <w:rsid w:val="00775C2D"/>
    <w:rsid w:val="007838A7"/>
    <w:rsid w:val="007F06B1"/>
    <w:rsid w:val="0080032F"/>
    <w:rsid w:val="00817703"/>
    <w:rsid w:val="008371C6"/>
    <w:rsid w:val="00856645"/>
    <w:rsid w:val="00877433"/>
    <w:rsid w:val="008B613B"/>
    <w:rsid w:val="009034AF"/>
    <w:rsid w:val="0096366E"/>
    <w:rsid w:val="009B48B0"/>
    <w:rsid w:val="009C513E"/>
    <w:rsid w:val="00A55D5E"/>
    <w:rsid w:val="00A73A03"/>
    <w:rsid w:val="00AA3F1A"/>
    <w:rsid w:val="00B302D1"/>
    <w:rsid w:val="00B725C8"/>
    <w:rsid w:val="00BF3C4E"/>
    <w:rsid w:val="00C7560C"/>
    <w:rsid w:val="00CF0C10"/>
    <w:rsid w:val="00CF4388"/>
    <w:rsid w:val="00CF79B7"/>
    <w:rsid w:val="00D2358E"/>
    <w:rsid w:val="00DF4697"/>
    <w:rsid w:val="00E372A1"/>
    <w:rsid w:val="00E52756"/>
    <w:rsid w:val="00EA2C27"/>
    <w:rsid w:val="00EF3D2B"/>
    <w:rsid w:val="00F41B6B"/>
    <w:rsid w:val="00F80C16"/>
    <w:rsid w:val="00F879FF"/>
    <w:rsid w:val="00FA20A1"/>
    <w:rsid w:val="01643952"/>
    <w:rsid w:val="033917D5"/>
    <w:rsid w:val="07E67A29"/>
    <w:rsid w:val="089874A9"/>
    <w:rsid w:val="09D315EF"/>
    <w:rsid w:val="0D273A70"/>
    <w:rsid w:val="13AE00A2"/>
    <w:rsid w:val="15640F51"/>
    <w:rsid w:val="15750635"/>
    <w:rsid w:val="2BE61625"/>
    <w:rsid w:val="47E91955"/>
    <w:rsid w:val="4BFA10D3"/>
    <w:rsid w:val="6F13550B"/>
    <w:rsid w:val="70091E46"/>
    <w:rsid w:val="73D04C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08652F"/>
  <w15:docId w15:val="{F535F0AA-97A2-46F6-B5BE-7BC040DB0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360" w:lineRule="auto"/>
      <w:jc w:val="both"/>
    </w:pPr>
    <w:rPr>
      <w:rFonts w:eastAsiaTheme="minorEastAsia" w:cstheme="minorBidi"/>
      <w:kern w:val="2"/>
      <w:sz w:val="24"/>
      <w:szCs w:val="22"/>
    </w:rPr>
  </w:style>
  <w:style w:type="paragraph" w:styleId="1">
    <w:name w:val="heading 1"/>
    <w:basedOn w:val="a"/>
    <w:next w:val="a"/>
    <w:autoRedefine/>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autoRedefine/>
    <w:uiPriority w:val="99"/>
    <w:qFormat/>
    <w:pPr>
      <w:tabs>
        <w:tab w:val="center" w:pos="4153"/>
        <w:tab w:val="right" w:pos="8306"/>
      </w:tabs>
      <w:snapToGrid w:val="0"/>
      <w:spacing w:line="240" w:lineRule="auto"/>
      <w:jc w:val="left"/>
    </w:pPr>
    <w:rPr>
      <w:sz w:val="18"/>
      <w:szCs w:val="18"/>
    </w:rPr>
  </w:style>
  <w:style w:type="paragraph" w:styleId="a5">
    <w:name w:val="header"/>
    <w:basedOn w:val="a"/>
    <w:link w:val="a6"/>
    <w:autoRedefine/>
    <w:qFormat/>
    <w:pPr>
      <w:tabs>
        <w:tab w:val="center" w:pos="4153"/>
        <w:tab w:val="right" w:pos="8306"/>
      </w:tabs>
      <w:snapToGrid w:val="0"/>
      <w:spacing w:line="240" w:lineRule="auto"/>
      <w:jc w:val="center"/>
    </w:pPr>
    <w:rPr>
      <w:sz w:val="18"/>
      <w:szCs w:val="18"/>
    </w:rPr>
  </w:style>
  <w:style w:type="character" w:styleId="a7">
    <w:name w:val="Hyperlink"/>
    <w:basedOn w:val="a0"/>
    <w:qFormat/>
    <w:rPr>
      <w:color w:val="0000FF"/>
      <w:u w:val="single"/>
    </w:rPr>
  </w:style>
  <w:style w:type="character" w:customStyle="1" w:styleId="a6">
    <w:name w:val="页眉 字符"/>
    <w:basedOn w:val="a0"/>
    <w:link w:val="a5"/>
    <w:autoRedefine/>
    <w:qFormat/>
    <w:rPr>
      <w:rFonts w:eastAsiaTheme="minorEastAsia" w:cstheme="minorBidi"/>
      <w:kern w:val="2"/>
      <w:sz w:val="18"/>
      <w:szCs w:val="18"/>
    </w:rPr>
  </w:style>
  <w:style w:type="character" w:customStyle="1" w:styleId="a4">
    <w:name w:val="页脚 字符"/>
    <w:basedOn w:val="a0"/>
    <w:link w:val="a3"/>
    <w:autoRedefine/>
    <w:uiPriority w:val="99"/>
    <w:qFormat/>
    <w:rPr>
      <w:rFonts w:eastAsiaTheme="minorEastAsia" w:cstheme="minorBidi"/>
      <w:kern w:val="2"/>
      <w:sz w:val="18"/>
      <w:szCs w:val="18"/>
    </w:rPr>
  </w:style>
  <w:style w:type="paragraph" w:customStyle="1" w:styleId="10">
    <w:name w:val="修订1"/>
    <w:hidden/>
    <w:uiPriority w:val="99"/>
    <w:unhideWhenUsed/>
    <w:qFormat/>
    <w:rPr>
      <w:rFonts w:eastAsiaTheme="minorEastAsia" w:cstheme="minorBidi"/>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webSettings" Target="webSettings.xml"/><Relationship Id="rId21" Type="http://schemas.openxmlformats.org/officeDocument/2006/relationships/image" Target="media/image13.tiff"/><Relationship Id="rId7" Type="http://schemas.openxmlformats.org/officeDocument/2006/relationships/hyperlink" Target="mailto:liwenwu@fudan.edu.cn" TargetMode="Externa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iff"/><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chmlohkp@nus.edu.sg" TargetMode="External"/><Relationship Id="rId11" Type="http://schemas.openxmlformats.org/officeDocument/2006/relationships/image" Target="media/image3.png"/><Relationship Id="rId24" Type="http://schemas.openxmlformats.org/officeDocument/2006/relationships/image" Target="media/image16.tiff"/><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tiff"/><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27</Pages>
  <Words>2992</Words>
  <Characters>17057</Characters>
  <Application>Microsoft Office Word</Application>
  <DocSecurity>0</DocSecurity>
  <Lines>416</Lines>
  <Paragraphs>150</Paragraphs>
  <ScaleCrop>false</ScaleCrop>
  <Company/>
  <LinksUpToDate>false</LinksUpToDate>
  <CharactersWithSpaces>19899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李恩龙</dc:creator>
  <cp:lastModifiedBy>Wenwu Li</cp:lastModifiedBy>
  <cp:revision>18</cp:revision>
  <dcterms:created xsi:type="dcterms:W3CDTF">2024-04-19T09:12:00Z</dcterms:created>
  <dcterms:modified xsi:type="dcterms:W3CDTF">2024-12-26T01:14:00Z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28ECC742DA27475FA5F01BBDD4F2B1E7_13</vt:lpwstr>
  </property>
  <property fmtid="{D5CDD505-2E9C-101B-9397-08002B2CF9AE}" pid="4" name="GrammarlyDocumentId">
    <vt:lpwstr>af634a507f01059eba0442cefa97698196da39acf46304fc12a17c46bd87ad1a</vt:lpwstr>
  </property>
  <property fmtid="{D5CDD505-2E9C-101B-9397-08002B2CF9AE}" pid="5" name="KSOTemplateDocerSaveRecord">
    <vt:lpwstr>eyJoZGlkIjoiMmQ4MzY2ZDM5NzE2ODYxMzA4Y2YxYThmMWY2NDhhY2YiLCJ1c2VySWQiOiIyNjc4MTM0MzAifQ==</vt:lpwstr>
  </property>
</Properties>
</file>