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DBA69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upplementary 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m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>aterials</w:t>
      </w:r>
    </w:p>
    <w:p w14:paraId="7E5FE17F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4337ED5F">
      <w:pPr>
        <w:spacing w:line="360" w:lineRule="auto"/>
        <w:jc w:val="center"/>
        <w:rPr>
          <w:rFonts w:hint="eastAsia" w:ascii="Times New Roman" w:hAnsi="Times New Roman" w:cs="Times New Roman" w:eastAsiaTheme="minorEastAsia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 disproportionate analysis of novel oral anticoagulants in the general and pediatric populations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 xml:space="preserve">a pharmacovigilance study </w:t>
      </w:r>
      <w:r>
        <w:rPr>
          <w:rFonts w:ascii="Times New Roman" w:hAnsi="Times New Roman" w:cs="Times New Roman"/>
          <w:b/>
          <w:bCs/>
          <w:sz w:val="32"/>
          <w:szCs w:val="32"/>
        </w:rPr>
        <w:t>based on FDA Adverse Event Reporting System database</w:t>
      </w:r>
      <w:bookmarkStart w:id="1" w:name="_GoBack"/>
      <w:bookmarkEnd w:id="1"/>
    </w:p>
    <w:p w14:paraId="76574F3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Author names: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Guimu Guo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OLE_LINK12"/>
      <w:r>
        <w:rPr>
          <w:rFonts w:hint="eastAsia" w:ascii="Times New Roman" w:hAnsi="Times New Roman" w:cs="Times New Roman"/>
          <w:sz w:val="24"/>
          <w:szCs w:val="24"/>
        </w:rPr>
        <w:t>Tingting Chen</w:t>
      </w:r>
      <w:bookmarkEnd w:id="0"/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 Ling</w:t>
      </w:r>
      <w:r>
        <w:rPr>
          <w:rFonts w:hint="eastAsia"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ing Ye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Jintuo Zhou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 Jinhua Zhang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0E87DD9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Affiliations: </w:t>
      </w:r>
    </w:p>
    <w:p w14:paraId="0D4C71E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Department of Pharmacy, Fujian Maternity and Child Health Hospital College of Clinical Medicine for Obstetrics &amp; Gynecology and Pediatrics, Fujian Medical University, Fuzhou, China</w:t>
      </w:r>
    </w:p>
    <w:p w14:paraId="0B06ED0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Corresponding author</w:t>
      </w:r>
    </w:p>
    <w:p w14:paraId="23C000A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Jinhua Zhang, Ph.D., Department of Pharmacy, Fujian Maternity and Child Health Hospital College of Clinical Medicine for Obstetrics &amp; Gynecology and Pediatrics, Fujian Medical University, #18 Daoshan Road, Fuzhou, 350001, China </w:t>
      </w:r>
    </w:p>
    <w:p w14:paraId="17E60214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Tel.: +86-591-8335-7896 </w:t>
      </w:r>
    </w:p>
    <w:p w14:paraId="6DEA72F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Fax: +86-591-8335-7896</w:t>
      </w:r>
    </w:p>
    <w:p w14:paraId="7807C7D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pollyzhang2006@126.com</w:t>
      </w:r>
    </w:p>
    <w:p w14:paraId="54240353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0D3B5441">
      <w:pPr>
        <w:spacing w:line="480" w:lineRule="auto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titlePg/>
          <w:docGrid w:type="lines" w:linePitch="312" w:charSpace="0"/>
        </w:sectPr>
      </w:pPr>
    </w:p>
    <w:p w14:paraId="771D883F">
      <w:pPr>
        <w:spacing w:line="48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1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Calculation of time-to-onset</w:t>
      </w:r>
    </w:p>
    <w:p w14:paraId="48AE8EB5">
      <w:pPr>
        <w:spacing w:line="480" w:lineRule="auto"/>
        <w:rPr>
          <w:rFonts w:hint="default"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TTO=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e>
            <m:sub>
              <m:r>
                <m:rPr/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ub>
          </m:sSub>
          <m:r>
            <m:rPr/>
            <w:rPr>
              <w:rFonts w:ascii="Cambria Math" w:hAnsi="Cambria Math" w:cs="Times New Roman"/>
              <w:sz w:val="24"/>
              <w:szCs w:val="24"/>
            </w:rPr>
            <m:t>−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  <m:sub>
              <m:r>
                <m:rPr/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ub>
          </m:sSub>
          <m:r>
            <m:rPr/>
            <w:rPr>
              <w:rFonts w:ascii="Cambria Math" w:hAnsi="Cambria Math" w:cs="Times New Roman"/>
              <w:sz w:val="24"/>
              <w:szCs w:val="24"/>
            </w:rPr>
            <m:t>+0.5</m:t>
          </m:r>
        </m:oMath>
      </m:oMathPara>
    </w:p>
    <w:p w14:paraId="403E2438">
      <w:pPr>
        <w:tabs>
          <w:tab w:val="left" w:pos="3319"/>
        </w:tabs>
        <w:spacing w:line="480" w:lineRule="auto"/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color w:val="131413"/>
                  <w:sz w:val="24"/>
                  <w:szCs w:val="24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DOT=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sz w:val="24"/>
                  <w:szCs w:val="24"/>
                </w:rPr>
                <m:t>−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sz w:val="24"/>
                  <w:szCs w:val="24"/>
                </w:rPr>
                <m:t>+0.5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eqArr>
        </m:oMath>
      </m:oMathPara>
    </w:p>
    <w:p w14:paraId="7BEA7F2B">
      <w:pPr>
        <w:spacing w:line="48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D1: onset date of ADR, from FAERS database's event_dt field</w:t>
      </w:r>
    </w:p>
    <w:p w14:paraId="4D4A2612">
      <w:pPr>
        <w:spacing w:line="48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D2: administration start date, from FAERS database's start_dt field</w:t>
      </w:r>
    </w:p>
    <w:p w14:paraId="77695BBD">
      <w:pPr>
        <w:spacing w:line="48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D3: administration end date, from FAERS database's end_dt field</w:t>
      </w:r>
    </w:p>
    <w:p w14:paraId="77806B9B">
      <w:pPr>
        <w:spacing w:line="48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TTO: time-to-onset</w:t>
      </w:r>
    </w:p>
    <w:p w14:paraId="094876A8">
      <w:pPr>
        <w:spacing w:line="48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DOT: duration of treatment</w:t>
      </w:r>
    </w:p>
    <w:p w14:paraId="08CD5B0D">
      <w:pPr>
        <w:rPr>
          <w:rFonts w:hint="eastAsia" w:ascii="Times New Roman Regular" w:hAnsi="Times New Roman Regular" w:eastAsia="PingFang SC" w:cs="Times New Roman Regular"/>
          <w:color w:val="2A2B2E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Times New Roman Regular" w:hAnsi="Times New Roman Regular" w:eastAsia="PingFang SC" w:cs="Times New Roman Regular"/>
          <w:color w:val="2A2B2E"/>
          <w:kern w:val="0"/>
          <w:sz w:val="24"/>
          <w:szCs w:val="24"/>
          <w:shd w:val="clear" w:color="auto" w:fill="FFFFFF"/>
          <w:lang w:bidi="ar"/>
        </w:rPr>
        <w:br w:type="page"/>
      </w:r>
    </w:p>
    <w:p w14:paraId="7113A83F">
      <w:pPr>
        <w:spacing w:line="360" w:lineRule="auto"/>
        <w:rPr>
          <w:rFonts w:hint="default" w:ascii="Times New Roman" w:hAnsi="Times New Roman" w:eastAsia="PingFang SC" w:cs="Times New Roman"/>
          <w:b w:val="0"/>
          <w:bCs w:val="0"/>
          <w:color w:val="2A2B2E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PingFang SC" w:cs="Times New Roman"/>
          <w:b/>
          <w:bCs/>
          <w:color w:val="2A2B2E"/>
          <w:kern w:val="0"/>
          <w:sz w:val="24"/>
          <w:szCs w:val="24"/>
          <w:shd w:val="clear" w:color="auto" w:fill="FFFFFF"/>
          <w:lang w:val="en-US" w:eastAsia="zh-CN" w:bidi="ar"/>
        </w:rPr>
        <w:t xml:space="preserve">2 </w:t>
      </w: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Supplemental</w:t>
      </w:r>
      <w:r>
        <w:rPr>
          <w:rFonts w:hint="default" w:ascii="Times New Roman" w:hAnsi="Times New Roman" w:eastAsia="PingFang SC" w:cs="Times New Roman"/>
          <w:b/>
          <w:bCs/>
          <w:color w:val="2A2B2E"/>
          <w:kern w:val="0"/>
          <w:sz w:val="24"/>
          <w:szCs w:val="24"/>
          <w:shd w:val="clear" w:color="auto" w:fill="FFFFFF"/>
          <w:lang w:val="en-US" w:eastAsia="zh-CN" w:bidi="ar"/>
        </w:rPr>
        <w:t xml:space="preserve"> table</w:t>
      </w:r>
    </w:p>
    <w:p w14:paraId="4F10B808">
      <w:pPr>
        <w:spacing w:line="480" w:lineRule="auto"/>
        <w:rPr>
          <w:sz w:val="24"/>
          <w:szCs w:val="24"/>
        </w:rPr>
      </w:pPr>
      <w:r>
        <w:rPr>
          <w:rFonts w:hint="eastAsia" w:ascii="Times New Roman Regular" w:hAnsi="Times New Roman Regular" w:eastAsia="PingFang SC" w:cs="Times New Roman Regular"/>
          <w:b/>
          <w:bCs/>
          <w:color w:val="2A2B2E"/>
          <w:kern w:val="0"/>
          <w:sz w:val="24"/>
          <w:szCs w:val="24"/>
          <w:shd w:val="clear" w:color="auto" w:fill="FFFFFF"/>
          <w:lang w:bidi="ar"/>
        </w:rPr>
        <w:t xml:space="preserve">Table </w:t>
      </w:r>
      <w:r>
        <w:rPr>
          <w:rFonts w:ascii="Times New Roman Regular" w:hAnsi="Times New Roman Regular" w:eastAsia="PingFang SC" w:cs="Times New Roman Regular"/>
          <w:b/>
          <w:bCs/>
          <w:color w:val="2A2B2E"/>
          <w:kern w:val="0"/>
          <w:sz w:val="24"/>
          <w:szCs w:val="24"/>
          <w:shd w:val="clear" w:color="auto" w:fill="FFFFFF"/>
          <w:lang w:bidi="ar"/>
        </w:rPr>
        <w:t>S</w:t>
      </w:r>
      <w:r>
        <w:rPr>
          <w:rFonts w:hint="eastAsia" w:ascii="Times New Roman Regular" w:hAnsi="Times New Roman Regular" w:eastAsia="PingFang SC" w:cs="Times New Roman Regular"/>
          <w:b/>
          <w:bCs/>
          <w:color w:val="2A2B2E"/>
          <w:kern w:val="0"/>
          <w:sz w:val="24"/>
          <w:szCs w:val="24"/>
          <w:shd w:val="clear" w:color="auto" w:fill="FFFFFF"/>
          <w:lang w:val="en-US" w:eastAsia="zh-CN" w:bidi="ar"/>
        </w:rPr>
        <w:t>1</w:t>
      </w:r>
      <w:r>
        <w:rPr>
          <w:rFonts w:hint="eastAsia" w:ascii="Times New Roman Regular" w:hAnsi="Times New Roman Regular" w:eastAsia="PingFang SC" w:cs="Times New Roman Regular"/>
          <w:color w:val="2A2B2E"/>
          <w:kern w:val="0"/>
          <w:sz w:val="24"/>
          <w:szCs w:val="24"/>
          <w:shd w:val="clear" w:color="auto" w:fill="FFFFFF"/>
          <w:lang w:val="en-US" w:eastAsia="zh-CN" w:bidi="ar"/>
        </w:rPr>
        <w:t xml:space="preserve"> </w:t>
      </w:r>
      <w:r>
        <w:rPr>
          <w:rFonts w:ascii="Times New Roman Regular" w:hAnsi="Times New Roman Regular" w:eastAsia="PingFang SC" w:cs="Times New Roman Regular"/>
          <w:color w:val="2A2B2E"/>
          <w:kern w:val="0"/>
          <w:sz w:val="24"/>
          <w:szCs w:val="24"/>
          <w:shd w:val="clear" w:color="auto" w:fill="FFFFFF"/>
          <w:lang w:bidi="ar"/>
        </w:rPr>
        <w:t>2 × 2 contingency table</w:t>
      </w:r>
      <w:r>
        <w:rPr>
          <w:rFonts w:hint="eastAsia" w:ascii="Times New Roman Regular" w:hAnsi="Times New Roman Regular" w:eastAsia="PingFang SC" w:cs="Times New Roman Regular"/>
          <w:color w:val="2A2B2E"/>
          <w:kern w:val="0"/>
          <w:sz w:val="24"/>
          <w:szCs w:val="24"/>
          <w:shd w:val="clear" w:color="auto" w:fill="FFFFFF"/>
          <w:lang w:bidi="ar"/>
        </w:rPr>
        <w:t xml:space="preserve"> of disproportionality method</w:t>
      </w:r>
    </w:p>
    <w:tbl>
      <w:tblPr>
        <w:tblStyle w:val="4"/>
        <w:tblpPr w:leftFromText="180" w:rightFromText="180" w:vertAnchor="text" w:horzAnchor="page" w:tblpXSpec="center" w:tblpY="33"/>
        <w:tblOverlap w:val="never"/>
        <w:tblW w:w="1067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1"/>
        <w:gridCol w:w="2953"/>
        <w:gridCol w:w="3132"/>
        <w:gridCol w:w="1525"/>
      </w:tblGrid>
      <w:tr w14:paraId="10770E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3061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 w14:paraId="7836A043">
            <w:pPr>
              <w:keepNext w:val="0"/>
              <w:keepLines w:val="0"/>
              <w:suppressLineNumbers w:val="0"/>
              <w:spacing w:before="0" w:beforeAutospacing="0" w:after="0" w:afterAutospacing="0" w:line="24" w:lineRule="atLeast"/>
              <w:ind w:left="0" w:right="0"/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Item</w:t>
            </w:r>
          </w:p>
        </w:tc>
        <w:tc>
          <w:tcPr>
            <w:tcW w:w="2953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 w14:paraId="56EA3646">
            <w:pPr>
              <w:keepNext w:val="0"/>
              <w:keepLines w:val="0"/>
              <w:suppressLineNumbers w:val="0"/>
              <w:spacing w:before="0" w:beforeAutospacing="0" w:after="0" w:afterAutospacing="0" w:line="24" w:lineRule="atLeast"/>
              <w:ind w:left="0" w:right="0"/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Target adverse events reported</w:t>
            </w:r>
          </w:p>
        </w:tc>
        <w:tc>
          <w:tcPr>
            <w:tcW w:w="3132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 w14:paraId="64615B31">
            <w:pPr>
              <w:keepNext w:val="0"/>
              <w:keepLines w:val="0"/>
              <w:suppressLineNumbers w:val="0"/>
              <w:spacing w:before="0" w:beforeAutospacing="0" w:after="0" w:afterAutospacing="0" w:line="24" w:lineRule="atLeast"/>
              <w:ind w:left="0" w:right="0"/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Other adverse events reported</w:t>
            </w:r>
          </w:p>
        </w:tc>
        <w:tc>
          <w:tcPr>
            <w:tcW w:w="1525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 w14:paraId="039B917B">
            <w:pPr>
              <w:keepNext w:val="0"/>
              <w:keepLines w:val="0"/>
              <w:suppressLineNumbers w:val="0"/>
              <w:spacing w:before="0" w:beforeAutospacing="0" w:after="0" w:afterAutospacing="0" w:line="24" w:lineRule="atLeast"/>
              <w:ind w:left="0" w:right="0"/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</w:tr>
      <w:tr w14:paraId="4C0DE1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61" w:type="dxa"/>
            <w:tcBorders>
              <w:top w:val="single" w:color="auto" w:sz="4" w:space="0"/>
              <w:bottom w:val="nil"/>
            </w:tcBorders>
            <w:shd w:val="clear" w:color="auto" w:fill="auto"/>
          </w:tcPr>
          <w:p w14:paraId="5D9CE715">
            <w:pPr>
              <w:keepNext w:val="0"/>
              <w:keepLines w:val="0"/>
              <w:suppressLineNumbers w:val="0"/>
              <w:spacing w:before="0" w:beforeAutospacing="0" w:after="0" w:afterAutospacing="0" w:line="24" w:lineRule="atLeast"/>
              <w:ind w:left="0" w:right="0"/>
              <w:jc w:val="center"/>
              <w:rPr>
                <w:rFonts w:hint="eastAsia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  <w:szCs w:val="24"/>
              </w:rPr>
              <w:t>Reports with the target drug</w:t>
            </w:r>
          </w:p>
        </w:tc>
        <w:tc>
          <w:tcPr>
            <w:tcW w:w="2953" w:type="dxa"/>
            <w:tcBorders>
              <w:top w:val="single" w:color="auto" w:sz="4" w:space="0"/>
              <w:bottom w:val="nil"/>
            </w:tcBorders>
            <w:shd w:val="clear" w:color="auto" w:fill="auto"/>
          </w:tcPr>
          <w:p w14:paraId="49A84BB7">
            <w:pPr>
              <w:keepNext w:val="0"/>
              <w:keepLines w:val="0"/>
              <w:suppressLineNumbers w:val="0"/>
              <w:spacing w:before="0" w:beforeAutospacing="0" w:after="0" w:afterAutospacing="0" w:line="24" w:lineRule="atLeast"/>
              <w:ind w:left="0" w:right="0"/>
              <w:jc w:val="center"/>
              <w:rPr>
                <w:rFonts w:hint="eastAsia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  <w:szCs w:val="24"/>
              </w:rPr>
              <w:t>a</w:t>
            </w:r>
          </w:p>
        </w:tc>
        <w:tc>
          <w:tcPr>
            <w:tcW w:w="3132" w:type="dxa"/>
            <w:tcBorders>
              <w:top w:val="single" w:color="auto" w:sz="4" w:space="0"/>
              <w:bottom w:val="nil"/>
            </w:tcBorders>
            <w:shd w:val="clear" w:color="auto" w:fill="auto"/>
          </w:tcPr>
          <w:p w14:paraId="29897B5B">
            <w:pPr>
              <w:keepNext w:val="0"/>
              <w:keepLines w:val="0"/>
              <w:suppressLineNumbers w:val="0"/>
              <w:spacing w:before="0" w:beforeAutospacing="0" w:after="0" w:afterAutospacing="0" w:line="24" w:lineRule="atLeast"/>
              <w:ind w:left="0" w:right="0"/>
              <w:jc w:val="center"/>
              <w:rPr>
                <w:rFonts w:hint="eastAsia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  <w:szCs w:val="24"/>
              </w:rPr>
              <w:t>b</w:t>
            </w:r>
          </w:p>
        </w:tc>
        <w:tc>
          <w:tcPr>
            <w:tcW w:w="1525" w:type="dxa"/>
            <w:tcBorders>
              <w:top w:val="single" w:color="auto" w:sz="4" w:space="0"/>
              <w:bottom w:val="nil"/>
            </w:tcBorders>
            <w:shd w:val="clear" w:color="auto" w:fill="auto"/>
          </w:tcPr>
          <w:p w14:paraId="59E98882">
            <w:pPr>
              <w:keepNext w:val="0"/>
              <w:keepLines w:val="0"/>
              <w:suppressLineNumbers w:val="0"/>
              <w:spacing w:before="0" w:beforeAutospacing="0" w:after="0" w:afterAutospacing="0" w:line="24" w:lineRule="atLeast"/>
              <w:ind w:left="0" w:right="0"/>
              <w:jc w:val="center"/>
              <w:rPr>
                <w:rFonts w:hint="eastAsia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  <w:szCs w:val="24"/>
              </w:rPr>
              <w:t>a+b</w:t>
            </w:r>
          </w:p>
        </w:tc>
      </w:tr>
      <w:tr w14:paraId="4BC3F3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61" w:type="dxa"/>
            <w:tcBorders>
              <w:top w:val="nil"/>
              <w:bottom w:val="nil"/>
            </w:tcBorders>
          </w:tcPr>
          <w:p w14:paraId="4D68D7BF">
            <w:pPr>
              <w:keepNext w:val="0"/>
              <w:keepLines w:val="0"/>
              <w:suppressLineNumbers w:val="0"/>
              <w:spacing w:before="0" w:beforeAutospacing="0" w:after="0" w:afterAutospacing="0" w:line="24" w:lineRule="atLeast"/>
              <w:ind w:left="0" w:right="0"/>
              <w:jc w:val="center"/>
              <w:rPr>
                <w:rFonts w:hint="eastAsia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  <w:szCs w:val="24"/>
              </w:rPr>
              <w:t>All other drugs</w:t>
            </w:r>
          </w:p>
        </w:tc>
        <w:tc>
          <w:tcPr>
            <w:tcW w:w="2953" w:type="dxa"/>
            <w:tcBorders>
              <w:top w:val="nil"/>
              <w:bottom w:val="nil"/>
            </w:tcBorders>
          </w:tcPr>
          <w:p w14:paraId="38657A41">
            <w:pPr>
              <w:keepNext w:val="0"/>
              <w:keepLines w:val="0"/>
              <w:suppressLineNumbers w:val="0"/>
              <w:spacing w:before="0" w:beforeAutospacing="0" w:after="0" w:afterAutospacing="0" w:line="24" w:lineRule="atLeast"/>
              <w:ind w:left="0" w:right="0"/>
              <w:jc w:val="center"/>
              <w:rPr>
                <w:rFonts w:hint="eastAsia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  <w:szCs w:val="24"/>
              </w:rPr>
              <w:t>c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33B2E5E7">
            <w:pPr>
              <w:keepNext w:val="0"/>
              <w:keepLines w:val="0"/>
              <w:suppressLineNumbers w:val="0"/>
              <w:spacing w:before="0" w:beforeAutospacing="0" w:after="0" w:afterAutospacing="0" w:line="24" w:lineRule="atLeast"/>
              <w:ind w:left="0" w:right="0"/>
              <w:jc w:val="center"/>
              <w:rPr>
                <w:rFonts w:hint="eastAsia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  <w:szCs w:val="24"/>
              </w:rPr>
              <w:t>d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14:paraId="362F0358">
            <w:pPr>
              <w:keepNext w:val="0"/>
              <w:keepLines w:val="0"/>
              <w:suppressLineNumbers w:val="0"/>
              <w:spacing w:before="0" w:beforeAutospacing="0" w:after="0" w:afterAutospacing="0" w:line="24" w:lineRule="atLeast"/>
              <w:ind w:left="0" w:right="0"/>
              <w:jc w:val="center"/>
              <w:rPr>
                <w:rFonts w:hint="eastAsia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  <w:szCs w:val="24"/>
              </w:rPr>
              <w:t>c+d</w:t>
            </w:r>
          </w:p>
        </w:tc>
      </w:tr>
      <w:tr w14:paraId="24E08B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61" w:type="dxa"/>
            <w:tcBorders>
              <w:top w:val="nil"/>
              <w:bottom w:val="single" w:color="auto" w:sz="12" w:space="0"/>
            </w:tcBorders>
          </w:tcPr>
          <w:p w14:paraId="52B109D0">
            <w:pPr>
              <w:keepNext w:val="0"/>
              <w:keepLines w:val="0"/>
              <w:suppressLineNumbers w:val="0"/>
              <w:spacing w:before="0" w:beforeAutospacing="0" w:after="0" w:afterAutospacing="0" w:line="24" w:lineRule="atLeast"/>
              <w:ind w:left="0" w:right="0"/>
              <w:jc w:val="center"/>
              <w:rPr>
                <w:rFonts w:hint="eastAsia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  <w:szCs w:val="24"/>
              </w:rPr>
              <w:t>Total</w:t>
            </w:r>
          </w:p>
        </w:tc>
        <w:tc>
          <w:tcPr>
            <w:tcW w:w="2953" w:type="dxa"/>
            <w:tcBorders>
              <w:top w:val="nil"/>
              <w:bottom w:val="single" w:color="auto" w:sz="12" w:space="0"/>
            </w:tcBorders>
          </w:tcPr>
          <w:p w14:paraId="46176C61">
            <w:pPr>
              <w:keepNext w:val="0"/>
              <w:keepLines w:val="0"/>
              <w:suppressLineNumbers w:val="0"/>
              <w:spacing w:before="0" w:beforeAutospacing="0" w:after="0" w:afterAutospacing="0" w:line="24" w:lineRule="atLeast"/>
              <w:ind w:left="0" w:right="0"/>
              <w:jc w:val="center"/>
              <w:rPr>
                <w:rFonts w:hint="eastAsia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  <w:szCs w:val="24"/>
              </w:rPr>
              <w:t>a+c</w:t>
            </w:r>
          </w:p>
        </w:tc>
        <w:tc>
          <w:tcPr>
            <w:tcW w:w="3132" w:type="dxa"/>
            <w:tcBorders>
              <w:top w:val="nil"/>
              <w:bottom w:val="single" w:color="auto" w:sz="12" w:space="0"/>
            </w:tcBorders>
          </w:tcPr>
          <w:p w14:paraId="00B57338">
            <w:pPr>
              <w:keepNext w:val="0"/>
              <w:keepLines w:val="0"/>
              <w:suppressLineNumbers w:val="0"/>
              <w:spacing w:before="0" w:beforeAutospacing="0" w:after="0" w:afterAutospacing="0" w:line="24" w:lineRule="atLeast"/>
              <w:ind w:left="0" w:right="0"/>
              <w:jc w:val="center"/>
              <w:rPr>
                <w:rFonts w:hint="eastAsia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  <w:szCs w:val="24"/>
              </w:rPr>
              <w:t>b+d</w:t>
            </w:r>
          </w:p>
        </w:tc>
        <w:tc>
          <w:tcPr>
            <w:tcW w:w="1525" w:type="dxa"/>
            <w:tcBorders>
              <w:top w:val="nil"/>
              <w:bottom w:val="single" w:color="auto" w:sz="12" w:space="0"/>
            </w:tcBorders>
          </w:tcPr>
          <w:p w14:paraId="278F7148">
            <w:pPr>
              <w:keepNext w:val="0"/>
              <w:keepLines w:val="0"/>
              <w:suppressLineNumbers w:val="0"/>
              <w:spacing w:before="0" w:beforeAutospacing="0" w:after="0" w:afterAutospacing="0" w:line="24" w:lineRule="atLeast"/>
              <w:ind w:left="0" w:right="0"/>
              <w:jc w:val="center"/>
              <w:rPr>
                <w:rFonts w:hint="eastAsia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4"/>
                <w:szCs w:val="24"/>
                <w:lang w:val="en-US" w:eastAsia="zh-CN"/>
              </w:rPr>
              <w:t>N=</w:t>
            </w:r>
            <w:r>
              <w:rPr>
                <w:rFonts w:hint="default" w:ascii="Times New Roman Regular" w:hAnsi="Times New Roman Regular" w:cs="Times New Roman Regular"/>
                <w:kern w:val="0"/>
                <w:sz w:val="24"/>
                <w:szCs w:val="24"/>
              </w:rPr>
              <w:t>a+b+c+d</w:t>
            </w:r>
          </w:p>
        </w:tc>
      </w:tr>
    </w:tbl>
    <w:p w14:paraId="1046219E">
      <w:pPr>
        <w:rPr>
          <w:rFonts w:hint="eastAsia" w:ascii="Times New Roman Regular" w:hAnsi="Times New Roman Regular" w:eastAsia="PingFang SC" w:cs="Times New Roman Regular"/>
          <w:b w:val="0"/>
          <w:color w:val="2A2B2E"/>
          <w:kern w:val="0"/>
          <w:shd w:val="clear" w:color="auto" w:fill="FFFFFF"/>
          <w:lang w:bidi="ar"/>
        </w:rPr>
      </w:pPr>
    </w:p>
    <w:p w14:paraId="2A1E1DA4">
      <w:pPr>
        <w:rPr>
          <w:rFonts w:hint="eastAsia" w:ascii="Times New Roman Regular" w:hAnsi="Times New Roman Regular" w:eastAsia="PingFang SC" w:cs="Times New Roman Regular"/>
          <w:b w:val="0"/>
          <w:color w:val="2A2B2E"/>
          <w:kern w:val="0"/>
          <w:shd w:val="clear" w:color="auto" w:fill="FFFFFF"/>
          <w:lang w:bidi="ar"/>
        </w:rPr>
      </w:pPr>
      <w:r>
        <w:rPr>
          <w:rFonts w:hint="eastAsia" w:ascii="Times New Roman Regular" w:hAnsi="Times New Roman Regular" w:eastAsia="PingFang SC" w:cs="Times New Roman Regular"/>
          <w:b w:val="0"/>
          <w:color w:val="2A2B2E"/>
          <w:kern w:val="0"/>
          <w:shd w:val="clear" w:color="auto" w:fill="FFFFFF"/>
          <w:lang w:bidi="ar"/>
        </w:rPr>
        <w:br w:type="page"/>
      </w:r>
    </w:p>
    <w:p w14:paraId="398029A4">
      <w:pPr>
        <w:spacing w:line="48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PingFang SC" w:cs="Times New Roman"/>
          <w:b/>
          <w:bCs/>
          <w:color w:val="2A2B2E"/>
          <w:kern w:val="0"/>
          <w:sz w:val="24"/>
          <w:szCs w:val="24"/>
          <w:shd w:val="clear" w:color="auto" w:fill="FFFFFF"/>
          <w:lang w:bidi="ar"/>
        </w:rPr>
        <w:t>Table S</w:t>
      </w:r>
      <w:r>
        <w:rPr>
          <w:rFonts w:hint="default" w:ascii="Times New Roman" w:hAnsi="Times New Roman" w:eastAsia="PingFang SC" w:cs="Times New Roman"/>
          <w:b/>
          <w:bCs/>
          <w:color w:val="2A2B2E"/>
          <w:kern w:val="0"/>
          <w:sz w:val="24"/>
          <w:szCs w:val="24"/>
          <w:shd w:val="clear" w:color="auto" w:fill="FFFFFF"/>
          <w:lang w:val="en-US" w:eastAsia="zh-CN" w:bidi="ar"/>
        </w:rPr>
        <w:t>2</w:t>
      </w:r>
      <w:r>
        <w:rPr>
          <w:rFonts w:hint="default" w:ascii="Times New Roman" w:hAnsi="Times New Roman" w:eastAsia="PingFang SC" w:cs="Times New Roman"/>
          <w:b w:val="0"/>
          <w:color w:val="2A2B2E"/>
          <w:kern w:val="0"/>
          <w:sz w:val="24"/>
          <w:szCs w:val="24"/>
          <w:shd w:val="clear" w:color="auto" w:fill="FFFFFF"/>
          <w:lang w:bidi="ar"/>
        </w:rPr>
        <w:t xml:space="preserve"> </w:t>
      </w:r>
      <w:r>
        <w:rPr>
          <w:rFonts w:hint="default" w:ascii="Times New Roman" w:hAnsi="Times New Roman" w:eastAsia="等线" w:cs="Times New Roman"/>
          <w:kern w:val="2"/>
          <w:sz w:val="24"/>
          <w:szCs w:val="28"/>
          <w:lang w:val="en-US" w:eastAsia="zh-CN" w:bidi="ar"/>
        </w:rPr>
        <w:t>The formulas for disproportionate analysis for signal detection</w:t>
      </w:r>
      <w:r>
        <w:rPr>
          <w:rFonts w:hint="default" w:ascii="Times New Roman" w:hAnsi="Times New Roman" w:eastAsia="PingFang SC" w:cs="Times New Roman"/>
          <w:b w:val="0"/>
          <w:color w:val="2A2B2E"/>
          <w:kern w:val="0"/>
          <w:sz w:val="24"/>
          <w:szCs w:val="24"/>
          <w:shd w:val="clear" w:color="auto" w:fill="FFFFFF"/>
          <w:lang w:bidi="ar"/>
        </w:rPr>
        <w:t xml:space="preserve"> </w:t>
      </w:r>
    </w:p>
    <w:tbl>
      <w:tblPr>
        <w:tblStyle w:val="5"/>
        <w:tblW w:w="10079" w:type="dxa"/>
        <w:tblInd w:w="-817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8693"/>
      </w:tblGrid>
      <w:tr w14:paraId="4DFC26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386" w:type="dxa"/>
            <w:tcBorders>
              <w:tl2br w:val="nil"/>
              <w:tr2bl w:val="nil"/>
            </w:tcBorders>
          </w:tcPr>
          <w:p w14:paraId="1085E2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Method</w:t>
            </w:r>
          </w:p>
        </w:tc>
        <w:tc>
          <w:tcPr>
            <w:tcW w:w="8693" w:type="dxa"/>
            <w:tcBorders>
              <w:tl2br w:val="nil"/>
              <w:tr2bl w:val="nil"/>
            </w:tcBorders>
          </w:tcPr>
          <w:p w14:paraId="5D1F30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Calculation formula</w:t>
            </w:r>
          </w:p>
        </w:tc>
      </w:tr>
      <w:tr w14:paraId="4FC01E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86" w:type="dxa"/>
            <w:vMerge w:val="restart"/>
            <w:tcBorders>
              <w:tl2br w:val="nil"/>
              <w:tr2bl w:val="nil"/>
            </w:tcBorders>
            <w:vAlign w:val="center"/>
          </w:tcPr>
          <w:p w14:paraId="6D46B0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ROR</w:t>
            </w:r>
          </w:p>
        </w:tc>
        <w:tc>
          <w:tcPr>
            <w:tcW w:w="8693" w:type="dxa"/>
            <w:tcBorders>
              <w:bottom w:val="nil"/>
            </w:tcBorders>
          </w:tcPr>
          <w:p w14:paraId="047B58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4"/>
                    <w:szCs w:val="24"/>
                  </w:rPr>
                  <m:t>ROR=</m:t>
                </m:r>
                <m:f>
                  <m:fP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a / c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m:rPr/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b / d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</w:tr>
      <w:tr w14:paraId="5C9200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386" w:type="dxa"/>
            <w:vMerge w:val="continue"/>
            <w:tcBorders>
              <w:tl2br w:val="nil"/>
              <w:tr2bl w:val="nil"/>
            </w:tcBorders>
          </w:tcPr>
          <w:p w14:paraId="1D7B24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3" w:type="dxa"/>
            <w:tcBorders>
              <w:top w:val="nil"/>
              <w:bottom w:val="nil"/>
            </w:tcBorders>
          </w:tcPr>
          <w:p w14:paraId="2BADD0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Fonts w:hint="default" w:ascii="Cambria Math" w:hAnsi="Cambria Math" w:cs="Times New Roman"/>
                    <w:sz w:val="24"/>
                    <w:szCs w:val="24"/>
                  </w:rPr>
                  <m:t>SE(lnROR)</m:t>
                </m:r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radPr>
                  <m:deg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deg>
                  <m:e>
                    <m:f>
                      <m:fP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den>
                    </m:f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den>
                    </m:f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den>
                    </m:f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d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den>
                    </m:f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e>
                </m:rad>
              </m:oMath>
            </m:oMathPara>
          </w:p>
        </w:tc>
      </w:tr>
      <w:tr w14:paraId="27B5C1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86" w:type="dxa"/>
            <w:vMerge w:val="continue"/>
            <w:tcBorders>
              <w:tl2br w:val="nil"/>
              <w:tr2bl w:val="nil"/>
            </w:tcBorders>
          </w:tcPr>
          <w:p w14:paraId="30746A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3" w:type="dxa"/>
            <w:tcBorders>
              <w:top w:val="nil"/>
            </w:tcBorders>
          </w:tcPr>
          <w:p w14:paraId="1D0C81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Fonts w:hint="default" w:ascii="Cambria Math" w:hAnsi="Cambria Math" w:cs="Times New Roman"/>
                    <w:sz w:val="24"/>
                    <w:szCs w:val="24"/>
                  </w:rPr>
                  <m:t>95%CI</m:t>
                </m:r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4"/>
                    <w:szCs w:val="24"/>
                  </w:rPr>
                  <m:t xml:space="preserve">= </m:t>
                </m:r>
                <m:sSup>
                  <m:sSupP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e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func>
                      <m:funcPr>
                        <m:ctrlPr>
                          <w:rPr>
                            <w:rFonts w:hint="default"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ln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hint="default" w:ascii="Cambria Math" w:hAnsi="Cambria Math" w:cs="Times New Roman"/>
                                <w:sz w:val="24"/>
                                <w:szCs w:val="24"/>
                              </w:rPr>
                              <m:t>ROR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ctrlPr>
                          <w:rPr>
                            <w:rFonts w:hint="default"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</m:func>
                    <m:r>
                      <m:rPr/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±1.96</m:t>
                    </m:r>
                    <m:r>
                      <m:rPr/>
                      <w:rPr>
                        <w:rFonts w:hint="default" w:ascii="Cambria Math" w:hAnsi="Cambria Math" w:cs="Times New Roman"/>
                        <w:sz w:val="24"/>
                        <w:szCs w:val="24"/>
                        <w:lang w:val="en-US" w:eastAsia="zh-CN"/>
                      </w:rPr>
                      <m:t>SE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oMath>
            </m:oMathPara>
          </w:p>
        </w:tc>
      </w:tr>
      <w:tr w14:paraId="57D6D7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6" w:type="dxa"/>
            <w:vMerge w:val="restart"/>
            <w:tcBorders>
              <w:tl2br w:val="nil"/>
              <w:tr2bl w:val="nil"/>
            </w:tcBorders>
            <w:vAlign w:val="center"/>
          </w:tcPr>
          <w:p w14:paraId="6C2441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PRR</w:t>
            </w:r>
          </w:p>
        </w:tc>
        <w:tc>
          <w:tcPr>
            <w:tcW w:w="8693" w:type="dxa"/>
            <w:tcBorders>
              <w:bottom w:val="nil"/>
            </w:tcBorders>
            <w:vAlign w:val="center"/>
          </w:tcPr>
          <w:p w14:paraId="2A6C74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4"/>
                    <w:szCs w:val="24"/>
                  </w:rPr>
                  <m:t>PRR=</m:t>
                </m:r>
                <m:f>
                  <m:fP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a / (a+b)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m:rPr/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c / (c+d)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</w:tr>
      <w:tr w14:paraId="7D7716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6" w:type="dxa"/>
            <w:vMerge w:val="continue"/>
            <w:tcBorders>
              <w:tl2br w:val="nil"/>
              <w:tr2bl w:val="nil"/>
            </w:tcBorders>
          </w:tcPr>
          <w:p w14:paraId="7E1544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3" w:type="dxa"/>
            <w:tcBorders>
              <w:top w:val="nil"/>
              <w:bottom w:val="nil"/>
            </w:tcBorders>
          </w:tcPr>
          <w:p w14:paraId="691B68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Fonts w:hint="default" w:ascii="Cambria Math" w:hAnsi="Cambria Math" w:cs="Times New Roman"/>
                    <w:sz w:val="24"/>
                    <w:szCs w:val="24"/>
                  </w:rPr>
                  <m:t>SE(lnPRR)</m:t>
                </m:r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radPr>
                  <m:deg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deg>
                  <m:e>
                    <m:f>
                      <m:fP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den>
                    </m:f>
                    <m:r>
                      <m:rPr/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−</m:t>
                    </m:r>
                    <m:f>
                      <m:fP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a+b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den>
                    </m:f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den>
                    </m:f>
                    <m:r>
                      <m:rPr/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−</m:t>
                    </m:r>
                    <m:f>
                      <m:fP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c+d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den>
                    </m:f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e>
                </m:rad>
              </m:oMath>
            </m:oMathPara>
          </w:p>
        </w:tc>
      </w:tr>
      <w:tr w14:paraId="50C5C5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386" w:type="dxa"/>
            <w:vMerge w:val="continue"/>
            <w:tcBorders>
              <w:tl2br w:val="nil"/>
              <w:tr2bl w:val="nil"/>
            </w:tcBorders>
          </w:tcPr>
          <w:p w14:paraId="2CD94A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3" w:type="dxa"/>
            <w:tcBorders>
              <w:top w:val="nil"/>
            </w:tcBorders>
          </w:tcPr>
          <w:p w14:paraId="6D37EE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Fonts w:hint="default" w:ascii="Cambria Math" w:hAnsi="Cambria Math" w:cs="Times New Roman"/>
                    <w:sz w:val="24"/>
                    <w:szCs w:val="24"/>
                  </w:rPr>
                  <m:t>95%CI</m:t>
                </m:r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4"/>
                    <w:szCs w:val="24"/>
                  </w:rPr>
                  <m:t xml:space="preserve">= </m:t>
                </m:r>
                <m:sSup>
                  <m:sSupP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e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func>
                      <m:funcPr>
                        <m:ctrlPr>
                          <w:rPr>
                            <w:rFonts w:hint="default"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ln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hint="default" w:ascii="Cambria Math" w:hAnsi="Cambria Math" w:cs="Times New Roman"/>
                                <w:sz w:val="24"/>
                                <w:szCs w:val="24"/>
                              </w:rPr>
                              <m:t>PRR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ctrlPr>
                          <w:rPr>
                            <w:rFonts w:hint="default"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</m:func>
                    <m:r>
                      <m:rPr/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±1.96</m:t>
                    </m:r>
                    <m:r>
                      <m:rPr/>
                      <w:rPr>
                        <w:rFonts w:hint="default" w:ascii="Cambria Math" w:hAnsi="Cambria Math" w:cs="Times New Roman"/>
                        <w:sz w:val="24"/>
                        <w:szCs w:val="24"/>
                        <w:lang w:val="en-US" w:eastAsia="zh-CN"/>
                      </w:rPr>
                      <m:t>SE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oMath>
            </m:oMathPara>
          </w:p>
        </w:tc>
      </w:tr>
      <w:tr w14:paraId="3F8755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6" w:type="dxa"/>
            <w:vMerge w:val="restart"/>
            <w:tcBorders>
              <w:tl2br w:val="nil"/>
              <w:tr2bl w:val="nil"/>
            </w:tcBorders>
            <w:vAlign w:val="center"/>
          </w:tcPr>
          <w:p w14:paraId="2FFCD5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BCPNN</w:t>
            </w:r>
          </w:p>
        </w:tc>
        <w:tc>
          <w:tcPr>
            <w:tcW w:w="8693" w:type="dxa"/>
            <w:tcBorders>
              <w:bottom w:val="nil"/>
            </w:tcBorders>
            <w:vAlign w:val="center"/>
          </w:tcPr>
          <w:p w14:paraId="06CFD7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hint="eastAsia" w:ascii="Cambria Math" w:hAnsi="Cambria Math" w:cs="Times New Roman"/>
                    <w:sz w:val="24"/>
                    <w:szCs w:val="24"/>
                  </w:rPr>
                  <m:t>IC=</m:t>
                </m:r>
                <m:sSub>
                  <m:sSubPr>
                    <m:ctrl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  <m:t>log</m:t>
                    </m:r>
                    <m:ctrl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</m:ctrlPr>
                  </m:sub>
                </m:sSub>
                <m:d>
                  <m:dPr>
                    <m:ctrlPr>
                      <w:rPr>
                        <w:rFonts w:hint="eastAsia" w:ascii="Cambria Math" w:hAnsi="Cambria Math" w:eastAsia="BhcvwlAdvP4C4E74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hint="eastAsia" w:ascii="Cambria Math" w:hAnsi="Cambria Math" w:eastAsia="BhcvwlAdvP4C4E74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  <m:t>N</m:t>
                            </m:r>
                            <m:ctrl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</m:ctrlP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  <m:t>observed</m:t>
                            </m:r>
                            <m:ctrl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</m:ctrlP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hint="eastAsia" w:ascii="Cambria Math" w:hAnsi="Cambria Math" w:eastAsia="BhcvwlAdvP4C4E74" w:cs="Times New Roman"/>
                            <w:sz w:val="24"/>
                            <w:szCs w:val="24"/>
                          </w:rPr>
                          <m:t>+ 0.5</m:t>
                        </m:r>
                        <m:ctrlPr>
                          <w:rPr>
                            <w:rFonts w:hint="eastAsia" w:ascii="Cambria Math" w:hAnsi="Cambria Math" w:eastAsia="BhcvwlAdvP4C4E74" w:cs="Times New Roman"/>
                            <w:sz w:val="24"/>
                            <w:szCs w:val="24"/>
                          </w:rPr>
                        </m:ctrlPr>
                      </m:num>
                      <m:den>
                        <m:sSub>
                          <m:sSubPr>
                            <m:ctrl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  <m:t>N</m:t>
                            </m:r>
                            <m:ctrl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</m:ctrlP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  <m:t>expected</m:t>
                            </m:r>
                            <m:ctrl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</m:ctrlP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hint="eastAsia" w:ascii="Cambria Math" w:hAnsi="Cambria Math" w:eastAsia="BhcvwlAdvP4C4E74" w:cs="Times New Roman"/>
                            <w:sz w:val="24"/>
                            <w:szCs w:val="24"/>
                          </w:rPr>
                          <m:t>+ 0.5</m:t>
                        </m:r>
                        <m:ctrlPr>
                          <w:rPr>
                            <w:rFonts w:hint="eastAsia" w:ascii="Cambria Math" w:hAnsi="Cambria Math" w:eastAsia="BhcvwlAdvP4C4E74" w:cs="Times New Roman"/>
                            <w:sz w:val="24"/>
                            <w:szCs w:val="24"/>
                          </w:rPr>
                        </m:ctrlPr>
                      </m:den>
                    </m:f>
                    <m:ctrlPr>
                      <w:rPr>
                        <w:rFonts w:hint="eastAsia" w:ascii="Cambria Math" w:hAnsi="Cambria Math" w:eastAsia="BhcvwlAdvP4C4E74" w:cs="Times New Roman"/>
                        <w:sz w:val="24"/>
                        <w:szCs w:val="24"/>
                      </w:rPr>
                    </m:ctrlPr>
                  </m:e>
                </m:d>
              </m:oMath>
            </m:oMathPara>
          </w:p>
        </w:tc>
      </w:tr>
      <w:tr w14:paraId="65190E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6" w:type="dxa"/>
            <w:vMerge w:val="continue"/>
            <w:tcBorders>
              <w:tl2br w:val="nil"/>
              <w:tr2bl w:val="nil"/>
            </w:tcBorders>
          </w:tcPr>
          <w:p w14:paraId="0F1F3C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3" w:type="dxa"/>
            <w:tcBorders>
              <w:top w:val="nil"/>
              <w:bottom w:val="nil"/>
            </w:tcBorders>
          </w:tcPr>
          <w:p w14:paraId="6EDD93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hint="eastAsia" w:ascii="Cambria Math" w:hAnsi="Cambria Math" w:eastAsia="BhcvwlAdvP4C4E74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eastAsia" w:ascii="Cambria Math" w:hAnsi="Cambria Math" w:eastAsia="BhcvwlAdvP4C4E74" w:cs="Times New Roman"/>
                        <w:sz w:val="24"/>
                        <w:szCs w:val="24"/>
                      </w:rPr>
                      <m:t>N</m:t>
                    </m:r>
                    <m:ctrlPr>
                      <w:rPr>
                        <w:rFonts w:hint="eastAsia" w:ascii="Cambria Math" w:hAnsi="Cambria Math" w:eastAsia="BhcvwlAdvP4C4E74" w:cs="Times New Roman"/>
                        <w:sz w:val="24"/>
                        <w:szCs w:val="24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eastAsia" w:ascii="Cambria Math" w:hAnsi="Cambria Math" w:eastAsia="BhcvwlAdvP4C4E74" w:cs="Times New Roman"/>
                        <w:sz w:val="24"/>
                        <w:szCs w:val="24"/>
                      </w:rPr>
                      <m:t>expected</m:t>
                    </m:r>
                    <m:ctrlPr>
                      <w:rPr>
                        <w:rFonts w:hint="eastAsia" w:ascii="Cambria Math" w:hAnsi="Cambria Math" w:eastAsia="BhcvwlAdvP4C4E74" w:cs="Times New Roman"/>
                        <w:sz w:val="24"/>
                        <w:szCs w:val="24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eastAsia"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hint="eastAsia"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hint="eastAsia" w:ascii="Cambria Math" w:hAnsi="Cambria Math" w:cs="Times New Roman"/>
                                <w:sz w:val="24"/>
                                <w:szCs w:val="24"/>
                              </w:rPr>
                              <m:t>N</m:t>
                            </m:r>
                            <m:ctrlPr>
                              <w:rPr>
                                <w:rFonts w:hint="eastAsia"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hint="eastAsia" w:ascii="Cambria Math" w:hAnsi="Cambria Math" w:cs="Times New Roman"/>
                                <w:sz w:val="24"/>
                                <w:szCs w:val="24"/>
                              </w:rPr>
                              <m:t>drug</m:t>
                            </m:r>
                            <m:ctrlPr>
                              <w:rPr>
                                <w:rFonts w:hint="eastAsia"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  <m:t>∗</m:t>
                        </m:r>
                        <m:sSub>
                          <m:sSubPr>
                            <m:ctrlPr>
                              <w:rPr>
                                <w:rFonts w:hint="eastAsia"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hint="eastAsia" w:ascii="Cambria Math" w:hAnsi="Cambria Math" w:cs="Times New Roman"/>
                                <w:sz w:val="24"/>
                                <w:szCs w:val="24"/>
                              </w:rPr>
                              <m:t>N</m:t>
                            </m:r>
                            <m:ctrlPr>
                              <w:rPr>
                                <w:rFonts w:hint="eastAsia"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hint="eastAsia" w:ascii="Cambria Math" w:hAnsi="Cambria Math" w:cs="Times New Roman"/>
                                <w:sz w:val="24"/>
                                <w:szCs w:val="24"/>
                              </w:rPr>
                              <m:t>effect</m:t>
                            </m:r>
                            <m:ctrlPr>
                              <w:rPr>
                                <w:rFonts w:hint="eastAsia"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sub>
                        </m:sSub>
                        <m:ctrl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</m:d>
                    <m:ctrl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  <m:ctrl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  <m:t>total</m:t>
                        </m:r>
                        <m:ctrl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</m:ctrlPr>
                      </m:sub>
                    </m:sSub>
                    <m:ctrl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</w:tr>
      <w:tr w14:paraId="48F8DF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6" w:type="dxa"/>
            <w:vMerge w:val="continue"/>
            <w:tcBorders>
              <w:tl2br w:val="nil"/>
              <w:tr2bl w:val="nil"/>
            </w:tcBorders>
          </w:tcPr>
          <w:p w14:paraId="5DCD67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3" w:type="dxa"/>
            <w:tcBorders>
              <w:top w:val="nil"/>
            </w:tcBorders>
          </w:tcPr>
          <w:p w14:paraId="1A78D9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  <m:t>IC</m:t>
                    </m:r>
                    <m:ctrl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  <m:t>025</m:t>
                    </m:r>
                    <m:ctrl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eastAsia" w:ascii="Cambria Math" w:hAnsi="Cambria Math" w:cs="Times New Roman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  <m:t>log</m:t>
                    </m:r>
                    <m:ctrl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</m:ctrlPr>
                  </m:sub>
                </m:sSub>
                <m:d>
                  <m:dPr>
                    <m:ctrlPr>
                      <w:rPr>
                        <w:rFonts w:hint="eastAsia" w:ascii="Cambria Math" w:hAnsi="Cambria Math" w:eastAsia="BhcvwlAdvP4C4E74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hint="eastAsia" w:ascii="Cambria Math" w:hAnsi="Cambria Math" w:eastAsia="BhcvwlAdvP4C4E74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  <m:t>N</m:t>
                            </m:r>
                            <m:ctrl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</m:ctrlP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  <m:t>observed</m:t>
                            </m:r>
                            <m:ctrl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</m:ctrlP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hint="eastAsia" w:ascii="Cambria Math" w:hAnsi="Cambria Math" w:eastAsia="BhcvwlAdvP4C4E74" w:cs="Times New Roman"/>
                            <w:sz w:val="24"/>
                            <w:szCs w:val="24"/>
                          </w:rPr>
                          <m:t>+ 0.5</m:t>
                        </m:r>
                        <m:ctrlPr>
                          <w:rPr>
                            <w:rFonts w:hint="eastAsia" w:ascii="Cambria Math" w:hAnsi="Cambria Math" w:eastAsia="BhcvwlAdvP4C4E74" w:cs="Times New Roman"/>
                            <w:sz w:val="24"/>
                            <w:szCs w:val="24"/>
                          </w:rPr>
                        </m:ctrlPr>
                      </m:num>
                      <m:den>
                        <m:sSub>
                          <m:sSubPr>
                            <m:ctrl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  <m:t>N</m:t>
                            </m:r>
                            <m:ctrl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</m:ctrlP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  <m:t>expected</m:t>
                            </m:r>
                            <m:ctrl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</m:ctrlP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hint="eastAsia" w:ascii="Cambria Math" w:hAnsi="Cambria Math" w:eastAsia="BhcvwlAdvP4C4E74" w:cs="Times New Roman"/>
                            <w:sz w:val="24"/>
                            <w:szCs w:val="24"/>
                          </w:rPr>
                          <m:t>+ 0.5</m:t>
                        </m:r>
                        <m:ctrlPr>
                          <w:rPr>
                            <w:rFonts w:hint="eastAsia" w:ascii="Cambria Math" w:hAnsi="Cambria Math" w:eastAsia="BhcvwlAdvP4C4E74" w:cs="Times New Roman"/>
                            <w:sz w:val="24"/>
                            <w:szCs w:val="24"/>
                          </w:rPr>
                        </m:ctrlPr>
                      </m:den>
                    </m:f>
                    <m:ctrlPr>
                      <w:rPr>
                        <w:rFonts w:hint="eastAsia" w:ascii="Cambria Math" w:hAnsi="Cambria Math" w:eastAsia="BhcvwlAdvP4C4E74" w:cs="Times New Roman"/>
                        <w:sz w:val="24"/>
                        <w:szCs w:val="24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hint="eastAsia" w:ascii="Cambria Math" w:hAnsi="Cambria Math" w:cs="Times New Roman"/>
                    <w:sz w:val="24"/>
                    <w:szCs w:val="24"/>
                  </w:rPr>
                  <m:t>−3.3∗</m:t>
                </m:r>
                <m:sSup>
                  <m:sSupPr>
                    <m:ctrl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  <m:t>N</m:t>
                            </m:r>
                            <m:ctrl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</m:ctrlP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  <m:t>observed</m:t>
                            </m:r>
                            <m:ctrl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</m:ctrlP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  <m:t>+0.5</m:t>
                        </m:r>
                        <m:ctrl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</m:d>
                    <m:ctrl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  <m:t>−</m:t>
                    </m:r>
                    <m:f>
                      <m:fPr>
                        <m:ctrl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  <m:ctrl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  <m:ctrl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</m:ctrlPr>
                      </m:den>
                    </m:f>
                    <m:ctrl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  <m:r>
                  <m:rPr>
                    <m:sty m:val="p"/>
                  </m:rPr>
                  <w:rPr>
                    <w:rFonts w:hint="eastAsia" w:ascii="Cambria Math" w:hAnsi="Cambria Math" w:cs="Times New Roman"/>
                    <w:sz w:val="24"/>
                    <w:szCs w:val="24"/>
                  </w:rPr>
                  <m:t>−2∗</m:t>
                </m:r>
                <m:sSup>
                  <m:sSupPr>
                    <m:ctrl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  <m:t>N</m:t>
                            </m:r>
                            <m:ctrl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</m:ctrlP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  <m:t>observed</m:t>
                            </m:r>
                            <m:ctrlPr>
                              <w:rPr>
                                <w:rFonts w:hint="eastAsia" w:ascii="Cambria Math" w:hAnsi="Cambria Math" w:eastAsia="BhcvwlAdvP4C4E74" w:cs="Times New Roman"/>
                                <w:sz w:val="24"/>
                                <w:szCs w:val="24"/>
                              </w:rPr>
                            </m:ctrlP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  <m:t>+0.5</m:t>
                        </m:r>
                        <m:ctrl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</m:d>
                    <m:ctrl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  <m:t>−</m:t>
                    </m:r>
                    <m:f>
                      <m:fPr>
                        <m:ctrl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  <m:ctrl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  <m:ctrlPr>
                          <w:rPr>
                            <w:rFonts w:hint="eastAsia" w:ascii="Cambria Math" w:hAnsi="Cambria Math" w:cs="Times New Roman"/>
                            <w:sz w:val="24"/>
                            <w:szCs w:val="24"/>
                          </w:rPr>
                        </m:ctrlPr>
                      </m:den>
                    </m:f>
                    <m:ctrlPr>
                      <w:rPr>
                        <w:rFonts w:hint="eastAsia"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oMath>
            </m:oMathPara>
          </w:p>
        </w:tc>
      </w:tr>
      <w:tr w14:paraId="5FBED3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6" w:type="dxa"/>
            <w:vMerge w:val="restart"/>
            <w:tcBorders>
              <w:tl2br w:val="nil"/>
              <w:tr2bl w:val="nil"/>
            </w:tcBorders>
            <w:vAlign w:val="center"/>
          </w:tcPr>
          <w:p w14:paraId="441FBD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EBGM</w:t>
            </w:r>
          </w:p>
        </w:tc>
        <w:tc>
          <w:tcPr>
            <w:tcW w:w="8693" w:type="dxa"/>
            <w:tcBorders>
              <w:bottom w:val="nil"/>
            </w:tcBorders>
          </w:tcPr>
          <w:p w14:paraId="31DCCE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4"/>
                    <w:szCs w:val="24"/>
                  </w:rPr>
                  <m:t>EBGM=</m:t>
                </m:r>
                <m:f>
                  <m:fP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/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a(a+b+c+d)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num>
                  <m:den>
                    <m:d>
                      <m:dPr>
                        <m:ctrlPr>
                          <w:rPr>
                            <w:rFonts w:hint="default"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/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a+c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</m:d>
                    <m:r>
                      <m:rPr/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(a+b)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</w:tr>
      <w:tr w14:paraId="5FBC0B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86" w:type="dxa"/>
            <w:vMerge w:val="continue"/>
            <w:tcBorders>
              <w:tl2br w:val="nil"/>
              <w:tr2bl w:val="nil"/>
            </w:tcBorders>
          </w:tcPr>
          <w:p w14:paraId="5CD966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3" w:type="dxa"/>
            <w:tcBorders>
              <w:top w:val="nil"/>
              <w:bottom w:val="nil"/>
            </w:tcBorders>
          </w:tcPr>
          <w:p w14:paraId="728C90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Fonts w:hint="default" w:ascii="Cambria Math" w:hAnsi="Cambria Math" w:cs="Times New Roman"/>
                    <w:sz w:val="24"/>
                    <w:szCs w:val="24"/>
                  </w:rPr>
                  <m:t>SE(lnEBGM)</m:t>
                </m:r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radPr>
                  <m:deg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deg>
                  <m:e>
                    <m:f>
                      <m:fP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den>
                    </m:f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den>
                    </m:f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den>
                    </m:f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d</m:t>
                        </m:r>
                        <m:ctrl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</m:ctrlPr>
                      </m:den>
                    </m:f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e>
                </m:rad>
              </m:oMath>
            </m:oMathPara>
          </w:p>
        </w:tc>
      </w:tr>
      <w:tr w14:paraId="5D1A24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6" w:type="dxa"/>
            <w:vMerge w:val="continue"/>
            <w:tcBorders>
              <w:tl2br w:val="nil"/>
              <w:tr2bl w:val="nil"/>
            </w:tcBorders>
          </w:tcPr>
          <w:p w14:paraId="0A75B1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3" w:type="dxa"/>
            <w:tcBorders>
              <w:top w:val="nil"/>
            </w:tcBorders>
          </w:tcPr>
          <w:p w14:paraId="7C5BF4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Fonts w:hint="default" w:ascii="Cambria Math" w:hAnsi="Cambria Math" w:cs="Times New Roman"/>
                    <w:sz w:val="24"/>
                    <w:szCs w:val="24"/>
                  </w:rPr>
                  <m:t>95%CI</m:t>
                </m:r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4"/>
                    <w:szCs w:val="24"/>
                  </w:rPr>
                  <m:t xml:space="preserve">= </m:t>
                </m:r>
                <m:sSup>
                  <m:sSupP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e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func>
                      <m:funcPr>
                        <m:ctrlPr>
                          <w:rPr>
                            <w:rFonts w:hint="default"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sz w:val="24"/>
                            <w:szCs w:val="24"/>
                          </w:rPr>
                          <m:t>ln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hint="default" w:ascii="Cambria Math" w:hAnsi="Cambria Math" w:cs="Times New Roman"/>
                                <w:sz w:val="24"/>
                                <w:szCs w:val="24"/>
                              </w:rPr>
                              <m:t>EBGM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ctrlPr>
                          <w:rPr>
                            <w:rFonts w:hint="default"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</m:func>
                    <m:r>
                      <m:rPr/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  <m:t>±1.96</m:t>
                    </m:r>
                    <m:r>
                      <m:rPr/>
                      <w:rPr>
                        <w:rFonts w:hint="default" w:ascii="Cambria Math" w:hAnsi="Cambria Math" w:cs="Times New Roman"/>
                        <w:sz w:val="24"/>
                        <w:szCs w:val="24"/>
                        <w:lang w:val="en-US" w:eastAsia="zh-CN"/>
                      </w:rPr>
                      <m:t>SE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oMath>
            </m:oMathPara>
          </w:p>
        </w:tc>
      </w:tr>
    </w:tbl>
    <w:p w14:paraId="3EFFBA9F">
      <w:pPr>
        <w:adjustRightInd w:val="0"/>
        <w:spacing w:line="48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31413"/>
          <w:w w:val="90"/>
          <w:sz w:val="24"/>
          <w:szCs w:val="24"/>
        </w:rPr>
        <w:t>N</w:t>
      </w:r>
      <w:r>
        <w:rPr>
          <w:rFonts w:ascii="Times New Roman" w:hAnsi="Times New Roman" w:cs="Times New Roman"/>
          <w:color w:val="131413"/>
          <w:w w:val="90"/>
          <w:sz w:val="24"/>
          <w:szCs w:val="24"/>
          <w:vertAlign w:val="subscript"/>
        </w:rPr>
        <w:t>expected</w:t>
      </w:r>
      <w:r>
        <w:rPr>
          <w:rFonts w:hint="eastAsia" w:ascii="Times New Roman" w:hAnsi="Times New Roman" w:cs="Times New Roman"/>
          <w:color w:val="131413"/>
          <w:w w:val="90"/>
          <w:sz w:val="24"/>
          <w:szCs w:val="24"/>
          <w:lang w:val="en-US" w:eastAsia="zh-CN"/>
        </w:rPr>
        <w:t>,</w:t>
      </w:r>
      <w:r>
        <w:rPr>
          <w:rFonts w:ascii="Times New Roman" w:hAnsi="Times New Roman" w:cs="Times New Roman"/>
          <w:color w:val="131413"/>
          <w:sz w:val="24"/>
          <w:szCs w:val="24"/>
        </w:rPr>
        <w:t xml:space="preserve"> the number of case reports expected for the drug-ADR pairs</w:t>
      </w:r>
      <w:r>
        <w:rPr>
          <w:rFonts w:hint="eastAsia" w:ascii="Times New Roman" w:hAnsi="Times New Roman" w:cs="Times New Roman"/>
          <w:color w:val="131413"/>
          <w:sz w:val="24"/>
          <w:szCs w:val="24"/>
          <w:lang w:val="en-US" w:eastAsia="zh-CN"/>
        </w:rPr>
        <w:t xml:space="preserve">; </w:t>
      </w:r>
      <w:r>
        <w:rPr>
          <w:rFonts w:ascii="Times New Roman" w:hAnsi="Times New Roman" w:cs="Times New Roman"/>
          <w:color w:val="131413"/>
          <w:w w:val="90"/>
          <w:sz w:val="24"/>
          <w:szCs w:val="24"/>
        </w:rPr>
        <w:t>N</w:t>
      </w:r>
      <w:r>
        <w:rPr>
          <w:rFonts w:ascii="Times New Roman" w:hAnsi="Times New Roman" w:cs="Times New Roman"/>
          <w:color w:val="131413"/>
          <w:w w:val="90"/>
          <w:sz w:val="24"/>
          <w:szCs w:val="24"/>
          <w:vertAlign w:val="subscript"/>
        </w:rPr>
        <w:t>observed</w:t>
      </w:r>
      <w:r>
        <w:rPr>
          <w:rFonts w:hint="eastAsia" w:ascii="Times New Roman" w:hAnsi="Times New Roman" w:cs="Times New Roman"/>
          <w:color w:val="131413"/>
          <w:w w:val="90"/>
          <w:sz w:val="24"/>
          <w:szCs w:val="24"/>
          <w:lang w:val="en-US" w:eastAsia="zh-CN"/>
        </w:rPr>
        <w:t>,</w:t>
      </w:r>
      <w:r>
        <w:rPr>
          <w:rFonts w:ascii="Times New Roman" w:hAnsi="Times New Roman" w:cs="Times New Roman"/>
          <w:color w:val="131413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31413"/>
          <w:sz w:val="24"/>
          <w:szCs w:val="24"/>
        </w:rPr>
        <w:t>the actual number of case reports for the drug-ADR pairs</w:t>
      </w:r>
      <w:r>
        <w:rPr>
          <w:rFonts w:hint="eastAsia" w:ascii="Times New Roman" w:hAnsi="Times New Roman" w:cs="Times New Roman"/>
          <w:color w:val="131413"/>
          <w:sz w:val="24"/>
          <w:szCs w:val="24"/>
          <w:lang w:val="en-US" w:eastAsia="zh-CN"/>
        </w:rPr>
        <w:t xml:space="preserve">; </w:t>
      </w:r>
      <w:r>
        <w:rPr>
          <w:rFonts w:ascii="Times New Roman" w:hAnsi="Times New Roman" w:cs="Times New Roman"/>
          <w:color w:val="131413"/>
          <w:w w:val="90"/>
          <w:sz w:val="24"/>
          <w:szCs w:val="24"/>
        </w:rPr>
        <w:t>N</w:t>
      </w:r>
      <w:r>
        <w:rPr>
          <w:rFonts w:ascii="Times New Roman" w:hAnsi="Times New Roman" w:cs="Times New Roman"/>
          <w:color w:val="131413"/>
          <w:w w:val="90"/>
          <w:sz w:val="24"/>
          <w:szCs w:val="24"/>
          <w:vertAlign w:val="subscript"/>
        </w:rPr>
        <w:t>effect</w:t>
      </w:r>
      <w:r>
        <w:rPr>
          <w:rFonts w:hint="eastAsia" w:ascii="Times New Roman" w:hAnsi="Times New Roman" w:cs="Times New Roman"/>
          <w:color w:val="131413"/>
          <w:w w:val="90"/>
          <w:sz w:val="24"/>
          <w:szCs w:val="24"/>
          <w:lang w:val="en-US" w:eastAsia="zh-CN"/>
        </w:rPr>
        <w:t>,</w:t>
      </w:r>
      <w:r>
        <w:rPr>
          <w:rFonts w:ascii="Times New Roman" w:hAnsi="Times New Roman" w:cs="Times New Roman"/>
          <w:color w:val="131413"/>
          <w:sz w:val="24"/>
          <w:szCs w:val="24"/>
        </w:rPr>
        <w:t xml:space="preserve"> the number of case reports for the ADR, regardless of the drug</w:t>
      </w:r>
      <w:r>
        <w:rPr>
          <w:rFonts w:hint="eastAsia" w:ascii="Times New Roman" w:hAnsi="Times New Roman" w:cs="Times New Roman"/>
          <w:color w:val="131413"/>
          <w:sz w:val="24"/>
          <w:szCs w:val="24"/>
          <w:lang w:val="en-US" w:eastAsia="zh-CN"/>
        </w:rPr>
        <w:t xml:space="preserve">; </w:t>
      </w:r>
      <w:r>
        <w:rPr>
          <w:rFonts w:ascii="Times New Roman" w:hAnsi="Times New Roman" w:cs="Times New Roman"/>
          <w:color w:val="131413"/>
          <w:w w:val="90"/>
          <w:sz w:val="24"/>
          <w:szCs w:val="24"/>
        </w:rPr>
        <w:t>N</w:t>
      </w:r>
      <w:r>
        <w:rPr>
          <w:rFonts w:ascii="Times New Roman" w:hAnsi="Times New Roman" w:cs="Times New Roman"/>
          <w:color w:val="131413"/>
          <w:w w:val="90"/>
          <w:sz w:val="24"/>
          <w:szCs w:val="24"/>
          <w:vertAlign w:val="subscript"/>
        </w:rPr>
        <w:t>total</w:t>
      </w:r>
      <w:r>
        <w:rPr>
          <w:rFonts w:hint="eastAsia" w:ascii="Times New Roman" w:hAnsi="Times New Roman" w:cs="Times New Roman"/>
          <w:color w:val="131413"/>
          <w:w w:val="90"/>
          <w:sz w:val="24"/>
          <w:szCs w:val="24"/>
          <w:lang w:val="en-US" w:eastAsia="zh-CN"/>
        </w:rPr>
        <w:t>,</w:t>
      </w:r>
      <w:r>
        <w:rPr>
          <w:rFonts w:ascii="Times New Roman" w:hAnsi="Times New Roman" w:cs="Times New Roman"/>
          <w:color w:val="131413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31413"/>
          <w:sz w:val="24"/>
          <w:szCs w:val="24"/>
        </w:rPr>
        <w:t>the total number of case reports in the database</w:t>
      </w:r>
      <w:r>
        <w:rPr>
          <w:rFonts w:hint="eastAsia" w:ascii="Times New Roman" w:hAnsi="Times New Roman" w:cs="Times New Roman"/>
          <w:color w:val="131413"/>
          <w:sz w:val="24"/>
          <w:szCs w:val="24"/>
          <w:lang w:val="en-US" w:eastAsia="zh-CN"/>
        </w:rPr>
        <w:t>;</w:t>
      </w:r>
      <w:r>
        <w:rPr>
          <w:rFonts w:ascii="Times New Roman" w:hAnsi="Times New Roman" w:cs="Times New Roman"/>
          <w:color w:val="131413"/>
          <w:sz w:val="24"/>
          <w:szCs w:val="24"/>
        </w:rPr>
        <w:t xml:space="preserve"> N</w:t>
      </w:r>
      <w:r>
        <w:rPr>
          <w:rFonts w:ascii="Times New Roman" w:hAnsi="Times New Roman" w:cs="Times New Roman"/>
          <w:color w:val="131413"/>
          <w:sz w:val="24"/>
          <w:szCs w:val="24"/>
          <w:vertAlign w:val="subscript"/>
        </w:rPr>
        <w:t>drug</w:t>
      </w:r>
      <w:r>
        <w:rPr>
          <w:rFonts w:hint="eastAsia" w:ascii="Times New Roman" w:hAnsi="Times New Roman" w:cs="Times New Roman"/>
          <w:color w:val="131413"/>
          <w:sz w:val="24"/>
          <w:szCs w:val="24"/>
          <w:lang w:val="en-US" w:eastAsia="zh-CN"/>
        </w:rPr>
        <w:t>,</w:t>
      </w:r>
      <w:r>
        <w:rPr>
          <w:rFonts w:ascii="Times New Roman" w:hAnsi="Times New Roman" w:cs="Times New Roman"/>
          <w:color w:val="131413"/>
          <w:sz w:val="24"/>
          <w:szCs w:val="24"/>
        </w:rPr>
        <w:t xml:space="preserve"> the number of case reports for the drug, regardless of the ADR.</w:t>
      </w:r>
    </w:p>
    <w:p w14:paraId="140D9718">
      <w:pPr>
        <w:spacing w:line="48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 Regular" w:hAnsi="Times New Roman Regular" w:eastAsia="Microsoft YaHei UI" w:cs="Times New Roman Regular"/>
          <w:sz w:val="24"/>
          <w:szCs w:val="24"/>
        </w:rPr>
        <w:t>Abbreviations: BCPNN, bayesian confidence propagation neural network; CI, confidence interval; EBGM, empirical bayesian geometric mean; IC, information component; PRR, proportional reporting ratio; ROR, reporting odds ratio</w:t>
      </w:r>
      <w:r>
        <w:rPr>
          <w:rFonts w:hint="eastAsia" w:ascii="Times New Roman Regular" w:hAnsi="Times New Roman Regular" w:eastAsia="Microsoft YaHei UI" w:cs="Times New Roman Regular"/>
          <w:sz w:val="24"/>
          <w:szCs w:val="24"/>
          <w:lang w:val="en-US" w:eastAsia="zh-CN"/>
        </w:rPr>
        <w:t>.</w:t>
      </w:r>
    </w:p>
    <w:sectPr>
      <w:footerReference r:id="rId4" w:type="first"/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PingFang SC">
    <w:altName w:val="宋体"/>
    <w:panose1 w:val="020B0400000000000000"/>
    <w:charset w:val="86"/>
    <w:family w:val="swiss"/>
    <w:pitch w:val="default"/>
    <w:sig w:usb0="00000000" w:usb1="00000000" w:usb2="00000000" w:usb3="00000000" w:csb0="00160000" w:csb1="00000000"/>
  </w:font>
  <w:font w:name="BhcvwlAdvP4C4E74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FD9E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900190"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900190"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545B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E4E7DC"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E4E7DC"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486D1D99"/>
    <w:rsid w:val="06C701D6"/>
    <w:rsid w:val="12F805C6"/>
    <w:rsid w:val="153B4ABB"/>
    <w:rsid w:val="15BE749A"/>
    <w:rsid w:val="16FF6280"/>
    <w:rsid w:val="18A40BC9"/>
    <w:rsid w:val="1EB822A0"/>
    <w:rsid w:val="1F885506"/>
    <w:rsid w:val="28742B76"/>
    <w:rsid w:val="2AC375D4"/>
    <w:rsid w:val="2BE02286"/>
    <w:rsid w:val="2D287BC3"/>
    <w:rsid w:val="389E51DD"/>
    <w:rsid w:val="399F7A16"/>
    <w:rsid w:val="43277C92"/>
    <w:rsid w:val="44D426B2"/>
    <w:rsid w:val="48027509"/>
    <w:rsid w:val="486D1D99"/>
    <w:rsid w:val="48AE59D5"/>
    <w:rsid w:val="49312BD1"/>
    <w:rsid w:val="4E233D62"/>
    <w:rsid w:val="4EE377A7"/>
    <w:rsid w:val="513F63A0"/>
    <w:rsid w:val="521A6EB9"/>
    <w:rsid w:val="540B32CF"/>
    <w:rsid w:val="5B1B41D2"/>
    <w:rsid w:val="5C283AC0"/>
    <w:rsid w:val="5CDA23D8"/>
    <w:rsid w:val="5E386590"/>
    <w:rsid w:val="5EA01F0A"/>
    <w:rsid w:val="61CF4135"/>
    <w:rsid w:val="63573687"/>
    <w:rsid w:val="668F1B3D"/>
    <w:rsid w:val="68D8234A"/>
    <w:rsid w:val="6C891725"/>
    <w:rsid w:val="6EA35C8A"/>
    <w:rsid w:val="719646C8"/>
    <w:rsid w:val="76047546"/>
    <w:rsid w:val="7E5F4093"/>
    <w:rsid w:val="7FD6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114</Words>
  <Characters>756</Characters>
  <Lines>0</Lines>
  <Paragraphs>0</Paragraphs>
  <TotalTime>0</TotalTime>
  <ScaleCrop>false</ScaleCrop>
  <LinksUpToDate>false</LinksUpToDate>
  <CharactersWithSpaces>857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2024-10-17T03:04:00Z</dcterms:created>
  <dc:creator>郭贵姆</dc:creator>
  <cp:lastModifiedBy>郭贵姆</cp:lastModifiedBy>
  <dcterms:modified xsi:type="dcterms:W3CDTF">2024-12-26T01:01:12Z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D388ADAFDCCB4E68BF7695346669FF6D_11</vt:lpwstr>
  </property>
  <property fmtid="{D5CDD505-2E9C-101B-9397-08002B2CF9AE}" pid="4" name="KSOTemplateDocerSaveRecord">
    <vt:lpwstr>eyJoZGlkIjoiN2YzNjBkOTgyNWQ1YTMxYzM3MzMwNWFiODNmOWIzYWMiLCJ1c2VySWQiOiIxNDU0NjA4MzgxIn0=</vt:lpwstr>
  </property>
</Properties>
</file>