
<file path=[Content_Types].xml><?xml version="1.0" encoding="utf-8"?>
<Types xmlns="http://schemas.openxmlformats.org/package/2006/content-types">
  <Default Extension="xml" ContentType="application/xml"/>
  <Default Extension="jpeg" ContentType="image/jpeg"/>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宋体" w:cs="Times New Roman"/>
          <w:sz w:val="28"/>
          <w:szCs w:val="28"/>
        </w:rPr>
      </w:pPr>
      <w:r>
        <w:rPr>
          <w:rFonts w:hint="eastAsia" w:ascii="Times New Roman" w:hAnsi="Times New Roman" w:eastAsia="宋体" w:cs="Times New Roman"/>
          <w:sz w:val="28"/>
          <w:szCs w:val="28"/>
        </w:rPr>
        <w:t>M</w:t>
      </w:r>
      <w:r>
        <w:rPr>
          <w:rFonts w:ascii="Times New Roman" w:hAnsi="Times New Roman" w:eastAsia="宋体" w:cs="Times New Roman"/>
          <w:sz w:val="28"/>
          <w:szCs w:val="28"/>
        </w:rPr>
        <w:t>ethod:</w:t>
      </w:r>
    </w:p>
    <w:p>
      <w:pPr>
        <w:spacing w:before="240" w:line="480" w:lineRule="auto"/>
        <w:ind w:firstLine="480" w:firstLineChars="200"/>
        <w:rPr>
          <w:rFonts w:ascii="Times New Roman" w:hAnsi="Times New Roman"/>
          <w:bCs/>
          <w:sz w:val="24"/>
          <w:szCs w:val="24"/>
        </w:rPr>
      </w:pPr>
      <w:r>
        <w:rPr>
          <w:rFonts w:ascii="Times New Roman" w:hAnsi="Times New Roman"/>
          <w:bCs/>
          <w:sz w:val="24"/>
          <w:szCs w:val="24"/>
        </w:rPr>
        <w:t xml:space="preserve">The white-feather broilers were purchased from a poultry farm in Yuzhong County, Lanzhou. A total of </w:t>
      </w:r>
      <w:r>
        <w:rPr>
          <w:rFonts w:hint="eastAsia" w:ascii="Times New Roman" w:hAnsi="Times New Roman"/>
          <w:bCs/>
          <w:sz w:val="24"/>
          <w:szCs w:val="24"/>
        </w:rPr>
        <w:t>42</w:t>
      </w:r>
      <w:r>
        <w:rPr>
          <w:rFonts w:ascii="Times New Roman" w:hAnsi="Times New Roman"/>
          <w:bCs/>
          <w:sz w:val="24"/>
          <w:szCs w:val="24"/>
        </w:rPr>
        <w:t xml:space="preserve"> 1-day-old broilers with similar weight and healthy feathers were randomly split into 7 groups, and the grouping of broilers was shown in table </w:t>
      </w:r>
      <w:r>
        <w:rPr>
          <w:rFonts w:hint="eastAsia" w:ascii="Times New Roman" w:hAnsi="Times New Roman"/>
          <w:bCs/>
          <w:sz w:val="24"/>
          <w:szCs w:val="24"/>
        </w:rPr>
        <w:t>1</w:t>
      </w:r>
      <w:r>
        <w:rPr>
          <w:rFonts w:ascii="Times New Roman" w:hAnsi="Times New Roman"/>
          <w:bCs/>
          <w:sz w:val="24"/>
          <w:szCs w:val="24"/>
        </w:rPr>
        <w:t xml:space="preserve">. The standard chicken </w:t>
      </w:r>
      <w:r>
        <w:rPr>
          <w:rFonts w:hint="eastAsia" w:ascii="Times New Roman" w:hAnsi="Times New Roman"/>
          <w:bCs/>
          <w:sz w:val="24"/>
          <w:szCs w:val="24"/>
        </w:rPr>
        <w:t xml:space="preserve">feed </w:t>
      </w:r>
      <w:r>
        <w:rPr>
          <w:rFonts w:ascii="Times New Roman" w:hAnsi="Times New Roman"/>
          <w:bCs/>
          <w:sz w:val="24"/>
          <w:szCs w:val="24"/>
        </w:rPr>
        <w:t>was bought from Zhengda Co., LTD (Lanzhou, China)</w:t>
      </w:r>
      <w:r>
        <w:rPr>
          <w:rFonts w:hint="eastAsia" w:ascii="Times New Roman" w:hAnsi="Times New Roman"/>
          <w:bCs/>
          <w:sz w:val="24"/>
          <w:szCs w:val="24"/>
        </w:rPr>
        <w:t>.</w:t>
      </w:r>
      <w:r>
        <w:rPr>
          <w:rFonts w:ascii="Times New Roman" w:hAnsi="Times New Roman"/>
          <w:bCs/>
          <w:sz w:val="24"/>
          <w:szCs w:val="24"/>
        </w:rPr>
        <w:t xml:space="preserve"> For the experimental procedures, six chickens in a cage housed at 22±1</w:t>
      </w:r>
      <w:r>
        <w:rPr>
          <w:rFonts w:hint="eastAsia" w:ascii="Times New Roman" w:hAnsi="Times New Roman"/>
          <w:sz w:val="24"/>
          <w:szCs w:val="24"/>
        </w:rPr>
        <w:t>℃</w:t>
      </w:r>
      <w:r>
        <w:rPr>
          <w:rFonts w:ascii="Times New Roman" w:hAnsi="Times New Roman"/>
          <w:bCs/>
          <w:sz w:val="24"/>
          <w:szCs w:val="24"/>
        </w:rPr>
        <w:t xml:space="preserve"> and 60–75 % relative humidity. The care and use of laboratory animals in our study was approved by Lanzhou University Animal Ethics Committee, and all the relevant ethical regulations were followed.</w:t>
      </w:r>
      <w:r>
        <w:rPr>
          <w:rFonts w:ascii="KktdvtAdvTT86d47313" w:hAnsi="KktdvtAdvTT86d47313" w:cs="宋体"/>
          <w:color w:val="131413"/>
          <w:kern w:val="0"/>
          <w:sz w:val="20"/>
          <w:szCs w:val="20"/>
        </w:rPr>
        <w:t xml:space="preserve"> </w:t>
      </w:r>
      <w:r>
        <w:rPr>
          <w:rFonts w:ascii="Times New Roman" w:hAnsi="Times New Roman"/>
          <w:bCs/>
          <w:sz w:val="24"/>
          <w:szCs w:val="24"/>
        </w:rPr>
        <w:t>All broiler chickens in each group were weighed individually at each week during the full trial. The feed consumed for one group was monitored on a day basis.</w:t>
      </w:r>
    </w:p>
    <w:p>
      <w:pPr>
        <w:jc w:val="left"/>
        <w:rPr>
          <w:rFonts w:ascii="Times New Roman" w:hAnsi="Times New Roman"/>
          <w:sz w:val="24"/>
          <w:szCs w:val="24"/>
        </w:rPr>
      </w:pPr>
      <w:r>
        <w:rPr>
          <w:rFonts w:hint="eastAsia" w:ascii="Times New Roman" w:hAnsi="Times New Roman"/>
          <w:sz w:val="24"/>
          <w:szCs w:val="24"/>
        </w:rPr>
        <w:t>Table 1.</w:t>
      </w:r>
      <w:r>
        <w:rPr>
          <w:rFonts w:ascii="Times New Roman" w:hAnsi="Times New Roman"/>
          <w:sz w:val="24"/>
          <w:szCs w:val="24"/>
        </w:rPr>
        <w:t xml:space="preserve"> Experimental protocol for broilers</w:t>
      </w:r>
    </w:p>
    <w:tbl>
      <w:tblPr>
        <w:tblStyle w:val="4"/>
        <w:tblW w:w="10580" w:type="dxa"/>
        <w:tblInd w:w="0" w:type="dxa"/>
        <w:tblLayout w:type="autofit"/>
        <w:tblCellMar>
          <w:top w:w="0" w:type="dxa"/>
          <w:left w:w="108" w:type="dxa"/>
          <w:bottom w:w="0" w:type="dxa"/>
          <w:right w:w="108" w:type="dxa"/>
        </w:tblCellMar>
      </w:tblPr>
      <w:tblGrid>
        <w:gridCol w:w="1640"/>
        <w:gridCol w:w="2260"/>
        <w:gridCol w:w="6680"/>
      </w:tblGrid>
      <w:tr>
        <w:tblPrEx>
          <w:tblCellMar>
            <w:top w:w="0" w:type="dxa"/>
            <w:left w:w="108" w:type="dxa"/>
            <w:bottom w:w="0" w:type="dxa"/>
            <w:right w:w="108" w:type="dxa"/>
          </w:tblCellMar>
        </w:tblPrEx>
        <w:trPr>
          <w:trHeight w:val="324" w:hRule="atLeast"/>
        </w:trPr>
        <w:tc>
          <w:tcPr>
            <w:tcW w:w="1640" w:type="dxa"/>
            <w:tcBorders>
              <w:top w:val="single" w:color="auto" w:sz="12" w:space="0"/>
              <w:left w:val="nil"/>
              <w:bottom w:val="nil"/>
              <w:right w:val="nil"/>
            </w:tcBorders>
            <w:shd w:val="clear" w:color="auto" w:fill="auto"/>
            <w:noWrap/>
            <w:vAlign w:val="center"/>
          </w:tcPr>
          <w:p>
            <w:pPr>
              <w:widowControl/>
              <w:jc w:val="left"/>
              <w:rPr>
                <w:rFonts w:ascii="Times New Roman" w:hAnsi="Times New Roman" w:eastAsia="等线"/>
                <w:color w:val="000000"/>
                <w:kern w:val="0"/>
                <w:sz w:val="24"/>
                <w:szCs w:val="24"/>
              </w:rPr>
            </w:pPr>
            <w:r>
              <w:rPr>
                <w:rFonts w:ascii="Times New Roman" w:hAnsi="Times New Roman" w:eastAsia="等线"/>
                <w:color w:val="000000"/>
                <w:kern w:val="0"/>
                <w:sz w:val="24"/>
                <w:szCs w:val="24"/>
              </w:rPr>
              <w:t>Sample ID</w:t>
            </w:r>
          </w:p>
        </w:tc>
        <w:tc>
          <w:tcPr>
            <w:tcW w:w="2260" w:type="dxa"/>
            <w:tcBorders>
              <w:top w:val="single" w:color="auto" w:sz="12" w:space="0"/>
              <w:left w:val="nil"/>
              <w:bottom w:val="nil"/>
              <w:right w:val="nil"/>
            </w:tcBorders>
            <w:shd w:val="clear" w:color="auto" w:fill="auto"/>
            <w:noWrap/>
            <w:vAlign w:val="center"/>
          </w:tcPr>
          <w:p>
            <w:pPr>
              <w:widowControl/>
              <w:jc w:val="left"/>
              <w:rPr>
                <w:rFonts w:ascii="Times New Roman" w:hAnsi="Times New Roman" w:eastAsia="等线"/>
                <w:color w:val="000000"/>
                <w:kern w:val="0"/>
                <w:sz w:val="24"/>
                <w:szCs w:val="24"/>
              </w:rPr>
            </w:pPr>
            <w:r>
              <w:rPr>
                <w:rFonts w:ascii="Times New Roman" w:hAnsi="Times New Roman" w:eastAsia="等线"/>
                <w:color w:val="000000"/>
                <w:kern w:val="0"/>
                <w:sz w:val="24"/>
                <w:szCs w:val="24"/>
              </w:rPr>
              <w:t>Adaptation period</w:t>
            </w:r>
          </w:p>
        </w:tc>
        <w:tc>
          <w:tcPr>
            <w:tcW w:w="6680" w:type="dxa"/>
            <w:tcBorders>
              <w:top w:val="single" w:color="auto" w:sz="12" w:space="0"/>
              <w:left w:val="nil"/>
              <w:bottom w:val="nil"/>
              <w:right w:val="nil"/>
            </w:tcBorders>
            <w:shd w:val="clear" w:color="auto" w:fill="auto"/>
            <w:noWrap/>
            <w:vAlign w:val="center"/>
          </w:tcPr>
          <w:p>
            <w:pPr>
              <w:widowControl/>
              <w:jc w:val="left"/>
              <w:rPr>
                <w:rFonts w:ascii="Times New Roman" w:hAnsi="Times New Roman" w:eastAsia="等线"/>
                <w:color w:val="000000"/>
                <w:kern w:val="0"/>
                <w:sz w:val="24"/>
                <w:szCs w:val="24"/>
              </w:rPr>
            </w:pPr>
            <w:r>
              <w:rPr>
                <w:rFonts w:ascii="Times New Roman" w:hAnsi="Times New Roman" w:eastAsia="等线"/>
                <w:color w:val="000000"/>
                <w:kern w:val="0"/>
                <w:sz w:val="24"/>
                <w:szCs w:val="24"/>
              </w:rPr>
              <w:t xml:space="preserve">Experimental period </w:t>
            </w:r>
          </w:p>
        </w:tc>
      </w:tr>
      <w:tr>
        <w:tblPrEx>
          <w:tblCellMar>
            <w:top w:w="0" w:type="dxa"/>
            <w:left w:w="108" w:type="dxa"/>
            <w:bottom w:w="0" w:type="dxa"/>
            <w:right w:w="108" w:type="dxa"/>
          </w:tblCellMar>
        </w:tblPrEx>
        <w:trPr>
          <w:trHeight w:val="372" w:hRule="atLeast"/>
        </w:trPr>
        <w:tc>
          <w:tcPr>
            <w:tcW w:w="1640" w:type="dxa"/>
            <w:tcBorders>
              <w:top w:val="nil"/>
              <w:left w:val="nil"/>
              <w:bottom w:val="single" w:color="auto" w:sz="12" w:space="0"/>
              <w:right w:val="nil"/>
            </w:tcBorders>
            <w:shd w:val="clear" w:color="auto" w:fill="auto"/>
            <w:noWrap/>
            <w:vAlign w:val="center"/>
          </w:tcPr>
          <w:p>
            <w:pPr>
              <w:widowControl/>
              <w:jc w:val="left"/>
              <w:rPr>
                <w:rFonts w:ascii="Times New Roman" w:hAnsi="Times New Roman" w:eastAsia="等线"/>
                <w:color w:val="000000"/>
                <w:kern w:val="0"/>
                <w:sz w:val="24"/>
                <w:szCs w:val="24"/>
              </w:rPr>
            </w:pPr>
            <w:r>
              <w:rPr>
                <w:rFonts w:ascii="Times New Roman" w:hAnsi="Times New Roman" w:eastAsia="等线"/>
                <w:color w:val="000000"/>
                <w:kern w:val="0"/>
                <w:sz w:val="24"/>
                <w:szCs w:val="24"/>
              </w:rPr>
              <w:t>(n=6)</w:t>
            </w:r>
          </w:p>
        </w:tc>
        <w:tc>
          <w:tcPr>
            <w:tcW w:w="2260" w:type="dxa"/>
            <w:tcBorders>
              <w:top w:val="nil"/>
              <w:left w:val="nil"/>
              <w:bottom w:val="single" w:color="auto" w:sz="12" w:space="0"/>
              <w:right w:val="nil"/>
            </w:tcBorders>
            <w:shd w:val="clear" w:color="auto" w:fill="auto"/>
            <w:noWrap/>
            <w:vAlign w:val="center"/>
          </w:tcPr>
          <w:p>
            <w:pPr>
              <w:widowControl/>
              <w:jc w:val="left"/>
              <w:rPr>
                <w:rFonts w:ascii="Times New Roman" w:hAnsi="Times New Roman" w:eastAsia="等线"/>
                <w:color w:val="000000"/>
                <w:kern w:val="0"/>
                <w:sz w:val="24"/>
                <w:szCs w:val="24"/>
              </w:rPr>
            </w:pPr>
            <w:r>
              <w:rPr>
                <w:rFonts w:ascii="Times New Roman" w:hAnsi="Times New Roman" w:eastAsia="等线"/>
                <w:color w:val="000000"/>
                <w:kern w:val="0"/>
                <w:sz w:val="24"/>
                <w:szCs w:val="24"/>
              </w:rPr>
              <w:t>(1-7</w:t>
            </w:r>
            <w:r>
              <w:rPr>
                <w:rFonts w:ascii="Times New Roman" w:hAnsi="Times New Roman" w:eastAsia="等线"/>
                <w:color w:val="000000"/>
                <w:kern w:val="0"/>
                <w:sz w:val="24"/>
                <w:szCs w:val="24"/>
                <w:vertAlign w:val="subscript"/>
              </w:rPr>
              <w:t>th</w:t>
            </w:r>
            <w:r>
              <w:rPr>
                <w:rFonts w:ascii="Times New Roman" w:hAnsi="Times New Roman" w:eastAsia="等线"/>
                <w:color w:val="000000"/>
                <w:kern w:val="0"/>
                <w:sz w:val="24"/>
                <w:szCs w:val="24"/>
              </w:rPr>
              <w:t>)</w:t>
            </w:r>
          </w:p>
        </w:tc>
        <w:tc>
          <w:tcPr>
            <w:tcW w:w="6680" w:type="dxa"/>
            <w:tcBorders>
              <w:top w:val="nil"/>
              <w:left w:val="nil"/>
              <w:bottom w:val="single" w:color="auto" w:sz="12" w:space="0"/>
              <w:right w:val="nil"/>
            </w:tcBorders>
            <w:shd w:val="clear" w:color="auto" w:fill="auto"/>
            <w:noWrap/>
            <w:vAlign w:val="center"/>
          </w:tcPr>
          <w:p>
            <w:pPr>
              <w:widowControl/>
              <w:jc w:val="left"/>
              <w:rPr>
                <w:rFonts w:ascii="Times New Roman" w:hAnsi="Times New Roman" w:eastAsia="等线"/>
                <w:color w:val="000000"/>
                <w:kern w:val="0"/>
                <w:sz w:val="24"/>
                <w:szCs w:val="24"/>
              </w:rPr>
            </w:pPr>
            <w:r>
              <w:rPr>
                <w:rFonts w:ascii="Times New Roman" w:hAnsi="Times New Roman" w:eastAsia="等线"/>
                <w:color w:val="000000"/>
                <w:kern w:val="0"/>
                <w:sz w:val="24"/>
                <w:szCs w:val="24"/>
              </w:rPr>
              <w:t>(8-42</w:t>
            </w:r>
            <w:r>
              <w:rPr>
                <w:rFonts w:ascii="Times New Roman" w:hAnsi="Times New Roman" w:eastAsia="等线"/>
                <w:color w:val="000000"/>
                <w:kern w:val="0"/>
                <w:sz w:val="24"/>
                <w:szCs w:val="24"/>
                <w:vertAlign w:val="subscript"/>
              </w:rPr>
              <w:t>th</w:t>
            </w:r>
            <w:r>
              <w:rPr>
                <w:rFonts w:ascii="Times New Roman" w:hAnsi="Times New Roman" w:eastAsia="等线"/>
                <w:color w:val="000000"/>
                <w:kern w:val="0"/>
                <w:sz w:val="24"/>
                <w:szCs w:val="24"/>
              </w:rPr>
              <w:t>)</w:t>
            </w:r>
          </w:p>
        </w:tc>
      </w:tr>
      <w:tr>
        <w:tblPrEx>
          <w:tblCellMar>
            <w:top w:w="0" w:type="dxa"/>
            <w:left w:w="108" w:type="dxa"/>
            <w:bottom w:w="0" w:type="dxa"/>
            <w:right w:w="108" w:type="dxa"/>
          </w:tblCellMar>
        </w:tblPrEx>
        <w:trPr>
          <w:trHeight w:val="324" w:hRule="atLeast"/>
        </w:trPr>
        <w:tc>
          <w:tcPr>
            <w:tcW w:w="1640" w:type="dxa"/>
            <w:tcBorders>
              <w:top w:val="nil"/>
              <w:left w:val="nil"/>
              <w:bottom w:val="nil"/>
              <w:right w:val="nil"/>
            </w:tcBorders>
            <w:shd w:val="clear" w:color="auto" w:fill="auto"/>
            <w:noWrap/>
            <w:vAlign w:val="center"/>
          </w:tcPr>
          <w:p>
            <w:pPr>
              <w:widowControl/>
              <w:jc w:val="left"/>
              <w:rPr>
                <w:rFonts w:ascii="Times New Roman" w:hAnsi="Times New Roman" w:eastAsia="等线"/>
                <w:color w:val="000000"/>
                <w:kern w:val="0"/>
                <w:sz w:val="22"/>
              </w:rPr>
            </w:pPr>
            <w:r>
              <w:rPr>
                <w:rFonts w:ascii="Times New Roman" w:hAnsi="Times New Roman" w:eastAsia="等线"/>
                <w:color w:val="000000"/>
                <w:kern w:val="0"/>
                <w:sz w:val="22"/>
              </w:rPr>
              <w:t>Control</w:t>
            </w:r>
          </w:p>
        </w:tc>
        <w:tc>
          <w:tcPr>
            <w:tcW w:w="2260" w:type="dxa"/>
            <w:tcBorders>
              <w:top w:val="nil"/>
              <w:left w:val="nil"/>
              <w:bottom w:val="nil"/>
              <w:right w:val="nil"/>
            </w:tcBorders>
            <w:shd w:val="clear" w:color="auto" w:fill="auto"/>
            <w:noWrap/>
            <w:vAlign w:val="center"/>
          </w:tcPr>
          <w:p>
            <w:pPr>
              <w:widowControl/>
              <w:jc w:val="left"/>
              <w:rPr>
                <w:rFonts w:ascii="Times New Roman" w:hAnsi="Times New Roman" w:eastAsia="等线"/>
                <w:color w:val="000000"/>
                <w:kern w:val="0"/>
                <w:sz w:val="22"/>
              </w:rPr>
            </w:pPr>
            <w:r>
              <w:rPr>
                <w:rFonts w:ascii="Times New Roman" w:hAnsi="Times New Roman" w:eastAsia="等线"/>
                <w:color w:val="000000"/>
                <w:kern w:val="0"/>
                <w:sz w:val="22"/>
              </w:rPr>
              <w:t>Normal diet</w:t>
            </w:r>
          </w:p>
        </w:tc>
        <w:tc>
          <w:tcPr>
            <w:tcW w:w="6680" w:type="dxa"/>
            <w:tcBorders>
              <w:top w:val="nil"/>
              <w:left w:val="nil"/>
              <w:bottom w:val="nil"/>
              <w:right w:val="nil"/>
            </w:tcBorders>
            <w:shd w:val="clear" w:color="auto" w:fill="auto"/>
            <w:noWrap/>
          </w:tcPr>
          <w:p>
            <w:pPr>
              <w:widowControl/>
              <w:jc w:val="left"/>
              <w:rPr>
                <w:rFonts w:ascii="Times New Roman" w:hAnsi="Times New Roman" w:eastAsia="等线"/>
                <w:color w:val="000000"/>
                <w:kern w:val="0"/>
                <w:sz w:val="22"/>
              </w:rPr>
            </w:pPr>
            <w:r>
              <w:rPr>
                <w:rFonts w:ascii="Times New Roman" w:hAnsi="Times New Roman" w:eastAsia="等线"/>
                <w:color w:val="000000"/>
                <w:kern w:val="0"/>
                <w:sz w:val="22"/>
              </w:rPr>
              <w:t>Normal diet</w:t>
            </w:r>
          </w:p>
        </w:tc>
      </w:tr>
      <w:tr>
        <w:tblPrEx>
          <w:tblCellMar>
            <w:top w:w="0" w:type="dxa"/>
            <w:left w:w="108" w:type="dxa"/>
            <w:bottom w:w="0" w:type="dxa"/>
            <w:right w:w="108" w:type="dxa"/>
          </w:tblCellMar>
        </w:tblPrEx>
        <w:trPr>
          <w:trHeight w:val="312" w:hRule="atLeast"/>
        </w:trPr>
        <w:tc>
          <w:tcPr>
            <w:tcW w:w="1640" w:type="dxa"/>
            <w:tcBorders>
              <w:top w:val="nil"/>
              <w:left w:val="nil"/>
              <w:bottom w:val="nil"/>
              <w:right w:val="nil"/>
            </w:tcBorders>
            <w:shd w:val="clear" w:color="auto" w:fill="auto"/>
            <w:noWrap/>
            <w:vAlign w:val="center"/>
          </w:tcPr>
          <w:p>
            <w:pPr>
              <w:widowControl/>
              <w:jc w:val="left"/>
              <w:rPr>
                <w:rFonts w:hint="eastAsia" w:ascii="Times New Roman" w:hAnsi="Times New Roman" w:eastAsia="等线"/>
                <w:color w:val="000000"/>
                <w:kern w:val="0"/>
                <w:sz w:val="22"/>
                <w:lang w:val="en-US" w:eastAsia="zh-CN"/>
              </w:rPr>
            </w:pPr>
            <w:bookmarkStart w:id="0" w:name="_Hlk63153356"/>
            <w:r>
              <w:rPr>
                <w:rFonts w:ascii="Times New Roman" w:hAnsi="Times New Roman" w:eastAsia="等线"/>
                <w:color w:val="000000"/>
                <w:kern w:val="0"/>
                <w:sz w:val="22"/>
              </w:rPr>
              <w:t>SMZ+Tylosin</w:t>
            </w:r>
            <w:r>
              <w:rPr>
                <w:rFonts w:hint="eastAsia" w:ascii="Times New Roman" w:hAnsi="Times New Roman" w:eastAsia="等线"/>
                <w:color w:val="000000"/>
                <w:kern w:val="0"/>
                <w:sz w:val="22"/>
                <w:vertAlign w:val="subscript"/>
                <w:lang w:val="en-US" w:eastAsia="zh-CN"/>
              </w:rPr>
              <w:t>1</w:t>
            </w:r>
          </w:p>
        </w:tc>
        <w:tc>
          <w:tcPr>
            <w:tcW w:w="2260" w:type="dxa"/>
            <w:tcBorders>
              <w:top w:val="nil"/>
              <w:left w:val="nil"/>
              <w:bottom w:val="nil"/>
              <w:right w:val="nil"/>
            </w:tcBorders>
            <w:shd w:val="clear" w:color="auto" w:fill="auto"/>
            <w:noWrap/>
            <w:vAlign w:val="center"/>
          </w:tcPr>
          <w:p>
            <w:pPr>
              <w:widowControl/>
              <w:jc w:val="left"/>
              <w:rPr>
                <w:rFonts w:ascii="Times New Roman" w:hAnsi="Times New Roman" w:eastAsia="等线"/>
                <w:color w:val="000000"/>
                <w:kern w:val="0"/>
                <w:sz w:val="22"/>
              </w:rPr>
            </w:pPr>
            <w:r>
              <w:rPr>
                <w:rFonts w:ascii="Times New Roman" w:hAnsi="Times New Roman" w:eastAsia="等线"/>
                <w:color w:val="000000"/>
                <w:kern w:val="0"/>
                <w:sz w:val="22"/>
              </w:rPr>
              <w:t>Normal diet</w:t>
            </w:r>
          </w:p>
        </w:tc>
        <w:tc>
          <w:tcPr>
            <w:tcW w:w="6680" w:type="dxa"/>
            <w:tcBorders>
              <w:top w:val="nil"/>
              <w:left w:val="nil"/>
              <w:bottom w:val="nil"/>
              <w:right w:val="nil"/>
            </w:tcBorders>
            <w:shd w:val="clear" w:color="auto" w:fill="auto"/>
            <w:noWrap/>
          </w:tcPr>
          <w:p>
            <w:pPr>
              <w:widowControl/>
              <w:jc w:val="left"/>
              <w:rPr>
                <w:rFonts w:ascii="Times New Roman" w:hAnsi="Times New Roman" w:eastAsia="等线"/>
                <w:color w:val="000000"/>
                <w:kern w:val="0"/>
                <w:sz w:val="22"/>
              </w:rPr>
            </w:pPr>
            <w:r>
              <w:rPr>
                <w:rFonts w:ascii="Times New Roman" w:hAnsi="Times New Roman" w:eastAsia="等线"/>
                <w:color w:val="000000"/>
                <w:kern w:val="0"/>
                <w:sz w:val="22"/>
              </w:rPr>
              <w:t>Normal diet containing sulfadimidine and Tylenol tartrate (0.4 g/kg)</w:t>
            </w:r>
          </w:p>
        </w:tc>
      </w:tr>
      <w:tr>
        <w:tblPrEx>
          <w:tblCellMar>
            <w:top w:w="0" w:type="dxa"/>
            <w:left w:w="108" w:type="dxa"/>
            <w:bottom w:w="0" w:type="dxa"/>
            <w:right w:w="108" w:type="dxa"/>
          </w:tblCellMar>
        </w:tblPrEx>
        <w:trPr>
          <w:trHeight w:val="312" w:hRule="atLeast"/>
        </w:trPr>
        <w:tc>
          <w:tcPr>
            <w:tcW w:w="1640" w:type="dxa"/>
            <w:tcBorders>
              <w:top w:val="nil"/>
              <w:left w:val="nil"/>
              <w:bottom w:val="nil"/>
              <w:right w:val="nil"/>
            </w:tcBorders>
            <w:shd w:val="clear" w:color="auto" w:fill="auto"/>
            <w:noWrap/>
            <w:vAlign w:val="center"/>
          </w:tcPr>
          <w:p>
            <w:pPr>
              <w:widowControl/>
              <w:jc w:val="left"/>
              <w:rPr>
                <w:rFonts w:hint="eastAsia" w:ascii="Times New Roman" w:hAnsi="Times New Roman" w:eastAsia="等线"/>
                <w:color w:val="000000"/>
                <w:kern w:val="0"/>
                <w:sz w:val="22"/>
                <w:lang w:val="en-US" w:eastAsia="zh-CN"/>
              </w:rPr>
            </w:pPr>
            <w:r>
              <w:rPr>
                <w:rFonts w:ascii="Times New Roman" w:hAnsi="Times New Roman" w:eastAsia="等线"/>
                <w:color w:val="000000"/>
                <w:kern w:val="0"/>
                <w:sz w:val="22"/>
              </w:rPr>
              <w:t>SMZ+Tylosin</w:t>
            </w:r>
            <w:r>
              <w:rPr>
                <w:rFonts w:hint="eastAsia" w:ascii="Times New Roman" w:hAnsi="Times New Roman" w:eastAsia="等线"/>
                <w:color w:val="000000"/>
                <w:kern w:val="0"/>
                <w:sz w:val="22"/>
                <w:vertAlign w:val="subscript"/>
                <w:lang w:val="en-US" w:eastAsia="zh-CN"/>
              </w:rPr>
              <w:t>2</w:t>
            </w:r>
          </w:p>
        </w:tc>
        <w:tc>
          <w:tcPr>
            <w:tcW w:w="2260" w:type="dxa"/>
            <w:tcBorders>
              <w:top w:val="nil"/>
              <w:left w:val="nil"/>
              <w:bottom w:val="nil"/>
              <w:right w:val="nil"/>
            </w:tcBorders>
            <w:shd w:val="clear" w:color="auto" w:fill="auto"/>
            <w:noWrap/>
            <w:vAlign w:val="center"/>
          </w:tcPr>
          <w:p>
            <w:pPr>
              <w:widowControl/>
              <w:jc w:val="left"/>
              <w:rPr>
                <w:rFonts w:ascii="Times New Roman" w:hAnsi="Times New Roman" w:eastAsia="等线"/>
                <w:color w:val="000000"/>
                <w:kern w:val="0"/>
                <w:sz w:val="22"/>
              </w:rPr>
            </w:pPr>
            <w:r>
              <w:rPr>
                <w:rFonts w:ascii="Times New Roman" w:hAnsi="Times New Roman" w:eastAsia="等线"/>
                <w:color w:val="000000"/>
                <w:kern w:val="0"/>
                <w:sz w:val="22"/>
              </w:rPr>
              <w:t>Normal diet</w:t>
            </w:r>
          </w:p>
        </w:tc>
        <w:tc>
          <w:tcPr>
            <w:tcW w:w="6680" w:type="dxa"/>
            <w:tcBorders>
              <w:top w:val="nil"/>
              <w:left w:val="nil"/>
              <w:bottom w:val="nil"/>
              <w:right w:val="nil"/>
            </w:tcBorders>
            <w:shd w:val="clear" w:color="auto" w:fill="auto"/>
            <w:noWrap/>
          </w:tcPr>
          <w:p>
            <w:pPr>
              <w:widowControl/>
              <w:jc w:val="left"/>
              <w:rPr>
                <w:rFonts w:ascii="Times New Roman" w:hAnsi="Times New Roman" w:eastAsia="等线"/>
                <w:color w:val="000000"/>
                <w:kern w:val="0"/>
                <w:sz w:val="22"/>
              </w:rPr>
            </w:pPr>
            <w:r>
              <w:rPr>
                <w:rFonts w:ascii="Times New Roman" w:hAnsi="Times New Roman" w:eastAsia="等线"/>
                <w:color w:val="000000"/>
                <w:kern w:val="0"/>
                <w:sz w:val="22"/>
              </w:rPr>
              <w:t>Normal diet containing sulfadimidine and Tylenol tartrate (0.2 g/kg)</w:t>
            </w:r>
          </w:p>
        </w:tc>
      </w:tr>
      <w:tr>
        <w:tblPrEx>
          <w:tblCellMar>
            <w:top w:w="0" w:type="dxa"/>
            <w:left w:w="108" w:type="dxa"/>
            <w:bottom w:w="0" w:type="dxa"/>
            <w:right w:w="108" w:type="dxa"/>
          </w:tblCellMar>
        </w:tblPrEx>
        <w:trPr>
          <w:trHeight w:val="312" w:hRule="atLeast"/>
        </w:trPr>
        <w:tc>
          <w:tcPr>
            <w:tcW w:w="1640" w:type="dxa"/>
            <w:tcBorders>
              <w:top w:val="nil"/>
              <w:left w:val="nil"/>
              <w:bottom w:val="nil"/>
              <w:right w:val="nil"/>
            </w:tcBorders>
            <w:shd w:val="clear" w:color="auto" w:fill="auto"/>
            <w:noWrap/>
            <w:vAlign w:val="center"/>
          </w:tcPr>
          <w:p>
            <w:pPr>
              <w:widowControl/>
              <w:jc w:val="left"/>
              <w:rPr>
                <w:rFonts w:ascii="Times New Roman" w:hAnsi="Times New Roman" w:eastAsia="等线"/>
                <w:color w:val="000000"/>
                <w:kern w:val="0"/>
                <w:sz w:val="22"/>
              </w:rPr>
            </w:pPr>
            <w:r>
              <w:rPr>
                <w:rFonts w:ascii="Times New Roman" w:hAnsi="Times New Roman" w:eastAsia="等线"/>
                <w:color w:val="000000"/>
                <w:kern w:val="0"/>
                <w:sz w:val="22"/>
              </w:rPr>
              <w:t>OTC+PMX</w:t>
            </w:r>
            <w:r>
              <w:rPr>
                <w:rFonts w:hint="eastAsia" w:ascii="Times New Roman" w:hAnsi="Times New Roman" w:eastAsia="等线"/>
                <w:color w:val="000000"/>
                <w:kern w:val="0"/>
                <w:sz w:val="22"/>
                <w:vertAlign w:val="subscript"/>
                <w:lang w:val="en-US" w:eastAsia="zh-CN"/>
              </w:rPr>
              <w:t>1</w:t>
            </w:r>
          </w:p>
        </w:tc>
        <w:tc>
          <w:tcPr>
            <w:tcW w:w="2260" w:type="dxa"/>
            <w:tcBorders>
              <w:top w:val="nil"/>
              <w:left w:val="nil"/>
              <w:bottom w:val="nil"/>
              <w:right w:val="nil"/>
            </w:tcBorders>
            <w:shd w:val="clear" w:color="auto" w:fill="auto"/>
            <w:noWrap/>
            <w:vAlign w:val="center"/>
          </w:tcPr>
          <w:p>
            <w:pPr>
              <w:widowControl/>
              <w:jc w:val="left"/>
              <w:rPr>
                <w:rFonts w:ascii="Times New Roman" w:hAnsi="Times New Roman" w:eastAsia="等线"/>
                <w:color w:val="000000"/>
                <w:kern w:val="0"/>
                <w:sz w:val="22"/>
              </w:rPr>
            </w:pPr>
            <w:r>
              <w:rPr>
                <w:rFonts w:ascii="Times New Roman" w:hAnsi="Times New Roman" w:eastAsia="等线"/>
                <w:color w:val="000000"/>
                <w:kern w:val="0"/>
                <w:sz w:val="22"/>
              </w:rPr>
              <w:t>Normal diet</w:t>
            </w:r>
          </w:p>
        </w:tc>
        <w:tc>
          <w:tcPr>
            <w:tcW w:w="6680" w:type="dxa"/>
            <w:tcBorders>
              <w:top w:val="nil"/>
              <w:left w:val="nil"/>
              <w:bottom w:val="nil"/>
              <w:right w:val="nil"/>
            </w:tcBorders>
            <w:shd w:val="clear" w:color="auto" w:fill="auto"/>
            <w:noWrap/>
          </w:tcPr>
          <w:p>
            <w:pPr>
              <w:widowControl/>
              <w:jc w:val="left"/>
              <w:rPr>
                <w:rFonts w:ascii="Times New Roman" w:hAnsi="Times New Roman" w:eastAsia="等线"/>
                <w:color w:val="000000"/>
                <w:kern w:val="0"/>
                <w:sz w:val="22"/>
              </w:rPr>
            </w:pPr>
            <w:r>
              <w:rPr>
                <w:rFonts w:ascii="Times New Roman" w:hAnsi="Times New Roman" w:eastAsia="等线"/>
                <w:color w:val="000000"/>
                <w:kern w:val="0"/>
                <w:sz w:val="22"/>
              </w:rPr>
              <w:t>Normal diet containing polycolistin and oxytetracycline (0.4 g/kg)</w:t>
            </w:r>
          </w:p>
        </w:tc>
      </w:tr>
      <w:bookmarkEnd w:id="0"/>
      <w:tr>
        <w:tblPrEx>
          <w:tblCellMar>
            <w:top w:w="0" w:type="dxa"/>
            <w:left w:w="108" w:type="dxa"/>
            <w:bottom w:w="0" w:type="dxa"/>
            <w:right w:w="108" w:type="dxa"/>
          </w:tblCellMar>
        </w:tblPrEx>
        <w:trPr>
          <w:trHeight w:val="312" w:hRule="atLeast"/>
        </w:trPr>
        <w:tc>
          <w:tcPr>
            <w:tcW w:w="1640" w:type="dxa"/>
            <w:tcBorders>
              <w:top w:val="nil"/>
              <w:left w:val="nil"/>
              <w:bottom w:val="nil"/>
              <w:right w:val="nil"/>
            </w:tcBorders>
            <w:shd w:val="clear" w:color="auto" w:fill="auto"/>
            <w:noWrap/>
            <w:vAlign w:val="center"/>
          </w:tcPr>
          <w:p>
            <w:pPr>
              <w:widowControl/>
              <w:jc w:val="left"/>
              <w:rPr>
                <w:rFonts w:ascii="Times New Roman" w:hAnsi="Times New Roman" w:eastAsia="等线"/>
                <w:color w:val="000000"/>
                <w:kern w:val="0"/>
                <w:sz w:val="22"/>
              </w:rPr>
            </w:pPr>
            <w:r>
              <w:rPr>
                <w:rFonts w:ascii="Times New Roman" w:hAnsi="Times New Roman" w:eastAsia="等线"/>
                <w:color w:val="000000"/>
                <w:kern w:val="0"/>
                <w:sz w:val="22"/>
              </w:rPr>
              <w:t>OTC+PMX</w:t>
            </w:r>
            <w:r>
              <w:rPr>
                <w:rFonts w:hint="eastAsia" w:ascii="Times New Roman" w:hAnsi="Times New Roman" w:eastAsia="等线"/>
                <w:color w:val="000000"/>
                <w:kern w:val="0"/>
                <w:sz w:val="22"/>
                <w:vertAlign w:val="subscript"/>
                <w:lang w:val="en-US" w:eastAsia="zh-CN"/>
              </w:rPr>
              <w:t>2</w:t>
            </w:r>
          </w:p>
        </w:tc>
        <w:tc>
          <w:tcPr>
            <w:tcW w:w="2260" w:type="dxa"/>
            <w:tcBorders>
              <w:top w:val="nil"/>
              <w:left w:val="nil"/>
              <w:bottom w:val="nil"/>
              <w:right w:val="nil"/>
            </w:tcBorders>
            <w:shd w:val="clear" w:color="auto" w:fill="auto"/>
            <w:noWrap/>
            <w:vAlign w:val="center"/>
          </w:tcPr>
          <w:p>
            <w:pPr>
              <w:widowControl/>
              <w:jc w:val="left"/>
              <w:rPr>
                <w:rFonts w:ascii="Times New Roman" w:hAnsi="Times New Roman" w:eastAsia="等线"/>
                <w:color w:val="000000"/>
                <w:kern w:val="0"/>
                <w:sz w:val="22"/>
              </w:rPr>
            </w:pPr>
            <w:r>
              <w:rPr>
                <w:rFonts w:ascii="Times New Roman" w:hAnsi="Times New Roman" w:eastAsia="等线"/>
                <w:color w:val="000000"/>
                <w:kern w:val="0"/>
                <w:sz w:val="22"/>
              </w:rPr>
              <w:t>Normal diet</w:t>
            </w:r>
          </w:p>
        </w:tc>
        <w:tc>
          <w:tcPr>
            <w:tcW w:w="6680" w:type="dxa"/>
            <w:tcBorders>
              <w:top w:val="nil"/>
              <w:left w:val="nil"/>
              <w:bottom w:val="nil"/>
              <w:right w:val="nil"/>
            </w:tcBorders>
            <w:shd w:val="clear" w:color="auto" w:fill="auto"/>
            <w:noWrap/>
          </w:tcPr>
          <w:p>
            <w:pPr>
              <w:widowControl/>
              <w:jc w:val="left"/>
              <w:rPr>
                <w:rFonts w:ascii="Times New Roman" w:hAnsi="Times New Roman" w:eastAsia="等线"/>
                <w:color w:val="000000"/>
                <w:kern w:val="0"/>
                <w:sz w:val="22"/>
              </w:rPr>
            </w:pPr>
            <w:r>
              <w:rPr>
                <w:rFonts w:ascii="Times New Roman" w:hAnsi="Times New Roman" w:eastAsia="等线"/>
                <w:color w:val="000000"/>
                <w:kern w:val="0"/>
                <w:sz w:val="22"/>
              </w:rPr>
              <w:t>Normal diet containing polycolistin and oxytetracycline (0.2 g/kg)</w:t>
            </w:r>
          </w:p>
        </w:tc>
      </w:tr>
      <w:tr>
        <w:tblPrEx>
          <w:tblCellMar>
            <w:top w:w="0" w:type="dxa"/>
            <w:left w:w="108" w:type="dxa"/>
            <w:bottom w:w="0" w:type="dxa"/>
            <w:right w:w="108" w:type="dxa"/>
          </w:tblCellMar>
        </w:tblPrEx>
        <w:trPr>
          <w:trHeight w:val="312" w:hRule="atLeast"/>
        </w:trPr>
        <w:tc>
          <w:tcPr>
            <w:tcW w:w="1640" w:type="dxa"/>
            <w:tcBorders>
              <w:top w:val="nil"/>
              <w:left w:val="nil"/>
              <w:bottom w:val="nil"/>
              <w:right w:val="nil"/>
            </w:tcBorders>
            <w:shd w:val="clear" w:color="auto" w:fill="auto"/>
            <w:noWrap/>
            <w:vAlign w:val="center"/>
          </w:tcPr>
          <w:p>
            <w:pPr>
              <w:widowControl/>
              <w:jc w:val="left"/>
              <w:rPr>
                <w:rFonts w:ascii="Times New Roman" w:hAnsi="Times New Roman" w:eastAsia="等线"/>
                <w:color w:val="000000"/>
                <w:kern w:val="0"/>
                <w:sz w:val="22"/>
              </w:rPr>
            </w:pPr>
            <w:r>
              <w:rPr>
                <w:rFonts w:ascii="Times New Roman" w:hAnsi="Times New Roman" w:eastAsia="等线"/>
                <w:color w:val="000000"/>
                <w:kern w:val="0"/>
                <w:sz w:val="22"/>
              </w:rPr>
              <w:t>AMX+PMX</w:t>
            </w:r>
            <w:r>
              <w:rPr>
                <w:rFonts w:hint="eastAsia" w:ascii="Times New Roman" w:hAnsi="Times New Roman" w:eastAsia="等线"/>
                <w:color w:val="000000"/>
                <w:kern w:val="0"/>
                <w:sz w:val="22"/>
                <w:vertAlign w:val="subscript"/>
                <w:lang w:val="en-US" w:eastAsia="zh-CN"/>
              </w:rPr>
              <w:t>1</w:t>
            </w:r>
          </w:p>
        </w:tc>
        <w:tc>
          <w:tcPr>
            <w:tcW w:w="2260" w:type="dxa"/>
            <w:tcBorders>
              <w:top w:val="nil"/>
              <w:left w:val="nil"/>
              <w:bottom w:val="nil"/>
              <w:right w:val="nil"/>
            </w:tcBorders>
            <w:shd w:val="clear" w:color="auto" w:fill="auto"/>
            <w:noWrap/>
            <w:vAlign w:val="center"/>
          </w:tcPr>
          <w:p>
            <w:pPr>
              <w:widowControl/>
              <w:jc w:val="left"/>
              <w:rPr>
                <w:rFonts w:ascii="Times New Roman" w:hAnsi="Times New Roman" w:eastAsia="等线"/>
                <w:color w:val="000000"/>
                <w:kern w:val="0"/>
                <w:sz w:val="22"/>
              </w:rPr>
            </w:pPr>
            <w:r>
              <w:rPr>
                <w:rFonts w:ascii="Times New Roman" w:hAnsi="Times New Roman" w:eastAsia="等线"/>
                <w:color w:val="000000"/>
                <w:kern w:val="0"/>
                <w:sz w:val="22"/>
              </w:rPr>
              <w:t>Normal diet</w:t>
            </w:r>
          </w:p>
        </w:tc>
        <w:tc>
          <w:tcPr>
            <w:tcW w:w="6680" w:type="dxa"/>
            <w:tcBorders>
              <w:top w:val="nil"/>
              <w:left w:val="nil"/>
              <w:bottom w:val="nil"/>
              <w:right w:val="nil"/>
            </w:tcBorders>
            <w:shd w:val="clear" w:color="auto" w:fill="auto"/>
            <w:noWrap/>
          </w:tcPr>
          <w:p>
            <w:pPr>
              <w:widowControl/>
              <w:jc w:val="left"/>
              <w:rPr>
                <w:rFonts w:ascii="Times New Roman" w:hAnsi="Times New Roman" w:eastAsia="等线"/>
                <w:color w:val="000000"/>
                <w:kern w:val="0"/>
                <w:sz w:val="22"/>
              </w:rPr>
            </w:pPr>
            <w:r>
              <w:rPr>
                <w:rFonts w:ascii="Times New Roman" w:hAnsi="Times New Roman" w:eastAsia="等线"/>
                <w:color w:val="000000"/>
                <w:kern w:val="0"/>
                <w:sz w:val="22"/>
              </w:rPr>
              <w:t>Normal diet containing polycolistin and amoxicillin (0.4 g/kg)</w:t>
            </w:r>
          </w:p>
        </w:tc>
      </w:tr>
      <w:tr>
        <w:tblPrEx>
          <w:tblCellMar>
            <w:top w:w="0" w:type="dxa"/>
            <w:left w:w="108" w:type="dxa"/>
            <w:bottom w:w="0" w:type="dxa"/>
            <w:right w:w="108" w:type="dxa"/>
          </w:tblCellMar>
        </w:tblPrEx>
        <w:trPr>
          <w:trHeight w:val="324" w:hRule="atLeast"/>
        </w:trPr>
        <w:tc>
          <w:tcPr>
            <w:tcW w:w="1640" w:type="dxa"/>
            <w:tcBorders>
              <w:top w:val="nil"/>
              <w:left w:val="nil"/>
              <w:bottom w:val="single" w:color="auto" w:sz="12" w:space="0"/>
              <w:right w:val="nil"/>
            </w:tcBorders>
            <w:shd w:val="clear" w:color="auto" w:fill="auto"/>
            <w:noWrap/>
            <w:vAlign w:val="center"/>
          </w:tcPr>
          <w:p>
            <w:pPr>
              <w:widowControl/>
              <w:jc w:val="left"/>
              <w:rPr>
                <w:rFonts w:ascii="Times New Roman" w:hAnsi="Times New Roman" w:eastAsia="等线"/>
                <w:color w:val="000000"/>
                <w:kern w:val="0"/>
                <w:sz w:val="22"/>
              </w:rPr>
            </w:pPr>
            <w:r>
              <w:rPr>
                <w:rFonts w:ascii="Times New Roman" w:hAnsi="Times New Roman" w:eastAsia="等线"/>
                <w:color w:val="000000"/>
                <w:kern w:val="0"/>
                <w:sz w:val="22"/>
              </w:rPr>
              <w:t>AMX+PMX</w:t>
            </w:r>
            <w:r>
              <w:rPr>
                <w:rFonts w:hint="eastAsia" w:ascii="Times New Roman" w:hAnsi="Times New Roman" w:eastAsia="等线"/>
                <w:color w:val="000000"/>
                <w:kern w:val="0"/>
                <w:sz w:val="22"/>
                <w:vertAlign w:val="subscript"/>
                <w:lang w:val="en-US" w:eastAsia="zh-CN"/>
              </w:rPr>
              <w:t>2</w:t>
            </w:r>
          </w:p>
        </w:tc>
        <w:tc>
          <w:tcPr>
            <w:tcW w:w="2260" w:type="dxa"/>
            <w:tcBorders>
              <w:top w:val="nil"/>
              <w:left w:val="nil"/>
              <w:bottom w:val="single" w:color="auto" w:sz="12" w:space="0"/>
              <w:right w:val="nil"/>
            </w:tcBorders>
            <w:shd w:val="clear" w:color="auto" w:fill="auto"/>
            <w:noWrap/>
            <w:vAlign w:val="center"/>
          </w:tcPr>
          <w:p>
            <w:pPr>
              <w:widowControl/>
              <w:jc w:val="left"/>
              <w:rPr>
                <w:rFonts w:ascii="Times New Roman" w:hAnsi="Times New Roman" w:eastAsia="等线"/>
                <w:color w:val="000000"/>
                <w:kern w:val="0"/>
                <w:sz w:val="22"/>
              </w:rPr>
            </w:pPr>
            <w:r>
              <w:rPr>
                <w:rFonts w:ascii="Times New Roman" w:hAnsi="Times New Roman" w:eastAsia="等线"/>
                <w:color w:val="000000"/>
                <w:kern w:val="0"/>
                <w:sz w:val="22"/>
              </w:rPr>
              <w:t>Normal diet</w:t>
            </w:r>
          </w:p>
        </w:tc>
        <w:tc>
          <w:tcPr>
            <w:tcW w:w="6680" w:type="dxa"/>
            <w:tcBorders>
              <w:top w:val="nil"/>
              <w:left w:val="nil"/>
              <w:bottom w:val="single" w:color="auto" w:sz="12" w:space="0"/>
              <w:right w:val="nil"/>
            </w:tcBorders>
            <w:shd w:val="clear" w:color="auto" w:fill="auto"/>
            <w:noWrap/>
          </w:tcPr>
          <w:p>
            <w:pPr>
              <w:widowControl/>
              <w:jc w:val="left"/>
              <w:rPr>
                <w:rFonts w:ascii="Times New Roman" w:hAnsi="Times New Roman" w:eastAsia="等线"/>
                <w:color w:val="000000"/>
                <w:kern w:val="0"/>
                <w:sz w:val="22"/>
              </w:rPr>
            </w:pPr>
            <w:r>
              <w:rPr>
                <w:rFonts w:ascii="Times New Roman" w:hAnsi="Times New Roman" w:eastAsia="等线"/>
                <w:color w:val="000000"/>
                <w:kern w:val="0"/>
                <w:sz w:val="22"/>
              </w:rPr>
              <w:t>Normal diet containing polycolistin and amoxicillin (</w:t>
            </w:r>
            <w:bookmarkStart w:id="1" w:name="_Hlk63064565"/>
            <w:r>
              <w:rPr>
                <w:rFonts w:ascii="Times New Roman" w:hAnsi="Times New Roman" w:eastAsia="等线"/>
                <w:color w:val="000000"/>
                <w:kern w:val="0"/>
                <w:sz w:val="22"/>
              </w:rPr>
              <w:t>0.2 g/kg</w:t>
            </w:r>
            <w:bookmarkEnd w:id="1"/>
            <w:r>
              <w:rPr>
                <w:rFonts w:ascii="Times New Roman" w:hAnsi="Times New Roman" w:eastAsia="等线"/>
                <w:color w:val="000000"/>
                <w:kern w:val="0"/>
                <w:sz w:val="22"/>
              </w:rPr>
              <w:t>)</w:t>
            </w:r>
          </w:p>
        </w:tc>
      </w:tr>
    </w:tbl>
    <w:p>
      <w:pPr>
        <w:rPr>
          <w:rFonts w:ascii="Times New Roman" w:hAnsi="Times New Roman" w:eastAsia="宋体" w:cs="Times New Roman"/>
          <w:sz w:val="28"/>
          <w:szCs w:val="28"/>
        </w:rPr>
      </w:pPr>
      <w:r>
        <w:rPr>
          <w:rFonts w:ascii="Times New Roman" w:hAnsi="Times New Roman" w:eastAsia="宋体" w:cs="Times New Roman"/>
          <w:sz w:val="28"/>
          <w:szCs w:val="28"/>
        </w:rPr>
        <w:t>Supplementary Information</w:t>
      </w:r>
    </w:p>
    <w:p>
      <w:pPr>
        <w:rPr>
          <w:rFonts w:ascii="Times New Roman" w:hAnsi="Times New Roman" w:eastAsia="宋体" w:cs="Times New Roman"/>
          <w:sz w:val="28"/>
          <w:szCs w:val="28"/>
        </w:rPr>
      </w:pPr>
      <w:r>
        <w:rPr>
          <w:rFonts w:ascii="Times New Roman" w:hAnsi="Times New Roman" w:eastAsia="宋体" w:cs="Times New Roman"/>
          <w:sz w:val="28"/>
          <w:szCs w:val="28"/>
        </w:rPr>
        <w:t>Supplementary Figures</w:t>
      </w:r>
      <w:r>
        <w:rPr>
          <w:rFonts w:hint="eastAsia" w:ascii="Times New Roman" w:hAnsi="Times New Roman" w:eastAsia="宋体" w:cs="Times New Roman"/>
          <w:sz w:val="28"/>
          <w:szCs w:val="28"/>
        </w:rPr>
        <w:t xml:space="preserve"> </w:t>
      </w:r>
    </w:p>
    <w:p>
      <w:pPr>
        <w:rPr>
          <w:rFonts w:ascii="Times New Roman" w:hAnsi="Times New Roman" w:eastAsia="宋体" w:cs="Times New Roman"/>
          <w:sz w:val="28"/>
          <w:szCs w:val="28"/>
        </w:rPr>
      </w:pPr>
      <w:r>
        <w:rPr>
          <w:rFonts w:ascii="Times New Roman" w:hAnsi="Times New Roman" w:eastAsia="宋体" w:cs="Times New Roman"/>
          <w:sz w:val="28"/>
          <w:szCs w:val="28"/>
        </w:rPr>
        <w:t>Supplementary</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Figure</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1.</w:t>
      </w:r>
      <w:r>
        <w:rPr>
          <w:rFonts w:ascii="Times New Roman" w:hAnsi="Times New Roman"/>
          <w:sz w:val="28"/>
          <w:szCs w:val="28"/>
        </w:rPr>
        <w:t xml:space="preserve"> </w:t>
      </w:r>
      <w:bookmarkStart w:id="2" w:name="_Hlk66891306"/>
      <w:r>
        <w:rPr>
          <w:rFonts w:ascii="Times New Roman" w:hAnsi="Times New Roman" w:eastAsia="宋体" w:cs="Times New Roman"/>
          <w:sz w:val="28"/>
          <w:szCs w:val="28"/>
        </w:rPr>
        <w:t>Growth performance and immune activity of broiler chicken under the</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feed-additive regimens of antibiotics and the control.</w:t>
      </w:r>
      <w:r>
        <w:rPr>
          <w:rFonts w:hint="eastAsia" w:ascii="Times New Roman" w:hAnsi="Times New Roman" w:eastAsia="宋体" w:cs="Times New Roman"/>
          <w:sz w:val="28"/>
          <w:szCs w:val="28"/>
        </w:rPr>
        <w:t xml:space="preserve"> </w:t>
      </w:r>
      <w:bookmarkEnd w:id="2"/>
      <w:bookmarkStart w:id="3" w:name="OLE_LINK5"/>
      <w:r>
        <w:rPr>
          <w:rFonts w:hint="eastAsia" w:ascii="Times New Roman" w:hAnsi="Times New Roman" w:eastAsia="宋体" w:cs="Times New Roman"/>
          <w:sz w:val="28"/>
          <w:szCs w:val="28"/>
        </w:rPr>
        <w:t xml:space="preserve">(A) </w:t>
      </w:r>
      <w:bookmarkEnd w:id="3"/>
      <w:r>
        <w:rPr>
          <w:rFonts w:ascii="Times New Roman" w:hAnsi="Times New Roman" w:eastAsia="宋体" w:cs="Times New Roman"/>
          <w:sz w:val="28"/>
          <w:szCs w:val="28"/>
        </w:rPr>
        <w:t>Average daily gain (ADG; n = 6)</w:t>
      </w:r>
      <w:r>
        <w:rPr>
          <w:rFonts w:hint="eastAsia" w:ascii="Times New Roman" w:hAnsi="Times New Roman" w:eastAsia="宋体" w:cs="Times New Roman"/>
          <w:sz w:val="28"/>
          <w:szCs w:val="28"/>
        </w:rPr>
        <w:t>.</w:t>
      </w:r>
      <w:r>
        <w:rPr>
          <w:rFonts w:ascii="Times New Roman" w:hAnsi="Times New Roman" w:eastAsia="宋体" w:cs="Times New Roman"/>
          <w:sz w:val="28"/>
          <w:szCs w:val="28"/>
        </w:rPr>
        <w:t xml:space="preserve"> </w:t>
      </w:r>
      <w:r>
        <w:rPr>
          <w:rFonts w:hint="eastAsia" w:ascii="Times New Roman" w:hAnsi="Times New Roman" w:eastAsia="宋体" w:cs="Times New Roman"/>
          <w:sz w:val="28"/>
          <w:szCs w:val="28"/>
        </w:rPr>
        <w:t>(B) A</w:t>
      </w:r>
      <w:r>
        <w:rPr>
          <w:rFonts w:ascii="Times New Roman" w:hAnsi="Times New Roman" w:eastAsia="宋体" w:cs="Times New Roman"/>
          <w:sz w:val="28"/>
          <w:szCs w:val="28"/>
        </w:rPr>
        <w:t>verage daily feed intake (ADFI; n = 6)</w:t>
      </w:r>
      <w:r>
        <w:rPr>
          <w:rFonts w:hint="eastAsia" w:ascii="Times New Roman" w:hAnsi="Times New Roman" w:eastAsia="宋体" w:cs="Times New Roman"/>
          <w:sz w:val="28"/>
          <w:szCs w:val="28"/>
        </w:rPr>
        <w:t>.</w:t>
      </w:r>
      <w:r>
        <w:rPr>
          <w:rFonts w:ascii="Times New Roman" w:hAnsi="Times New Roman" w:eastAsia="宋体" w:cs="Times New Roman"/>
          <w:sz w:val="28"/>
          <w:szCs w:val="28"/>
        </w:rPr>
        <w:t xml:space="preserve"> </w:t>
      </w:r>
      <w:r>
        <w:rPr>
          <w:rFonts w:hint="eastAsia" w:ascii="Times New Roman" w:hAnsi="Times New Roman" w:eastAsia="宋体" w:cs="Times New Roman"/>
          <w:sz w:val="28"/>
          <w:szCs w:val="28"/>
        </w:rPr>
        <w:t>(C)</w:t>
      </w:r>
      <w:r>
        <w:rPr>
          <w:rFonts w:ascii="Times New Roman" w:hAnsi="Times New Roman" w:eastAsia="宋体" w:cs="Times New Roman"/>
          <w:sz w:val="28"/>
          <w:szCs w:val="28"/>
        </w:rPr>
        <w:t xml:space="preserve"> </w:t>
      </w:r>
      <w:r>
        <w:rPr>
          <w:rFonts w:hint="eastAsia" w:ascii="Times New Roman" w:hAnsi="Times New Roman" w:eastAsia="宋体" w:cs="Times New Roman"/>
          <w:sz w:val="28"/>
          <w:szCs w:val="28"/>
        </w:rPr>
        <w:t>F</w:t>
      </w:r>
      <w:r>
        <w:rPr>
          <w:rFonts w:ascii="Times New Roman" w:hAnsi="Times New Roman" w:eastAsia="宋体" w:cs="Times New Roman"/>
          <w:sz w:val="28"/>
          <w:szCs w:val="28"/>
        </w:rPr>
        <w:t>eed conversion ratio (FCR; n = 6; c) were compared among the</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three treatment groups during the various periods. “*”: significantly changed (p &lt; 0.05). The average daily gain (ADG) was measured per chicken,</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 xml:space="preserve">while the average daily feed intake (ADFI) and the feed conversion ratio (FCR) were measured six pens in each group. </w:t>
      </w:r>
      <w:r>
        <w:rPr>
          <w:rFonts w:hint="eastAsia" w:ascii="Times New Roman" w:hAnsi="Times New Roman" w:eastAsia="宋体" w:cs="Times New Roman"/>
          <w:sz w:val="28"/>
          <w:szCs w:val="28"/>
        </w:rPr>
        <w:t>(D)</w:t>
      </w:r>
      <w:r>
        <w:rPr>
          <w:rFonts w:ascii="Times New Roman" w:hAnsi="Times New Roman" w:eastAsia="宋体" w:cs="Times New Roman"/>
          <w:sz w:val="28"/>
          <w:szCs w:val="28"/>
        </w:rPr>
        <w:t xml:space="preserve"> </w:t>
      </w:r>
      <w:bookmarkStart w:id="4" w:name="_Hlk66909079"/>
      <w:r>
        <w:rPr>
          <w:rFonts w:ascii="Times New Roman" w:hAnsi="Times New Roman" w:eastAsia="宋体" w:cs="Times New Roman"/>
          <w:sz w:val="28"/>
          <w:szCs w:val="28"/>
        </w:rPr>
        <w:t>Comparison</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of three immune organ indexes from thymus gland, bursa, and spleen, which were measured at the last day of the 42-day regiment.</w:t>
      </w:r>
      <w:bookmarkEnd w:id="4"/>
      <w:r>
        <w:rPr>
          <w:rFonts w:ascii="Times New Roman" w:hAnsi="Times New Roman" w:eastAsia="宋体" w:cs="Times New Roman"/>
          <w:sz w:val="28"/>
          <w:szCs w:val="28"/>
        </w:rPr>
        <w:t xml:space="preserve"> </w:t>
      </w:r>
      <w:r>
        <w:rPr>
          <w:rFonts w:hint="eastAsia" w:ascii="Times New Roman" w:hAnsi="Times New Roman" w:eastAsia="宋体" w:cs="Times New Roman"/>
          <w:sz w:val="28"/>
          <w:szCs w:val="28"/>
        </w:rPr>
        <w:t>(E, F)</w:t>
      </w:r>
      <w:r>
        <w:rPr>
          <w:rFonts w:ascii="Times New Roman" w:hAnsi="Times New Roman" w:eastAsia="宋体" w:cs="Times New Roman"/>
          <w:sz w:val="28"/>
          <w:szCs w:val="28"/>
        </w:rPr>
        <w:t xml:space="preserve"> Comparison of serum IgG  and intestinal SIgA levels among the three groups on day 42. </w:t>
      </w:r>
      <w:bookmarkStart w:id="5" w:name="_Hlk66891392"/>
      <w:bookmarkStart w:id="6" w:name="OLE_LINK8"/>
      <w:r>
        <w:rPr>
          <w:rFonts w:hint="eastAsia" w:ascii="Times New Roman" w:hAnsi="Times New Roman" w:eastAsia="宋体" w:cs="Times New Roman"/>
          <w:sz w:val="28"/>
          <w:szCs w:val="28"/>
        </w:rPr>
        <w:t>Bars show the mean ± SD (n=5 mice per group) **=P ﹤0.01; **** =P ﹤0.0001.</w:t>
      </w:r>
    </w:p>
    <w:bookmarkEnd w:id="5"/>
    <w:bookmarkEnd w:id="6"/>
    <w:p>
      <w:pPr>
        <w:pStyle w:val="8"/>
        <w:spacing w:before="240" w:line="480" w:lineRule="auto"/>
        <w:ind w:left="360" w:firstLine="0" w:firstLineChars="0"/>
        <w:rPr>
          <w:rFonts w:ascii="Times New Roman" w:hAnsi="Times New Roman"/>
          <w:b/>
          <w:bCs/>
          <w:sz w:val="28"/>
          <w:szCs w:val="28"/>
        </w:rPr>
      </w:pPr>
      <w:r>
        <w:rPr>
          <w:rFonts w:ascii="Times New Roman" w:hAnsi="Times New Roman"/>
          <w:b/>
          <w:bCs/>
          <w:sz w:val="28"/>
          <w:szCs w:val="28"/>
        </w:rPr>
        <w:drawing>
          <wp:inline distT="0" distB="0" distL="0" distR="0">
            <wp:extent cx="5274310" cy="2811780"/>
            <wp:effectExtent l="0" t="0" r="2540" b="762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5274310" cy="2811780"/>
                    </a:xfrm>
                    <a:prstGeom prst="rect">
                      <a:avLst/>
                    </a:prstGeom>
                  </pic:spPr>
                </pic:pic>
              </a:graphicData>
            </a:graphic>
          </wp:inline>
        </w:drawing>
      </w:r>
    </w:p>
    <w:p>
      <w:pPr>
        <w:spacing w:line="480" w:lineRule="auto"/>
        <w:rPr>
          <w:rFonts w:ascii="Times New Roman" w:hAnsi="Times New Roman" w:eastAsia="宋体" w:cs="Times New Roman"/>
          <w:sz w:val="24"/>
          <w:szCs w:val="24"/>
        </w:rPr>
      </w:pPr>
      <w:r>
        <w:rPr>
          <w:rFonts w:ascii="Times New Roman" w:hAnsi="Times New Roman" w:eastAsia="宋体" w:cs="Times New Roman"/>
          <w:sz w:val="28"/>
          <w:szCs w:val="28"/>
        </w:rPr>
        <w:t>Supplementary</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Figure</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2.</w:t>
      </w:r>
      <w:r>
        <w:rPr>
          <w:rFonts w:ascii="Times New Roman" w:hAnsi="Times New Roman" w:eastAsia="宋体" w:cs="Times New Roman"/>
          <w:sz w:val="24"/>
          <w:szCs w:val="24"/>
        </w:rPr>
        <w:t xml:space="preserve"> Effects of </w:t>
      </w:r>
      <w:r>
        <w:rPr>
          <w:rFonts w:hint="eastAsia" w:ascii="Times New Roman" w:hAnsi="Times New Roman" w:eastAsia="宋体" w:cs="Times New Roman"/>
          <w:sz w:val="24"/>
          <w:szCs w:val="24"/>
        </w:rPr>
        <w:t>antibiotics</w:t>
      </w:r>
      <w:r>
        <w:rPr>
          <w:rFonts w:ascii="Times New Roman" w:hAnsi="Times New Roman" w:eastAsia="宋体" w:cs="Times New Roman"/>
          <w:sz w:val="24"/>
          <w:szCs w:val="24"/>
        </w:rPr>
        <w:t xml:space="preserve"> in </w:t>
      </w:r>
      <w:r>
        <w:rPr>
          <w:rFonts w:hint="eastAsia" w:ascii="Times New Roman" w:hAnsi="Times New Roman" w:eastAsia="宋体" w:cs="Times New Roman"/>
          <w:sz w:val="24"/>
          <w:szCs w:val="24"/>
        </w:rPr>
        <w:t>chicken</w:t>
      </w:r>
      <w:r>
        <w:rPr>
          <w:rFonts w:ascii="Times New Roman" w:hAnsi="Times New Roman" w:eastAsia="宋体" w:cs="Times New Roman"/>
          <w:sz w:val="24"/>
          <w:szCs w:val="24"/>
        </w:rPr>
        <w:t>.</w:t>
      </w:r>
      <w:r>
        <w:rPr>
          <w:rFonts w:hint="eastAsia" w:ascii="Times New Roman" w:hAnsi="Times New Roman" w:eastAsia="宋体" w:cs="Times New Roman"/>
          <w:sz w:val="24"/>
          <w:szCs w:val="24"/>
        </w:rPr>
        <w:t xml:space="preserve"> ALT</w:t>
      </w:r>
      <w:r>
        <w:rPr>
          <w:rFonts w:ascii="Times New Roman" w:hAnsi="Times New Roman" w:eastAsia="宋体" w:cs="Times New Roman"/>
          <w:sz w:val="24"/>
          <w:szCs w:val="24"/>
        </w:rPr>
        <w:t xml:space="preserve"> level (</w:t>
      </w:r>
      <w:r>
        <w:rPr>
          <w:rFonts w:hint="eastAsia" w:ascii="Times New Roman" w:hAnsi="Times New Roman" w:eastAsia="宋体" w:cs="Times New Roman"/>
          <w:sz w:val="24"/>
          <w:szCs w:val="24"/>
        </w:rPr>
        <w:t>A</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AST</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B</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MDA</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C</w:t>
      </w:r>
      <w:r>
        <w:rPr>
          <w:rFonts w:ascii="Times New Roman" w:hAnsi="Times New Roman" w:eastAsia="宋体" w:cs="Times New Roman"/>
          <w:sz w:val="24"/>
          <w:szCs w:val="24"/>
        </w:rPr>
        <w:t xml:space="preserve">), and </w:t>
      </w:r>
      <w:r>
        <w:rPr>
          <w:rFonts w:hint="eastAsia" w:ascii="Times New Roman" w:hAnsi="Times New Roman" w:eastAsia="宋体" w:cs="Times New Roman"/>
          <w:sz w:val="24"/>
          <w:szCs w:val="24"/>
        </w:rPr>
        <w:t xml:space="preserve">T-SOD </w:t>
      </w:r>
      <w:bookmarkStart w:id="7" w:name="_Hlk66909406"/>
      <w:r>
        <w:rPr>
          <w:rFonts w:ascii="Times New Roman" w:hAnsi="Times New Roman" w:eastAsia="宋体" w:cs="Times New Roman"/>
          <w:sz w:val="24"/>
          <w:szCs w:val="24"/>
        </w:rPr>
        <w:t>activities</w:t>
      </w:r>
      <w:bookmarkEnd w:id="7"/>
      <w:r>
        <w:rPr>
          <w:rFonts w:hint="eastAsia" w:ascii="Times New Roman" w:hAnsi="Times New Roman" w:eastAsia="宋体" w:cs="Times New Roman"/>
          <w:sz w:val="24"/>
          <w:szCs w:val="24"/>
        </w:rPr>
        <w:t xml:space="preserve"> </w:t>
      </w:r>
      <w:r>
        <w:rPr>
          <w:rFonts w:ascii="Times New Roman" w:hAnsi="Times New Roman" w:eastAsia="宋体" w:cs="Times New Roman"/>
          <w:sz w:val="24"/>
          <w:szCs w:val="24"/>
        </w:rPr>
        <w:t>(</w:t>
      </w:r>
      <w:r>
        <w:rPr>
          <w:rFonts w:hint="eastAsia" w:ascii="Times New Roman" w:hAnsi="Times New Roman" w:eastAsia="宋体" w:cs="Times New Roman"/>
          <w:sz w:val="24"/>
          <w:szCs w:val="24"/>
        </w:rPr>
        <w:t>D</w:t>
      </w:r>
      <w:r>
        <w:rPr>
          <w:rFonts w:ascii="Times New Roman" w:hAnsi="Times New Roman" w:eastAsia="宋体" w:cs="Times New Roman"/>
          <w:sz w:val="24"/>
          <w:szCs w:val="24"/>
        </w:rPr>
        <w:t>), histological analysis of liver</w:t>
      </w:r>
      <w:r>
        <w:rPr>
          <w:rFonts w:hint="eastAsia" w:ascii="Times New Roman" w:hAnsi="Times New Roman" w:eastAsia="宋体" w:cs="Times New Roman"/>
          <w:sz w:val="24"/>
          <w:szCs w:val="24"/>
        </w:rPr>
        <w:t xml:space="preserve"> </w:t>
      </w:r>
      <w:r>
        <w:rPr>
          <w:rFonts w:ascii="Times New Roman" w:hAnsi="Times New Roman" w:eastAsia="宋体" w:cs="Times New Roman"/>
          <w:sz w:val="24"/>
          <w:szCs w:val="24"/>
        </w:rPr>
        <w:t>(</w:t>
      </w:r>
      <w:r>
        <w:rPr>
          <w:rFonts w:hint="eastAsia" w:ascii="Times New Roman" w:hAnsi="Times New Roman" w:eastAsia="宋体" w:cs="Times New Roman"/>
          <w:sz w:val="24"/>
          <w:szCs w:val="24"/>
        </w:rPr>
        <w:t>E</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 xml:space="preserve">and </w:t>
      </w:r>
      <w:r>
        <w:rPr>
          <w:rFonts w:ascii="Times New Roman" w:hAnsi="Times New Roman" w:eastAsia="宋体" w:cs="Times New Roman"/>
          <w:sz w:val="24"/>
          <w:szCs w:val="24"/>
        </w:rPr>
        <w:t>adipocyte</w:t>
      </w:r>
      <w:r>
        <w:rPr>
          <w:rFonts w:hint="eastAsia" w:ascii="Times New Roman" w:hAnsi="Times New Roman" w:eastAsia="宋体" w:cs="Times New Roman"/>
          <w:sz w:val="24"/>
          <w:szCs w:val="24"/>
        </w:rPr>
        <w:t xml:space="preserve"> </w:t>
      </w:r>
      <w:r>
        <w:rPr>
          <w:rFonts w:ascii="Times New Roman" w:hAnsi="Times New Roman" w:eastAsia="宋体" w:cs="Times New Roman"/>
          <w:sz w:val="24"/>
          <w:szCs w:val="24"/>
        </w:rPr>
        <w:t>(</w:t>
      </w:r>
      <w:r>
        <w:rPr>
          <w:rFonts w:hint="eastAsia" w:ascii="Times New Roman" w:hAnsi="Times New Roman" w:eastAsia="宋体" w:cs="Times New Roman"/>
          <w:sz w:val="24"/>
          <w:szCs w:val="24"/>
        </w:rPr>
        <w:t>F</w:t>
      </w:r>
      <w:r>
        <w:rPr>
          <w:rFonts w:ascii="Times New Roman" w:hAnsi="Times New Roman" w:eastAsia="宋体" w:cs="Times New Roman"/>
          <w:sz w:val="24"/>
          <w:szCs w:val="24"/>
        </w:rPr>
        <w:t xml:space="preserve">) under a microscope (e, 600×) are shown. For </w:t>
      </w:r>
      <w:r>
        <w:rPr>
          <w:rFonts w:hint="eastAsia" w:ascii="Times New Roman" w:hAnsi="Times New Roman" w:eastAsia="宋体" w:cs="Times New Roman"/>
          <w:sz w:val="24"/>
          <w:szCs w:val="24"/>
        </w:rPr>
        <w:t>A</w:t>
      </w:r>
      <w:r>
        <w:rPr>
          <w:rFonts w:ascii="Times New Roman" w:hAnsi="Times New Roman" w:eastAsia="宋体" w:cs="Times New Roman"/>
          <w:sz w:val="24"/>
          <w:szCs w:val="24"/>
        </w:rPr>
        <w:t>–</w:t>
      </w:r>
      <w:r>
        <w:rPr>
          <w:rFonts w:hint="eastAsia" w:ascii="Times New Roman" w:hAnsi="Times New Roman" w:eastAsia="宋体" w:cs="Times New Roman"/>
          <w:sz w:val="24"/>
          <w:szCs w:val="24"/>
        </w:rPr>
        <w:t>D</w:t>
      </w:r>
      <w:r>
        <w:rPr>
          <w:rFonts w:ascii="Times New Roman" w:hAnsi="Times New Roman" w:eastAsia="宋体" w:cs="Times New Roman"/>
          <w:sz w:val="24"/>
          <w:szCs w:val="24"/>
        </w:rPr>
        <w:t>, values are expressed as the</w:t>
      </w:r>
      <w:r>
        <w:rPr>
          <w:rFonts w:hint="eastAsia" w:ascii="Times New Roman" w:hAnsi="Times New Roman" w:eastAsia="宋体" w:cs="Times New Roman"/>
          <w:sz w:val="24"/>
          <w:szCs w:val="24"/>
        </w:rPr>
        <w:t xml:space="preserve"> </w:t>
      </w:r>
      <w:r>
        <w:rPr>
          <w:rFonts w:ascii="Times New Roman" w:hAnsi="Times New Roman" w:eastAsia="宋体" w:cs="Times New Roman"/>
          <w:sz w:val="24"/>
          <w:szCs w:val="24"/>
        </w:rPr>
        <w:t xml:space="preserve">mean ± SEM (n = </w:t>
      </w:r>
      <w:r>
        <w:rPr>
          <w:rFonts w:hint="eastAsia" w:ascii="Times New Roman" w:hAnsi="Times New Roman" w:eastAsia="宋体" w:cs="Times New Roman"/>
          <w:sz w:val="24"/>
          <w:szCs w:val="24"/>
        </w:rPr>
        <w:t>6</w:t>
      </w:r>
      <w:r>
        <w:rPr>
          <w:rFonts w:ascii="Times New Roman" w:hAnsi="Times New Roman" w:eastAsia="宋体" w:cs="Times New Roman"/>
          <w:sz w:val="24"/>
          <w:szCs w:val="24"/>
        </w:rPr>
        <w:t>).</w:t>
      </w:r>
      <w:r>
        <w:rPr>
          <w:rFonts w:hint="eastAsia" w:ascii="Times New Roman" w:hAnsi="Times New Roman" w:cs="Times New Roman"/>
          <w:sz w:val="24"/>
          <w:szCs w:val="24"/>
        </w:rPr>
        <w:t xml:space="preserve"> </w:t>
      </w:r>
      <w:r>
        <w:rPr>
          <w:rFonts w:ascii="Times New Roman" w:hAnsi="Times New Roman" w:cs="Times New Roman"/>
          <w:sz w:val="24"/>
          <w:szCs w:val="24"/>
        </w:rPr>
        <w:t>(H)</w:t>
      </w:r>
      <w:bookmarkStart w:id="8" w:name="_Hlk66909349"/>
      <w:r>
        <w:rPr>
          <w:rFonts w:hint="eastAsia" w:ascii="Times New Roman" w:hAnsi="Times New Roman" w:eastAsia="宋体" w:cs="Times New Roman"/>
          <w:sz w:val="24"/>
          <w:szCs w:val="24"/>
        </w:rPr>
        <w:t>Liver/weight mass ratio in different groups.</w:t>
      </w:r>
      <w:bookmarkEnd w:id="8"/>
      <w:r>
        <w:rPr>
          <w:rFonts w:hint="eastAsia" w:ascii="Times New Roman" w:hAnsi="Times New Roman" w:eastAsia="宋体" w:cs="Times New Roman"/>
          <w:sz w:val="24"/>
          <w:szCs w:val="24"/>
        </w:rPr>
        <w:t xml:space="preserve"> </w:t>
      </w:r>
      <w:r>
        <w:rPr>
          <w:rFonts w:ascii="Times New Roman" w:hAnsi="Times New Roman" w:eastAsia="宋体" w:cs="Times New Roman"/>
          <w:sz w:val="24"/>
          <w:szCs w:val="24"/>
        </w:rPr>
        <w:t>Statistical analyses were conducted using the one-way ANOVA. *p &lt; 0.05, **p &lt; 0.01, ***p &lt; 0.001,</w:t>
      </w:r>
      <w:r>
        <w:rPr>
          <w:rFonts w:hint="eastAsia" w:ascii="Times New Roman" w:hAnsi="Times New Roman" w:eastAsia="宋体" w:cs="Times New Roman"/>
          <w:sz w:val="24"/>
          <w:szCs w:val="24"/>
        </w:rPr>
        <w:t xml:space="preserve"> </w:t>
      </w:r>
      <w:r>
        <w:rPr>
          <w:rFonts w:ascii="Times New Roman" w:hAnsi="Times New Roman" w:eastAsia="宋体" w:cs="Times New Roman"/>
          <w:sz w:val="24"/>
          <w:szCs w:val="24"/>
        </w:rPr>
        <w:t xml:space="preserve">****p &lt; 0.0001; ns: not significant. </w:t>
      </w:r>
    </w:p>
    <w:p>
      <w:pPr>
        <w:spacing w:line="480" w:lineRule="auto"/>
        <w:jc w:val="center"/>
        <w:rPr>
          <w:rFonts w:ascii="Times New Roman" w:hAnsi="Times New Roman" w:cs="Times New Roman"/>
          <w:sz w:val="24"/>
          <w:szCs w:val="24"/>
        </w:rPr>
      </w:pPr>
      <w:r>
        <w:rPr>
          <w:rFonts w:hint="eastAsia" w:ascii="Times New Roman" w:hAnsi="Times New Roman" w:cs="Times New Roman"/>
          <w:sz w:val="24"/>
          <w:szCs w:val="24"/>
        </w:rPr>
        <w:drawing>
          <wp:inline distT="0" distB="0" distL="0" distR="0">
            <wp:extent cx="5274310" cy="4700905"/>
            <wp:effectExtent l="0" t="0" r="254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74310" cy="4700905"/>
                    </a:xfrm>
                    <a:prstGeom prst="rect">
                      <a:avLst/>
                    </a:prstGeom>
                  </pic:spPr>
                </pic:pic>
              </a:graphicData>
            </a:graphic>
          </wp:inline>
        </w:drawing>
      </w:r>
    </w:p>
    <w:p>
      <w:pPr>
        <w:spacing w:line="480" w:lineRule="auto"/>
        <w:rPr>
          <w:rFonts w:ascii="Times New Roman" w:hAnsi="Times New Roman" w:cs="Times New Roman"/>
          <w:sz w:val="24"/>
          <w:szCs w:val="24"/>
        </w:rPr>
      </w:pPr>
      <w:r>
        <w:rPr>
          <w:rFonts w:ascii="Times New Roman" w:hAnsi="Times New Roman" w:cs="Times New Roman"/>
          <w:sz w:val="24"/>
          <w:szCs w:val="24"/>
        </w:rPr>
        <w:t>Supplementary</w:t>
      </w:r>
      <w:r>
        <w:rPr>
          <w:rFonts w:hint="eastAsia" w:ascii="Times New Roman" w:hAnsi="Times New Roman" w:cs="Times New Roman"/>
          <w:sz w:val="24"/>
          <w:szCs w:val="24"/>
        </w:rPr>
        <w:t xml:space="preserve"> </w:t>
      </w:r>
      <w:r>
        <w:rPr>
          <w:rFonts w:ascii="Times New Roman" w:hAnsi="Times New Roman" w:cs="Times New Roman"/>
          <w:sz w:val="24"/>
          <w:szCs w:val="24"/>
        </w:rPr>
        <w:t>Figure</w:t>
      </w:r>
      <w:r>
        <w:rPr>
          <w:rFonts w:hint="eastAsia" w:ascii="Times New Roman" w:hAnsi="Times New Roman" w:cs="Times New Roman"/>
          <w:sz w:val="24"/>
          <w:szCs w:val="24"/>
        </w:rPr>
        <w:t xml:space="preserve"> </w:t>
      </w:r>
      <w:r>
        <w:rPr>
          <w:rFonts w:ascii="Times New Roman" w:hAnsi="Times New Roman" w:cs="Times New Roman"/>
          <w:sz w:val="24"/>
          <w:szCs w:val="24"/>
        </w:rPr>
        <w:t>3.</w:t>
      </w:r>
      <w:r>
        <w:rPr>
          <w:rFonts w:hint="eastAsia" w:ascii="Times New Roman" w:hAnsi="Times New Roman" w:cs="Times New Roman"/>
          <w:sz w:val="24"/>
          <w:szCs w:val="24"/>
        </w:rPr>
        <w:t xml:space="preserve"> The abundance box plot of the top12 differential genera based on Metastat analysis. The abscissa is the group name, and the ordinate is the relative abundance. </w:t>
      </w:r>
      <w:bookmarkStart w:id="9" w:name="OLE_LINK6"/>
      <w:r>
        <w:rPr>
          <w:rFonts w:hint="eastAsia" w:ascii="Times New Roman" w:hAnsi="Times New Roman" w:cs="Times New Roman"/>
          <w:sz w:val="24"/>
          <w:szCs w:val="24"/>
        </w:rPr>
        <w:t xml:space="preserve">(A) </w:t>
      </w:r>
      <w:bookmarkEnd w:id="9"/>
      <w:r>
        <w:rPr>
          <w:rFonts w:hint="eastAsia" w:ascii="Times New Roman" w:hAnsi="Times New Roman" w:cs="Times New Roman"/>
          <w:sz w:val="24"/>
          <w:szCs w:val="24"/>
        </w:rPr>
        <w:t xml:space="preserve">f_Planococcaceae. (B) g_Akkermansia. (C) g_Caproiciproducens. (D) g_Cutibacterium. </w:t>
      </w:r>
      <w:bookmarkStart w:id="10" w:name="OLE_LINK7"/>
      <w:r>
        <w:rPr>
          <w:rFonts w:hint="eastAsia" w:ascii="Times New Roman" w:hAnsi="Times New Roman" w:cs="Times New Roman"/>
          <w:sz w:val="24"/>
          <w:szCs w:val="24"/>
        </w:rPr>
        <w:t xml:space="preserve">(E) </w:t>
      </w:r>
      <w:bookmarkEnd w:id="10"/>
      <w:r>
        <w:rPr>
          <w:rFonts w:hint="eastAsia" w:ascii="Times New Roman" w:hAnsi="Times New Roman" w:cs="Times New Roman"/>
          <w:sz w:val="24"/>
          <w:szCs w:val="24"/>
        </w:rPr>
        <w:t>g_Enhydrobacter. (F) g_Cutibacterium. (G) g_Flavonifractor.  (H) g_</w:t>
      </w:r>
      <w:bookmarkStart w:id="11" w:name="OLE_LINK1"/>
      <w:r>
        <w:rPr>
          <w:rFonts w:hint="eastAsia" w:ascii="Times New Roman" w:hAnsi="Times New Roman" w:cs="Times New Roman"/>
          <w:sz w:val="24"/>
          <w:szCs w:val="24"/>
        </w:rPr>
        <w:t>Kurthia</w:t>
      </w:r>
      <w:bookmarkEnd w:id="11"/>
      <w:r>
        <w:rPr>
          <w:rFonts w:hint="eastAsia" w:ascii="Times New Roman" w:hAnsi="Times New Roman" w:cs="Times New Roman"/>
          <w:sz w:val="24"/>
          <w:szCs w:val="24"/>
        </w:rPr>
        <w:t xml:space="preserve">.  (I) g_Pediococcus.  (J) g_Pseudomonas.  (K) g_Sphingobium.  (L) g_Thermus. </w:t>
      </w:r>
    </w:p>
    <w:p>
      <w:pPr>
        <w:spacing w:line="480" w:lineRule="auto"/>
        <w:jc w:val="center"/>
        <w:rPr>
          <w:rFonts w:ascii="Times New Roman" w:hAnsi="Times New Roman" w:cs="Times New Roman"/>
          <w:sz w:val="24"/>
          <w:szCs w:val="24"/>
        </w:rPr>
      </w:pPr>
      <w:r>
        <w:rPr>
          <w:rFonts w:hint="eastAsia" w:ascii="Times New Roman" w:hAnsi="Times New Roman" w:cs="Times New Roman"/>
          <w:sz w:val="24"/>
          <w:szCs w:val="24"/>
        </w:rPr>
        <w:drawing>
          <wp:inline distT="0" distB="0" distL="114300" distR="114300">
            <wp:extent cx="4303395" cy="4694555"/>
            <wp:effectExtent l="0" t="0" r="9525" b="14605"/>
            <wp:docPr id="3" name="图片 3" descr="Fig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igure 4"/>
                    <pic:cNvPicPr>
                      <a:picLocks noChangeAspect="1"/>
                    </pic:cNvPicPr>
                  </pic:nvPicPr>
                  <pic:blipFill>
                    <a:blip r:embed="rId6"/>
                    <a:stretch>
                      <a:fillRect/>
                    </a:stretch>
                  </pic:blipFill>
                  <pic:spPr>
                    <a:xfrm>
                      <a:off x="0" y="0"/>
                      <a:ext cx="4303395" cy="4694555"/>
                    </a:xfrm>
                    <a:prstGeom prst="rect">
                      <a:avLst/>
                    </a:prstGeom>
                  </pic:spPr>
                </pic:pic>
              </a:graphicData>
            </a:graphic>
          </wp:inline>
        </w:drawing>
      </w:r>
    </w:p>
    <w:p>
      <w:pPr>
        <w:spacing w:line="480" w:lineRule="auto"/>
        <w:jc w:val="left"/>
        <w:rPr>
          <w:rFonts w:ascii="Times New Roman" w:hAnsi="Times New Roman" w:cs="Times New Roman"/>
          <w:sz w:val="24"/>
          <w:szCs w:val="24"/>
        </w:rPr>
      </w:pPr>
      <w:r>
        <w:rPr>
          <w:rFonts w:ascii="Times New Roman" w:hAnsi="Times New Roman" w:cs="Times New Roman"/>
          <w:sz w:val="24"/>
          <w:szCs w:val="24"/>
        </w:rPr>
        <w:t>Supplementary</w:t>
      </w:r>
      <w:r>
        <w:rPr>
          <w:rFonts w:hint="eastAsia" w:ascii="Times New Roman" w:hAnsi="Times New Roman" w:cs="Times New Roman"/>
          <w:sz w:val="24"/>
          <w:szCs w:val="24"/>
        </w:rPr>
        <w:t xml:space="preserve"> </w:t>
      </w:r>
      <w:r>
        <w:rPr>
          <w:rFonts w:ascii="Times New Roman" w:hAnsi="Times New Roman" w:cs="Times New Roman"/>
          <w:sz w:val="24"/>
          <w:szCs w:val="24"/>
        </w:rPr>
        <w:t>Figure</w:t>
      </w:r>
      <w:r>
        <w:rPr>
          <w:rFonts w:hint="eastAsia" w:ascii="Times New Roman" w:hAnsi="Times New Roman" w:cs="Times New Roman"/>
          <w:sz w:val="24"/>
          <w:szCs w:val="24"/>
        </w:rPr>
        <w:t xml:space="preserve"> </w:t>
      </w:r>
      <w:r>
        <w:rPr>
          <w:rFonts w:ascii="Times New Roman" w:hAnsi="Times New Roman" w:cs="Times New Roman"/>
          <w:sz w:val="24"/>
          <w:szCs w:val="24"/>
        </w:rPr>
        <w:t>4</w:t>
      </w:r>
      <w:r>
        <w:rPr>
          <w:rFonts w:hint="eastAsia" w:ascii="Times New Roman" w:hAnsi="Times New Roman" w:cs="Times New Roman"/>
          <w:sz w:val="24"/>
          <w:szCs w:val="24"/>
        </w:rPr>
        <w:t xml:space="preserve"> </w:t>
      </w:r>
      <w:r>
        <w:rPr>
          <w:rFonts w:ascii="Times New Roman" w:hAnsi="Times New Roman" w:cs="Times New Roman"/>
          <w:sz w:val="24"/>
          <w:szCs w:val="24"/>
        </w:rPr>
        <w:t xml:space="preserve">Serum metabolome of chicken. (A) Drawing evolutionary tree based on sample normalization abundance. (B) PCA of all groups based on metabolomics data. (C) Heatmap analysis of fecal differential metabolites of chicken on day </w:t>
      </w:r>
      <w:r>
        <w:rPr>
          <w:rFonts w:hint="eastAsia" w:ascii="Times New Roman" w:hAnsi="Times New Roman" w:cs="Times New Roman"/>
          <w:sz w:val="24"/>
          <w:szCs w:val="24"/>
          <w:lang w:val="en-US" w:eastAsia="zh-CN"/>
        </w:rPr>
        <w:t>35</w:t>
      </w:r>
      <w:r>
        <w:rPr>
          <w:rFonts w:ascii="Times New Roman" w:hAnsi="Times New Roman" w:cs="Times New Roman"/>
          <w:sz w:val="24"/>
          <w:szCs w:val="24"/>
        </w:rPr>
        <w:t xml:space="preserve">nd. (D) KEGG analysis of metabolites according to the selected differential metabolites and KEGG annotation ID. </w:t>
      </w:r>
    </w:p>
    <w:p>
      <w:pPr>
        <w:spacing w:line="480" w:lineRule="auto"/>
        <w:jc w:val="left"/>
        <w:rPr>
          <w:rFonts w:hint="eastAsia" w:ascii="Times New Roman" w:hAnsi="Times New Roman" w:cs="Times New Roman" w:eastAsiaTheme="minorEastAsia"/>
          <w:sz w:val="24"/>
          <w:szCs w:val="24"/>
          <w:lang w:eastAsia="zh-CN"/>
        </w:rPr>
      </w:pPr>
      <w:bookmarkStart w:id="15" w:name="_GoBack"/>
      <w:r>
        <w:rPr>
          <w:rFonts w:hint="eastAsia" w:ascii="Times New Roman" w:hAnsi="Times New Roman" w:cs="Times New Roman" w:eastAsiaTheme="minorEastAsia"/>
          <w:sz w:val="24"/>
          <w:szCs w:val="24"/>
          <w:lang w:eastAsia="zh-CN"/>
        </w:rPr>
        <w:drawing>
          <wp:inline distT="0" distB="0" distL="114300" distR="114300">
            <wp:extent cx="5247005" cy="5100320"/>
            <wp:effectExtent l="0" t="0" r="10795" b="5080"/>
            <wp:docPr id="5" name="图片 5" descr="血清代谢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血清代谢1"/>
                    <pic:cNvPicPr>
                      <a:picLocks noChangeAspect="1"/>
                    </pic:cNvPicPr>
                  </pic:nvPicPr>
                  <pic:blipFill>
                    <a:blip r:embed="rId7"/>
                    <a:stretch>
                      <a:fillRect/>
                    </a:stretch>
                  </pic:blipFill>
                  <pic:spPr>
                    <a:xfrm>
                      <a:off x="0" y="0"/>
                      <a:ext cx="5247005" cy="5100320"/>
                    </a:xfrm>
                    <a:prstGeom prst="rect">
                      <a:avLst/>
                    </a:prstGeom>
                  </pic:spPr>
                </pic:pic>
              </a:graphicData>
            </a:graphic>
          </wp:inline>
        </w:drawing>
      </w:r>
      <w:bookmarkEnd w:id="15"/>
    </w:p>
    <w:p>
      <w:pPr>
        <w:spacing w:line="480" w:lineRule="auto"/>
        <w:jc w:val="left"/>
        <w:rPr>
          <w:rFonts w:ascii="Times New Roman" w:hAnsi="Times New Roman" w:cs="Times New Roman"/>
          <w:sz w:val="24"/>
          <w:szCs w:val="24"/>
        </w:rPr>
      </w:pPr>
    </w:p>
    <w:p>
      <w:pPr>
        <w:spacing w:line="480" w:lineRule="auto"/>
        <w:jc w:val="left"/>
        <w:rPr>
          <w:rFonts w:ascii="Times New Roman" w:hAnsi="Times New Roman" w:cs="Times New Roman"/>
          <w:sz w:val="24"/>
          <w:szCs w:val="24"/>
        </w:rPr>
      </w:pPr>
      <w:r>
        <w:rPr>
          <w:rFonts w:ascii="Times New Roman" w:hAnsi="Times New Roman" w:cs="Times New Roman"/>
          <w:sz w:val="24"/>
          <w:szCs w:val="24"/>
        </w:rPr>
        <w:t>Supplementary</w:t>
      </w:r>
      <w:r>
        <w:rPr>
          <w:rFonts w:hint="eastAsia" w:ascii="Times New Roman" w:hAnsi="Times New Roman" w:cs="Times New Roman"/>
          <w:sz w:val="24"/>
          <w:szCs w:val="24"/>
        </w:rPr>
        <w:t xml:space="preserve"> </w:t>
      </w:r>
      <w:r>
        <w:rPr>
          <w:rFonts w:ascii="Times New Roman" w:hAnsi="Times New Roman" w:cs="Times New Roman"/>
          <w:sz w:val="24"/>
          <w:szCs w:val="24"/>
        </w:rPr>
        <w:t>Figure</w:t>
      </w:r>
      <w:r>
        <w:rPr>
          <w:rFonts w:hint="eastAsia" w:ascii="Times New Roman" w:hAnsi="Times New Roman" w:cs="Times New Roman"/>
          <w:sz w:val="24"/>
          <w:szCs w:val="24"/>
        </w:rPr>
        <w:t xml:space="preserve"> </w:t>
      </w:r>
      <w:r>
        <w:rPr>
          <w:rFonts w:ascii="Times New Roman" w:hAnsi="Times New Roman" w:cs="Times New Roman"/>
          <w:sz w:val="24"/>
          <w:szCs w:val="24"/>
        </w:rPr>
        <w:t xml:space="preserve">5 </w:t>
      </w:r>
      <w:bookmarkStart w:id="12" w:name="_Hlk68185020"/>
      <w:bookmarkStart w:id="13" w:name="OLE_LINK2"/>
      <w:r>
        <w:rPr>
          <w:rFonts w:ascii="Times New Roman" w:hAnsi="Times New Roman" w:cs="Times New Roman"/>
          <w:sz w:val="24"/>
          <w:szCs w:val="24"/>
        </w:rPr>
        <w:t>Lipidomic</w:t>
      </w:r>
      <w:bookmarkEnd w:id="12"/>
      <w:bookmarkEnd w:id="13"/>
      <w:r>
        <w:rPr>
          <w:rFonts w:ascii="Times New Roman" w:hAnsi="Times New Roman" w:cs="Times New Roman"/>
          <w:sz w:val="24"/>
          <w:szCs w:val="24"/>
        </w:rPr>
        <w:t xml:space="preserve"> of serum samples in chicken. (A) PCA of all groups based on lipid data. (B) </w:t>
      </w:r>
      <w:bookmarkStart w:id="14" w:name="_Hlk68169057"/>
      <w:r>
        <w:rPr>
          <w:rFonts w:ascii="Times New Roman" w:hAnsi="Times New Roman" w:cs="Times New Roman"/>
          <w:sz w:val="24"/>
          <w:szCs w:val="24"/>
        </w:rPr>
        <w:t>PLS-DA of all groups</w:t>
      </w:r>
      <w:bookmarkEnd w:id="14"/>
      <w:r>
        <w:rPr>
          <w:rFonts w:ascii="Times New Roman" w:hAnsi="Times New Roman" w:cs="Times New Roman"/>
          <w:sz w:val="24"/>
          <w:szCs w:val="24"/>
        </w:rPr>
        <w:t xml:space="preserve">. (C) Heatmap analysis of samples of chicken on day </w:t>
      </w:r>
      <w:r>
        <w:rPr>
          <w:rFonts w:hint="eastAsia" w:ascii="Times New Roman" w:hAnsi="Times New Roman" w:cs="Times New Roman"/>
          <w:sz w:val="24"/>
          <w:szCs w:val="24"/>
          <w:lang w:val="en-US" w:eastAsia="zh-CN"/>
        </w:rPr>
        <w:t>35</w:t>
      </w:r>
      <w:r>
        <w:rPr>
          <w:rFonts w:ascii="Times New Roman" w:hAnsi="Times New Roman" w:cs="Times New Roman"/>
          <w:sz w:val="24"/>
          <w:szCs w:val="24"/>
        </w:rPr>
        <w:t xml:space="preserve">nd. (D) KEGG analysis of metabolites according to the selected differential metabolites and KEGG annotation ID. </w:t>
      </w:r>
    </w:p>
    <w:p>
      <w:pPr>
        <w:spacing w:line="480" w:lineRule="auto"/>
        <w:jc w:val="left"/>
        <w:rPr>
          <w:rFonts w:hint="eastAsia" w:eastAsiaTheme="minorEastAsia"/>
          <w:lang w:eastAsia="zh-CN"/>
        </w:rPr>
      </w:pPr>
      <w:r>
        <w:rPr>
          <w:rFonts w:hint="eastAsia" w:eastAsiaTheme="minorEastAsia"/>
          <w:lang w:eastAsia="zh-CN"/>
        </w:rPr>
        <w:drawing>
          <wp:inline distT="0" distB="0" distL="114300" distR="114300">
            <wp:extent cx="5247005" cy="3564255"/>
            <wp:effectExtent l="0" t="0" r="10795" b="1905"/>
            <wp:docPr id="7" name="图片 7" descr="血清脂质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血清脂质1"/>
                    <pic:cNvPicPr>
                      <a:picLocks noChangeAspect="1"/>
                    </pic:cNvPicPr>
                  </pic:nvPicPr>
                  <pic:blipFill>
                    <a:blip r:embed="rId8"/>
                    <a:stretch>
                      <a:fillRect/>
                    </a:stretch>
                  </pic:blipFill>
                  <pic:spPr>
                    <a:xfrm>
                      <a:off x="0" y="0"/>
                      <a:ext cx="5247005" cy="3564255"/>
                    </a:xfrm>
                    <a:prstGeom prst="rect">
                      <a:avLst/>
                    </a:prstGeom>
                  </pic:spPr>
                </pic:pic>
              </a:graphicData>
            </a:graphic>
          </wp:inline>
        </w:drawing>
      </w:r>
    </w:p>
    <w:p>
      <w:pPr>
        <w:spacing w:line="480" w:lineRule="auto"/>
        <w:jc w:val="left"/>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KktdvtAdvTT86d47313">
    <w:altName w:val="Cambria"/>
    <w:panose1 w:val="00000000000000000000"/>
    <w:charset w:val="00"/>
    <w:family w:val="roman"/>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auto"/>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1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C869AA"/>
    <w:rsid w:val="00025F72"/>
    <w:rsid w:val="000735E1"/>
    <w:rsid w:val="00154AA1"/>
    <w:rsid w:val="00257257"/>
    <w:rsid w:val="002E1FCD"/>
    <w:rsid w:val="002E7821"/>
    <w:rsid w:val="00326749"/>
    <w:rsid w:val="00673799"/>
    <w:rsid w:val="00815F26"/>
    <w:rsid w:val="00992A7B"/>
    <w:rsid w:val="00A02BB6"/>
    <w:rsid w:val="00B57856"/>
    <w:rsid w:val="00B824B6"/>
    <w:rsid w:val="00C1475F"/>
    <w:rsid w:val="00C52922"/>
    <w:rsid w:val="00D56BC0"/>
    <w:rsid w:val="00D824BD"/>
    <w:rsid w:val="00DE7C65"/>
    <w:rsid w:val="00E20D4E"/>
    <w:rsid w:val="00ED4B8F"/>
    <w:rsid w:val="00F52C83"/>
    <w:rsid w:val="017A7520"/>
    <w:rsid w:val="05F60886"/>
    <w:rsid w:val="11C869AA"/>
    <w:rsid w:val="1D367B3C"/>
    <w:rsid w:val="2B477463"/>
    <w:rsid w:val="327E6AF3"/>
    <w:rsid w:val="411E0D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rFonts w:asciiTheme="minorHAnsi" w:hAnsiTheme="minorHAnsi" w:eastAsiaTheme="minorEastAsia" w:cstheme="minorBidi"/>
      <w:kern w:val="2"/>
      <w:sz w:val="18"/>
      <w:szCs w:val="18"/>
    </w:rPr>
  </w:style>
  <w:style w:type="character" w:customStyle="1" w:styleId="7">
    <w:name w:val="页脚 字符"/>
    <w:basedOn w:val="5"/>
    <w:link w:val="2"/>
    <w:qFormat/>
    <w:uiPriority w:val="0"/>
    <w:rPr>
      <w:rFonts w:asciiTheme="minorHAnsi" w:hAnsiTheme="minorHAnsi" w:eastAsiaTheme="minorEastAsia" w:cstheme="minorBidi"/>
      <w:kern w:val="2"/>
      <w:sz w:val="18"/>
      <w:szCs w:val="18"/>
    </w:rPr>
  </w:style>
  <w:style w:type="paragraph" w:styleId="8">
    <w:name w:val="List Paragraph"/>
    <w:basedOn w:val="1"/>
    <w:qFormat/>
    <w:uiPriority w:val="34"/>
    <w:pPr>
      <w:ind w:firstLine="420" w:firstLineChars="200"/>
    </w:pPr>
    <w:rPr>
      <w:rFonts w:ascii="Calibri" w:hAnsi="Calibri" w:eastAsia="宋体" w:cs="Times New Roman"/>
      <w:szCs w:val="21"/>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1.tiff"/><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583</Words>
  <Characters>3328</Characters>
  <Lines>27</Lines>
  <Paragraphs>7</Paragraphs>
  <TotalTime>1</TotalTime>
  <ScaleCrop>false</ScaleCrop>
  <LinksUpToDate>false</LinksUpToDate>
  <CharactersWithSpaces>3904</CharactersWithSpaces>
  <Application>WPS Office_11.1.0.9995_F1E327BC-269C-435d-A152-05C5408002CA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2021-03-09T02:05:00Z</dcterms:created>
  <dc:creator>NNuan</dc:creator>
  <cp:lastModifiedBy>NNuan</cp:lastModifiedBy>
  <dcterms:modified xsi:type="dcterms:W3CDTF">2021-06-03T00:38:11Z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2052-11.1.0.9995</vt:lpwstr>
  </property>
</Properties>
</file>