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0ECE1" w14:textId="77777777" w:rsidR="00A1664A" w:rsidRPr="00F04BD9" w:rsidRDefault="00E27E08" w:rsidP="00A1664A">
      <w:pPr>
        <w:rPr>
          <w:rFonts w:ascii="Times New Roman" w:hAnsi="Times New Roman" w:cs="Times New Roman"/>
          <w:szCs w:val="21"/>
        </w:rPr>
      </w:pPr>
      <w:r w:rsidRPr="00E27E08">
        <w:rPr>
          <w:rFonts w:ascii="Times New Roman" w:hAnsi="Times New Roman" w:cs="Times New Roman"/>
          <w:b/>
          <w:bCs/>
          <w:szCs w:val="21"/>
        </w:rPr>
        <w:t>Supplementary Table 4</w:t>
      </w:r>
      <w:r w:rsidR="00A1664A">
        <w:rPr>
          <w:rFonts w:ascii="Times New Roman" w:hAnsi="Times New Roman" w:cs="Times New Roman"/>
          <w:szCs w:val="21"/>
        </w:rPr>
        <w:t xml:space="preserve">. </w:t>
      </w:r>
      <w:r w:rsidR="00A1664A" w:rsidRPr="00F04BD9">
        <w:rPr>
          <w:rFonts w:ascii="Times New Roman" w:hAnsi="Times New Roman" w:cs="Times New Roman"/>
          <w:szCs w:val="21"/>
        </w:rPr>
        <w:t>Major differential metabolites in plasma between Hos-survival and Hos-death</w:t>
      </w:r>
      <w:r w:rsidR="00A1664A"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pPr w:leftFromText="180" w:rightFromText="180" w:vertAnchor="page" w:horzAnchor="margin" w:tblpY="2248"/>
        <w:tblOverlap w:val="never"/>
        <w:tblW w:w="14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0"/>
        <w:gridCol w:w="2737"/>
        <w:gridCol w:w="1642"/>
        <w:gridCol w:w="1772"/>
        <w:gridCol w:w="1245"/>
        <w:gridCol w:w="1405"/>
        <w:gridCol w:w="2176"/>
        <w:gridCol w:w="2430"/>
      </w:tblGrid>
      <w:tr w:rsidR="0056663A" w:rsidRPr="00F04BD9" w14:paraId="7EE213E6" w14:textId="77777777" w:rsidTr="0056663A">
        <w:trPr>
          <w:trHeight w:val="411"/>
        </w:trPr>
        <w:tc>
          <w:tcPr>
            <w:tcW w:w="93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A7C38AC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2C70B4">
              <w:rPr>
                <w:b/>
                <w:bCs/>
              </w:rPr>
              <w:t>NO</w:t>
            </w:r>
          </w:p>
        </w:tc>
        <w:tc>
          <w:tcPr>
            <w:tcW w:w="273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A96FC86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2C70B4">
              <w:rPr>
                <w:b/>
                <w:bCs/>
              </w:rPr>
              <w:t>Differential metabolites</w:t>
            </w:r>
          </w:p>
        </w:tc>
        <w:tc>
          <w:tcPr>
            <w:tcW w:w="164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D625295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2C70B4">
              <w:rPr>
                <w:b/>
                <w:bCs/>
              </w:rPr>
              <w:t>m/z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06F6EC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2C70B4">
              <w:rPr>
                <w:b/>
                <w:bCs/>
              </w:rPr>
              <w:t>RT</w:t>
            </w:r>
            <w:r w:rsidRPr="002C70B4">
              <w:rPr>
                <w:b/>
                <w:bCs/>
              </w:rPr>
              <w:t>（</w:t>
            </w:r>
            <w:r w:rsidRPr="002C70B4">
              <w:rPr>
                <w:b/>
                <w:bCs/>
              </w:rPr>
              <w:t>min</w:t>
            </w:r>
            <w:r w:rsidRPr="002C70B4">
              <w:rPr>
                <w:b/>
                <w:bCs/>
              </w:rPr>
              <w:t>）</w:t>
            </w:r>
          </w:p>
        </w:tc>
        <w:tc>
          <w:tcPr>
            <w:tcW w:w="124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63B7894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2C70B4">
              <w:rPr>
                <w:b/>
                <w:bCs/>
              </w:rPr>
              <w:t>VIP</w:t>
            </w:r>
          </w:p>
        </w:tc>
        <w:tc>
          <w:tcPr>
            <w:tcW w:w="140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28D8C21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680BCF">
              <w:rPr>
                <w:b/>
                <w:bCs/>
                <w:i/>
                <w:iCs/>
              </w:rPr>
              <w:t>P</w:t>
            </w:r>
            <w:r w:rsidRPr="002C70B4">
              <w:rPr>
                <w:b/>
                <w:bCs/>
              </w:rPr>
              <w:t xml:space="preserve"> value</w:t>
            </w:r>
          </w:p>
        </w:tc>
        <w:tc>
          <w:tcPr>
            <w:tcW w:w="21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B45709C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2C70B4">
              <w:rPr>
                <w:b/>
                <w:bCs/>
              </w:rPr>
              <w:t>FC</w:t>
            </w:r>
            <w:r w:rsidRPr="002C70B4">
              <w:rPr>
                <w:b/>
                <w:bCs/>
              </w:rPr>
              <w:t>（</w:t>
            </w:r>
            <w:r w:rsidRPr="002C70B4">
              <w:rPr>
                <w:b/>
                <w:bCs/>
              </w:rPr>
              <w:t>HOS-S/HOS-D</w:t>
            </w:r>
            <w:r w:rsidRPr="002C70B4">
              <w:rPr>
                <w:b/>
                <w:bCs/>
              </w:rPr>
              <w:t>）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1FDC102" w14:textId="77777777" w:rsidR="0056663A" w:rsidRPr="002C70B4" w:rsidRDefault="0056663A" w:rsidP="0056663A">
            <w:pPr>
              <w:jc w:val="center"/>
              <w:rPr>
                <w:b/>
                <w:bCs/>
              </w:rPr>
            </w:pPr>
            <w:r w:rsidRPr="002C70B4">
              <w:rPr>
                <w:b/>
                <w:bCs/>
              </w:rPr>
              <w:t>Involved pathways</w:t>
            </w:r>
          </w:p>
        </w:tc>
      </w:tr>
      <w:tr w:rsidR="0056663A" w14:paraId="389BB175" w14:textId="77777777" w:rsidTr="0056663A">
        <w:trPr>
          <w:trHeight w:val="718"/>
        </w:trPr>
        <w:tc>
          <w:tcPr>
            <w:tcW w:w="930" w:type="dxa"/>
            <w:tcBorders>
              <w:top w:val="single" w:sz="8" w:space="0" w:color="auto"/>
            </w:tcBorders>
            <w:vAlign w:val="center"/>
          </w:tcPr>
          <w:p w14:paraId="4222599E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37" w:type="dxa"/>
            <w:tcBorders>
              <w:top w:val="single" w:sz="8" w:space="0" w:color="auto"/>
            </w:tcBorders>
            <w:vAlign w:val="center"/>
          </w:tcPr>
          <w:p w14:paraId="3AD4DE09" w14:textId="77777777" w:rsidR="0056663A" w:rsidRPr="00F04BD9" w:rsidRDefault="0056663A" w:rsidP="0056663A">
            <w:pPr>
              <w:jc w:val="center"/>
            </w:pPr>
            <w:r w:rsidRPr="00F04BD9">
              <w:t>L-alpha-Amino-1H-pyrrole-1-hexanoic acid</w:t>
            </w:r>
          </w:p>
        </w:tc>
        <w:tc>
          <w:tcPr>
            <w:tcW w:w="1642" w:type="dxa"/>
            <w:tcBorders>
              <w:top w:val="single" w:sz="8" w:space="0" w:color="auto"/>
            </w:tcBorders>
            <w:vAlign w:val="center"/>
          </w:tcPr>
          <w:p w14:paraId="1356DEBB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197.1254</w:t>
            </w:r>
          </w:p>
        </w:tc>
        <w:tc>
          <w:tcPr>
            <w:tcW w:w="1772" w:type="dxa"/>
            <w:tcBorders>
              <w:top w:val="single" w:sz="8" w:space="0" w:color="auto"/>
            </w:tcBorders>
            <w:vAlign w:val="center"/>
          </w:tcPr>
          <w:p w14:paraId="06AB6F26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390.9865</w:t>
            </w:r>
          </w:p>
        </w:tc>
        <w:tc>
          <w:tcPr>
            <w:tcW w:w="1245" w:type="dxa"/>
            <w:tcBorders>
              <w:top w:val="single" w:sz="8" w:space="0" w:color="auto"/>
            </w:tcBorders>
            <w:vAlign w:val="center"/>
          </w:tcPr>
          <w:p w14:paraId="79D3B5A8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1.21</w:t>
            </w:r>
          </w:p>
        </w:tc>
        <w:tc>
          <w:tcPr>
            <w:tcW w:w="1405" w:type="dxa"/>
            <w:tcBorders>
              <w:top w:val="single" w:sz="8" w:space="0" w:color="auto"/>
            </w:tcBorders>
            <w:vAlign w:val="center"/>
          </w:tcPr>
          <w:p w14:paraId="49ECD85B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0.00186</w:t>
            </w:r>
          </w:p>
        </w:tc>
        <w:tc>
          <w:tcPr>
            <w:tcW w:w="2176" w:type="dxa"/>
            <w:tcBorders>
              <w:top w:val="single" w:sz="8" w:space="0" w:color="auto"/>
            </w:tcBorders>
            <w:vAlign w:val="center"/>
          </w:tcPr>
          <w:p w14:paraId="1E34EB4F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1.60</w:t>
            </w:r>
          </w:p>
        </w:tc>
        <w:tc>
          <w:tcPr>
            <w:tcW w:w="2430" w:type="dxa"/>
            <w:tcBorders>
              <w:top w:val="single" w:sz="8" w:space="0" w:color="auto"/>
            </w:tcBorders>
            <w:vAlign w:val="center"/>
          </w:tcPr>
          <w:p w14:paraId="6F33FDC7" w14:textId="77777777" w:rsidR="0056663A" w:rsidRDefault="0056663A" w:rsidP="0056663A">
            <w:pPr>
              <w:jc w:val="center"/>
            </w:pPr>
          </w:p>
        </w:tc>
      </w:tr>
      <w:tr w:rsidR="0056663A" w14:paraId="118127C9" w14:textId="77777777" w:rsidTr="0056663A">
        <w:trPr>
          <w:trHeight w:val="399"/>
        </w:trPr>
        <w:tc>
          <w:tcPr>
            <w:tcW w:w="930" w:type="dxa"/>
            <w:vAlign w:val="center"/>
          </w:tcPr>
          <w:p w14:paraId="47F39A37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37" w:type="dxa"/>
            <w:vAlign w:val="center"/>
          </w:tcPr>
          <w:p w14:paraId="676FF91C" w14:textId="77777777" w:rsidR="0056663A" w:rsidRPr="00F04BD9" w:rsidRDefault="0056663A" w:rsidP="0056663A">
            <w:pPr>
              <w:jc w:val="center"/>
            </w:pPr>
            <w:r w:rsidRPr="00F04BD9">
              <w:t>Oryzalexin E</w:t>
            </w:r>
          </w:p>
        </w:tc>
        <w:tc>
          <w:tcPr>
            <w:tcW w:w="1642" w:type="dxa"/>
            <w:vAlign w:val="center"/>
          </w:tcPr>
          <w:p w14:paraId="4DB48BCD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305.2455</w:t>
            </w:r>
          </w:p>
        </w:tc>
        <w:tc>
          <w:tcPr>
            <w:tcW w:w="1772" w:type="dxa"/>
            <w:vAlign w:val="center"/>
          </w:tcPr>
          <w:p w14:paraId="22640F24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998.05</w:t>
            </w:r>
          </w:p>
        </w:tc>
        <w:tc>
          <w:tcPr>
            <w:tcW w:w="1245" w:type="dxa"/>
            <w:vAlign w:val="center"/>
          </w:tcPr>
          <w:p w14:paraId="73A59F7B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1.27</w:t>
            </w:r>
          </w:p>
        </w:tc>
        <w:tc>
          <w:tcPr>
            <w:tcW w:w="1405" w:type="dxa"/>
            <w:vAlign w:val="center"/>
          </w:tcPr>
          <w:p w14:paraId="33E435DC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0.02137</w:t>
            </w:r>
          </w:p>
        </w:tc>
        <w:tc>
          <w:tcPr>
            <w:tcW w:w="2176" w:type="dxa"/>
            <w:vAlign w:val="center"/>
          </w:tcPr>
          <w:p w14:paraId="54F2FC48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1.51</w:t>
            </w:r>
          </w:p>
        </w:tc>
        <w:tc>
          <w:tcPr>
            <w:tcW w:w="2430" w:type="dxa"/>
            <w:vAlign w:val="center"/>
          </w:tcPr>
          <w:p w14:paraId="08C53B50" w14:textId="77777777" w:rsidR="0056663A" w:rsidRDefault="0056663A" w:rsidP="0056663A">
            <w:pPr>
              <w:jc w:val="center"/>
            </w:pPr>
          </w:p>
        </w:tc>
      </w:tr>
      <w:tr w:rsidR="0056663A" w14:paraId="10655EBA" w14:textId="77777777" w:rsidTr="0056663A">
        <w:trPr>
          <w:trHeight w:val="399"/>
        </w:trPr>
        <w:tc>
          <w:tcPr>
            <w:tcW w:w="930" w:type="dxa"/>
            <w:vAlign w:val="center"/>
          </w:tcPr>
          <w:p w14:paraId="22DFF495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37" w:type="dxa"/>
            <w:vAlign w:val="center"/>
          </w:tcPr>
          <w:p w14:paraId="04B6B234" w14:textId="77777777" w:rsidR="0056663A" w:rsidRPr="00F04BD9" w:rsidRDefault="0056663A" w:rsidP="0056663A">
            <w:pPr>
              <w:jc w:val="center"/>
            </w:pPr>
            <w:r w:rsidRPr="00F04BD9">
              <w:t>Traumatic acid</w:t>
            </w:r>
          </w:p>
        </w:tc>
        <w:tc>
          <w:tcPr>
            <w:tcW w:w="1642" w:type="dxa"/>
            <w:vAlign w:val="center"/>
          </w:tcPr>
          <w:p w14:paraId="6FDF1F99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227.127</w:t>
            </w:r>
          </w:p>
        </w:tc>
        <w:tc>
          <w:tcPr>
            <w:tcW w:w="1772" w:type="dxa"/>
            <w:vAlign w:val="center"/>
          </w:tcPr>
          <w:p w14:paraId="5DCC1EF3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576.6135</w:t>
            </w:r>
          </w:p>
        </w:tc>
        <w:tc>
          <w:tcPr>
            <w:tcW w:w="1245" w:type="dxa"/>
            <w:vAlign w:val="center"/>
          </w:tcPr>
          <w:p w14:paraId="7ACC3F8B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1.33</w:t>
            </w:r>
          </w:p>
        </w:tc>
        <w:tc>
          <w:tcPr>
            <w:tcW w:w="1405" w:type="dxa"/>
            <w:vAlign w:val="center"/>
          </w:tcPr>
          <w:p w14:paraId="08AEAD96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0.00786</w:t>
            </w:r>
          </w:p>
        </w:tc>
        <w:tc>
          <w:tcPr>
            <w:tcW w:w="2176" w:type="dxa"/>
            <w:vAlign w:val="center"/>
          </w:tcPr>
          <w:p w14:paraId="30461129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0.59</w:t>
            </w:r>
          </w:p>
        </w:tc>
        <w:tc>
          <w:tcPr>
            <w:tcW w:w="2430" w:type="dxa"/>
            <w:vAlign w:val="center"/>
          </w:tcPr>
          <w:p w14:paraId="0B0D182E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56663A" w14:paraId="4BFBD783" w14:textId="77777777" w:rsidTr="0056663A">
        <w:trPr>
          <w:trHeight w:val="411"/>
        </w:trPr>
        <w:tc>
          <w:tcPr>
            <w:tcW w:w="930" w:type="dxa"/>
            <w:tcBorders>
              <w:bottom w:val="single" w:sz="12" w:space="0" w:color="auto"/>
            </w:tcBorders>
            <w:vAlign w:val="center"/>
          </w:tcPr>
          <w:p w14:paraId="1BEFBA06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737" w:type="dxa"/>
            <w:tcBorders>
              <w:bottom w:val="single" w:sz="12" w:space="0" w:color="auto"/>
            </w:tcBorders>
            <w:vAlign w:val="center"/>
          </w:tcPr>
          <w:p w14:paraId="56C03159" w14:textId="77777777" w:rsidR="0056663A" w:rsidRPr="00F04BD9" w:rsidRDefault="0056663A" w:rsidP="0056663A">
            <w:pPr>
              <w:jc w:val="center"/>
            </w:pPr>
            <w:proofErr w:type="spellStart"/>
            <w:r w:rsidRPr="00F04BD9">
              <w:t>Pseudouridine</w:t>
            </w:r>
            <w:proofErr w:type="spellEnd"/>
          </w:p>
        </w:tc>
        <w:tc>
          <w:tcPr>
            <w:tcW w:w="1642" w:type="dxa"/>
            <w:tcBorders>
              <w:bottom w:val="single" w:sz="12" w:space="0" w:color="auto"/>
            </w:tcBorders>
            <w:vAlign w:val="center"/>
          </w:tcPr>
          <w:p w14:paraId="263213E0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243.0607</w:t>
            </w:r>
          </w:p>
        </w:tc>
        <w:tc>
          <w:tcPr>
            <w:tcW w:w="1772" w:type="dxa"/>
            <w:tcBorders>
              <w:bottom w:val="single" w:sz="12" w:space="0" w:color="auto"/>
            </w:tcBorders>
            <w:vAlign w:val="center"/>
          </w:tcPr>
          <w:p w14:paraId="6A314B78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194.0235</w:t>
            </w:r>
          </w:p>
        </w:tc>
        <w:tc>
          <w:tcPr>
            <w:tcW w:w="1245" w:type="dxa"/>
            <w:tcBorders>
              <w:bottom w:val="single" w:sz="12" w:space="0" w:color="auto"/>
            </w:tcBorders>
            <w:vAlign w:val="center"/>
          </w:tcPr>
          <w:p w14:paraId="0029254C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1.03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vAlign w:val="center"/>
          </w:tcPr>
          <w:p w14:paraId="45887AE6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0.02748</w:t>
            </w:r>
          </w:p>
        </w:tc>
        <w:tc>
          <w:tcPr>
            <w:tcW w:w="2176" w:type="dxa"/>
            <w:tcBorders>
              <w:bottom w:val="single" w:sz="12" w:space="0" w:color="auto"/>
            </w:tcBorders>
            <w:vAlign w:val="center"/>
          </w:tcPr>
          <w:p w14:paraId="1FDF9C6E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1.58</w:t>
            </w:r>
          </w:p>
        </w:tc>
        <w:tc>
          <w:tcPr>
            <w:tcW w:w="2430" w:type="dxa"/>
            <w:tcBorders>
              <w:bottom w:val="single" w:sz="12" w:space="0" w:color="auto"/>
            </w:tcBorders>
            <w:vAlign w:val="center"/>
          </w:tcPr>
          <w:p w14:paraId="6080E5C6" w14:textId="77777777" w:rsidR="0056663A" w:rsidRDefault="0056663A" w:rsidP="0056663A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</w:tbl>
    <w:p w14:paraId="684798CB" w14:textId="77777777" w:rsidR="00DA4F82" w:rsidRPr="00F04BD9" w:rsidRDefault="00DA4F82" w:rsidP="00DA4F82">
      <w:pPr>
        <w:rPr>
          <w:rFonts w:ascii="Times New Roman" w:hAnsi="Times New Roman" w:cs="Times New Roman"/>
          <w:i/>
          <w:iCs/>
          <w:szCs w:val="21"/>
        </w:rPr>
      </w:pPr>
      <w:r w:rsidRPr="00F04BD9">
        <w:rPr>
          <w:rFonts w:ascii="Times New Roman" w:hAnsi="Times New Roman" w:cs="Times New Roman"/>
          <w:i/>
          <w:iCs/>
          <w:szCs w:val="21"/>
        </w:rPr>
        <w:t>Compared with Hos-death group, potential biomarker information was screened in Hos-survival group. HOS-S/HOS-D,</w:t>
      </w:r>
      <w:r>
        <w:rPr>
          <w:rFonts w:ascii="Times New Roman" w:hAnsi="Times New Roman" w:cs="Times New Roman"/>
          <w:i/>
          <w:iCs/>
          <w:szCs w:val="21"/>
        </w:rPr>
        <w:t xml:space="preserve"> hospital</w:t>
      </w:r>
      <w:r w:rsidRPr="00F04BD9">
        <w:rPr>
          <w:rFonts w:ascii="Times New Roman" w:hAnsi="Times New Roman" w:cs="Times New Roman"/>
          <w:i/>
          <w:iCs/>
          <w:szCs w:val="21"/>
        </w:rPr>
        <w:t>-survival/</w:t>
      </w:r>
      <w:r>
        <w:rPr>
          <w:rFonts w:ascii="Times New Roman" w:hAnsi="Times New Roman" w:cs="Times New Roman"/>
          <w:i/>
          <w:iCs/>
          <w:szCs w:val="21"/>
        </w:rPr>
        <w:t>h</w:t>
      </w:r>
      <w:r w:rsidRPr="00F04BD9">
        <w:rPr>
          <w:rFonts w:ascii="Times New Roman" w:hAnsi="Times New Roman" w:cs="Times New Roman"/>
          <w:i/>
          <w:iCs/>
          <w:szCs w:val="21"/>
        </w:rPr>
        <w:t>os</w:t>
      </w:r>
      <w:r>
        <w:rPr>
          <w:rFonts w:ascii="Times New Roman" w:hAnsi="Times New Roman" w:cs="Times New Roman"/>
          <w:i/>
          <w:iCs/>
          <w:szCs w:val="21"/>
        </w:rPr>
        <w:t>pital</w:t>
      </w:r>
      <w:r w:rsidRPr="00F04BD9">
        <w:rPr>
          <w:rFonts w:ascii="Times New Roman" w:hAnsi="Times New Roman" w:cs="Times New Roman"/>
          <w:i/>
          <w:iCs/>
          <w:szCs w:val="21"/>
        </w:rPr>
        <w:t>-death; FC</w:t>
      </w:r>
      <w:r w:rsidRPr="00F04BD9">
        <w:rPr>
          <w:rFonts w:ascii="Times New Roman" w:hAnsi="Times New Roman" w:cs="Times New Roman"/>
          <w:i/>
          <w:iCs/>
          <w:szCs w:val="21"/>
        </w:rPr>
        <w:t>，</w:t>
      </w:r>
      <w:r w:rsidRPr="00F04BD9">
        <w:rPr>
          <w:rFonts w:ascii="Times New Roman" w:hAnsi="Times New Roman" w:cs="Times New Roman"/>
          <w:i/>
          <w:iCs/>
          <w:szCs w:val="21"/>
        </w:rPr>
        <w:t>fold change</w:t>
      </w:r>
      <w:r w:rsidRPr="00F04BD9">
        <w:rPr>
          <w:rFonts w:ascii="Times New Roman" w:hAnsi="Times New Roman" w:cs="Times New Roman"/>
          <w:i/>
          <w:iCs/>
          <w:szCs w:val="21"/>
        </w:rPr>
        <w:t>；</w:t>
      </w:r>
      <w:r w:rsidRPr="00F04BD9">
        <w:rPr>
          <w:rFonts w:ascii="Times New Roman" w:hAnsi="Times New Roman" w:cs="Times New Roman"/>
          <w:i/>
          <w:iCs/>
          <w:szCs w:val="21"/>
        </w:rPr>
        <w:t>VIP</w:t>
      </w:r>
      <w:r w:rsidRPr="00F04BD9">
        <w:rPr>
          <w:rFonts w:ascii="Times New Roman" w:hAnsi="Times New Roman" w:cs="Times New Roman"/>
          <w:i/>
          <w:iCs/>
          <w:szCs w:val="21"/>
        </w:rPr>
        <w:t>，</w:t>
      </w:r>
      <w:r w:rsidRPr="00F04BD9">
        <w:rPr>
          <w:rFonts w:ascii="Times New Roman" w:hAnsi="Times New Roman" w:cs="Times New Roman"/>
          <w:i/>
          <w:iCs/>
          <w:szCs w:val="21"/>
        </w:rPr>
        <w:t>contribution rate of different substances to orthogonal partial least squares discriminant analysis (OPLS-DA) model construction</w:t>
      </w:r>
      <w:r w:rsidRPr="00F04BD9">
        <w:rPr>
          <w:rFonts w:ascii="Times New Roman" w:hAnsi="Times New Roman" w:cs="Times New Roman"/>
          <w:i/>
          <w:iCs/>
          <w:szCs w:val="21"/>
        </w:rPr>
        <w:t>；</w:t>
      </w:r>
      <w:r w:rsidRPr="00F04BD9">
        <w:rPr>
          <w:rFonts w:ascii="Times New Roman" w:hAnsi="Times New Roman" w:cs="Times New Roman"/>
          <w:i/>
          <w:iCs/>
          <w:szCs w:val="21"/>
        </w:rPr>
        <w:t>RT</w:t>
      </w:r>
      <w:r w:rsidRPr="00F04BD9">
        <w:rPr>
          <w:rFonts w:ascii="Times New Roman" w:hAnsi="Times New Roman" w:cs="Times New Roman"/>
          <w:i/>
          <w:iCs/>
          <w:szCs w:val="21"/>
        </w:rPr>
        <w:t>，</w:t>
      </w:r>
      <w:r w:rsidRPr="00F04BD9">
        <w:rPr>
          <w:rFonts w:ascii="Times New Roman" w:hAnsi="Times New Roman" w:cs="Times New Roman"/>
          <w:i/>
          <w:iCs/>
          <w:szCs w:val="21"/>
        </w:rPr>
        <w:t>retention time. Involved pathways</w:t>
      </w:r>
      <w:r w:rsidRPr="00F04BD9">
        <w:rPr>
          <w:rFonts w:ascii="Times New Roman" w:hAnsi="Times New Roman" w:cs="Times New Roman"/>
          <w:i/>
          <w:iCs/>
          <w:szCs w:val="21"/>
        </w:rPr>
        <w:t>：</w:t>
      </w:r>
      <w:r w:rsidRPr="00F04BD9">
        <w:rPr>
          <w:rFonts w:ascii="Times New Roman" w:hAnsi="Times New Roman" w:cs="Times New Roman"/>
          <w:i/>
          <w:iCs/>
          <w:szCs w:val="21"/>
        </w:rPr>
        <w:t>1.</w:t>
      </w:r>
      <w:r>
        <w:rPr>
          <w:rFonts w:ascii="Times New Roman" w:hAnsi="Times New Roman" w:cs="Times New Roman"/>
          <w:i/>
          <w:iCs/>
          <w:szCs w:val="21"/>
        </w:rPr>
        <w:t xml:space="preserve"> A</w:t>
      </w:r>
      <w:r w:rsidRPr="00F04BD9">
        <w:rPr>
          <w:rFonts w:ascii="Times New Roman" w:hAnsi="Times New Roman" w:cs="Times New Roman"/>
          <w:i/>
          <w:iCs/>
          <w:szCs w:val="21"/>
        </w:rPr>
        <w:t>lpha-Linolenic acid metabolism</w:t>
      </w:r>
      <w:r w:rsidRPr="00F04BD9">
        <w:rPr>
          <w:rFonts w:ascii="Times New Roman" w:hAnsi="Times New Roman" w:cs="Times New Roman"/>
          <w:i/>
          <w:iCs/>
          <w:szCs w:val="21"/>
        </w:rPr>
        <w:t>；</w:t>
      </w:r>
      <w:r w:rsidRPr="00F04BD9">
        <w:rPr>
          <w:rFonts w:ascii="Times New Roman" w:hAnsi="Times New Roman" w:cs="Times New Roman"/>
          <w:i/>
          <w:iCs/>
          <w:szCs w:val="21"/>
        </w:rPr>
        <w:t>2.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 w:rsidRPr="00F04BD9">
        <w:rPr>
          <w:rFonts w:ascii="Times New Roman" w:hAnsi="Times New Roman" w:cs="Times New Roman"/>
          <w:i/>
          <w:iCs/>
          <w:szCs w:val="21"/>
        </w:rPr>
        <w:t>Pyrimidine. metabolism.</w:t>
      </w:r>
    </w:p>
    <w:p w14:paraId="1DBD8468" w14:textId="77777777" w:rsidR="00DA4F82" w:rsidRPr="00F04BD9" w:rsidRDefault="00DA4F82" w:rsidP="00DA4F82">
      <w:pPr>
        <w:rPr>
          <w:rFonts w:ascii="Times New Roman" w:hAnsi="Times New Roman" w:cs="Times New Roman"/>
          <w:i/>
          <w:iCs/>
          <w:szCs w:val="21"/>
        </w:rPr>
      </w:pPr>
    </w:p>
    <w:p w14:paraId="0A8D4966" w14:textId="77777777" w:rsidR="00DA4F82" w:rsidRDefault="00DA4F82" w:rsidP="00DA4F82">
      <w:pPr>
        <w:rPr>
          <w:rFonts w:ascii="Times New Roman" w:hAnsi="宋体"/>
          <w:szCs w:val="21"/>
        </w:rPr>
      </w:pPr>
    </w:p>
    <w:p w14:paraId="17879CBA" w14:textId="09499E39" w:rsidR="0091232D" w:rsidRDefault="0091232D"/>
    <w:sectPr w:rsidR="0091232D" w:rsidSect="00A166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E5075" w14:textId="77777777" w:rsidR="00AC43CE" w:rsidRDefault="00AC43CE" w:rsidP="00A1664A">
      <w:r>
        <w:separator/>
      </w:r>
    </w:p>
  </w:endnote>
  <w:endnote w:type="continuationSeparator" w:id="0">
    <w:p w14:paraId="45BCB21B" w14:textId="77777777" w:rsidR="00AC43CE" w:rsidRDefault="00AC43CE" w:rsidP="00A16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8FF5E" w14:textId="77777777" w:rsidR="00AC43CE" w:rsidRDefault="00AC43CE" w:rsidP="00A1664A">
      <w:r>
        <w:separator/>
      </w:r>
    </w:p>
  </w:footnote>
  <w:footnote w:type="continuationSeparator" w:id="0">
    <w:p w14:paraId="27E1D2EC" w14:textId="77777777" w:rsidR="00AC43CE" w:rsidRDefault="00AC43CE" w:rsidP="00A166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2D3E"/>
    <w:rsid w:val="00094F5E"/>
    <w:rsid w:val="001053F5"/>
    <w:rsid w:val="002C70B4"/>
    <w:rsid w:val="0049102A"/>
    <w:rsid w:val="0056663A"/>
    <w:rsid w:val="00680BCF"/>
    <w:rsid w:val="006A1372"/>
    <w:rsid w:val="00806C6A"/>
    <w:rsid w:val="008A554F"/>
    <w:rsid w:val="0091232D"/>
    <w:rsid w:val="00A1664A"/>
    <w:rsid w:val="00A82D3E"/>
    <w:rsid w:val="00AC43CE"/>
    <w:rsid w:val="00B278A3"/>
    <w:rsid w:val="00B95F12"/>
    <w:rsid w:val="00DA4F82"/>
    <w:rsid w:val="00E27E08"/>
    <w:rsid w:val="00F21E5D"/>
    <w:rsid w:val="00F828A2"/>
    <w:rsid w:val="00FD33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FD6A3"/>
  <w15:docId w15:val="{5791A006-888C-4DA0-A35B-CBE7A2BFF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664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6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66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6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664A"/>
    <w:rPr>
      <w:sz w:val="18"/>
      <w:szCs w:val="18"/>
    </w:rPr>
  </w:style>
  <w:style w:type="table" w:styleId="a7">
    <w:name w:val="Table Grid"/>
    <w:basedOn w:val="a1"/>
    <w:qFormat/>
    <w:rsid w:val="00A1664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</dc:creator>
  <cp:keywords/>
  <dc:description/>
  <cp:lastModifiedBy>然</cp:lastModifiedBy>
  <cp:revision>13</cp:revision>
  <dcterms:created xsi:type="dcterms:W3CDTF">2021-03-28T11:29:00Z</dcterms:created>
  <dcterms:modified xsi:type="dcterms:W3CDTF">2021-05-27T16:22:00Z</dcterms:modified>
</cp:coreProperties>
</file>