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D4C01">
      <w:pPr>
        <w:pStyle w:val="2"/>
        <w:spacing w:line="480" w:lineRule="auto"/>
        <w:rPr>
          <w:rFonts w:eastAsiaTheme="minorEastAsia"/>
          <w:sz w:val="20"/>
          <w:szCs w:val="28"/>
        </w:rPr>
      </w:pPr>
      <w:r>
        <w:rPr>
          <w:sz w:val="20"/>
          <w:szCs w:val="28"/>
        </w:rPr>
        <w:t>Supplementary Figures</w:t>
      </w:r>
    </w:p>
    <w:p w14:paraId="5A459D2B">
      <w:pPr>
        <w:ind w:firstLine="0" w:firstLineChars="0"/>
        <w:jc w:val="center"/>
      </w:pPr>
      <w:r>
        <w:drawing>
          <wp:inline distT="0" distB="0" distL="0" distR="0">
            <wp:extent cx="4729480" cy="3538855"/>
            <wp:effectExtent l="0" t="0" r="13970" b="4445"/>
            <wp:docPr id="20306767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676794" name="图片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05" r="19490"/>
                    <a:stretch>
                      <a:fillRect/>
                    </a:stretch>
                  </pic:blipFill>
                  <pic:spPr>
                    <a:xfrm>
                      <a:off x="0" y="0"/>
                      <a:ext cx="4729480" cy="353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9B5AE">
      <w:pPr>
        <w:pStyle w:val="3"/>
        <w:spacing w:line="480" w:lineRule="auto"/>
        <w:rPr>
          <w:rFonts w:eastAsiaTheme="minorEastAsia"/>
          <w:sz w:val="20"/>
        </w:rPr>
      </w:pPr>
      <w:r>
        <w:rPr>
          <w:color w:val="000000"/>
          <w:sz w:val="20"/>
        </w:rPr>
        <w:t>Figure S</w:t>
      </w:r>
      <w:r>
        <w:rPr>
          <w:rFonts w:hint="eastAsia" w:eastAsiaTheme="minorEastAsia"/>
          <w:color w:val="000000"/>
          <w:sz w:val="20"/>
        </w:rPr>
        <w:t>1</w:t>
      </w:r>
      <w:r>
        <w:rPr>
          <w:color w:val="000000"/>
          <w:sz w:val="20"/>
        </w:rPr>
        <w:t xml:space="preserve">. </w:t>
      </w:r>
      <w:r>
        <w:rPr>
          <w:sz w:val="20"/>
        </w:rPr>
        <w:t>TNBC prognostic forest plot of</w:t>
      </w:r>
      <w:r>
        <w:rPr>
          <w:rFonts w:hint="eastAsia" w:eastAsiaTheme="minorEastAsia"/>
          <w:sz w:val="20"/>
        </w:rPr>
        <w:t xml:space="preserve"> the</w:t>
      </w:r>
      <w:r>
        <w:rPr>
          <w:sz w:val="20"/>
        </w:rPr>
        <w:t xml:space="preserve"> 17 stem-related genes</w:t>
      </w:r>
    </w:p>
    <w:p w14:paraId="1285A1C8">
      <w:pPr>
        <w:ind w:firstLine="0" w:firstLineChars="0"/>
        <w:rPr>
          <w:sz w:val="20"/>
        </w:rPr>
      </w:pPr>
      <w:r>
        <w:rPr>
          <w:sz w:val="20"/>
        </w:rPr>
        <w:t xml:space="preserve"> Distant </w:t>
      </w:r>
      <w:r>
        <w:rPr>
          <w:rFonts w:hint="eastAsia"/>
          <w:sz w:val="20"/>
        </w:rPr>
        <w:t>m</w:t>
      </w:r>
      <w:r>
        <w:rPr>
          <w:sz w:val="20"/>
        </w:rPr>
        <w:t xml:space="preserve">etastasis </w:t>
      </w:r>
      <w:r>
        <w:rPr>
          <w:rFonts w:hint="eastAsia"/>
          <w:sz w:val="20"/>
        </w:rPr>
        <w:t>f</w:t>
      </w:r>
      <w:r>
        <w:rPr>
          <w:sz w:val="20"/>
        </w:rPr>
        <w:t xml:space="preserve">ree </w:t>
      </w:r>
      <w:r>
        <w:rPr>
          <w:rFonts w:hint="eastAsia"/>
          <w:sz w:val="20"/>
        </w:rPr>
        <w:t>s</w:t>
      </w:r>
      <w:r>
        <w:rPr>
          <w:sz w:val="20"/>
        </w:rPr>
        <w:t>urvival</w:t>
      </w:r>
      <w:r>
        <w:rPr>
          <w:rFonts w:hint="eastAsia"/>
          <w:sz w:val="20"/>
        </w:rPr>
        <w:t xml:space="preserve"> (DMFS) </w:t>
      </w:r>
      <w:r>
        <w:rPr>
          <w:sz w:val="20"/>
        </w:rPr>
        <w:t xml:space="preserve">of 17 stem-related genes </w:t>
      </w:r>
      <w:r>
        <w:rPr>
          <w:rFonts w:hint="eastAsia"/>
          <w:sz w:val="20"/>
        </w:rPr>
        <w:t>based on</w:t>
      </w:r>
      <w:r>
        <w:rPr>
          <w:sz w:val="20"/>
        </w:rPr>
        <w:t xml:space="preserve"> the TCGA database</w:t>
      </w:r>
      <w:r>
        <w:rPr>
          <w:rFonts w:hint="eastAsia"/>
          <w:sz w:val="20"/>
        </w:rPr>
        <w:t>.</w:t>
      </w:r>
    </w:p>
    <w:p w14:paraId="4AFECDAA">
      <w:pPr>
        <w:ind w:firstLine="0" w:firstLineChars="0"/>
      </w:pPr>
    </w:p>
    <w:p w14:paraId="07477986">
      <w:pPr>
        <w:ind w:firstLine="0" w:firstLineChars="0"/>
      </w:pPr>
      <w:bookmarkStart w:id="0" w:name="_GoBack"/>
      <w:r>
        <w:drawing>
          <wp:inline distT="0" distB="0" distL="0" distR="0">
            <wp:extent cx="5730875" cy="5161915"/>
            <wp:effectExtent l="0" t="0" r="3175" b="635"/>
            <wp:docPr id="24945345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453451" name="图片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09" cy="516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D9683C9">
      <w:pPr>
        <w:pStyle w:val="3"/>
        <w:spacing w:line="480" w:lineRule="auto"/>
        <w:rPr>
          <w:color w:val="000000"/>
          <w:sz w:val="20"/>
        </w:rPr>
      </w:pPr>
      <w:r>
        <w:rPr>
          <w:color w:val="000000"/>
          <w:sz w:val="20"/>
        </w:rPr>
        <w:t>Figure S</w:t>
      </w:r>
      <w:r>
        <w:rPr>
          <w:rFonts w:hint="eastAsia" w:eastAsiaTheme="minorEastAsia"/>
          <w:color w:val="000000"/>
          <w:sz w:val="20"/>
        </w:rPr>
        <w:t>2</w:t>
      </w:r>
      <w:r>
        <w:rPr>
          <w:color w:val="000000"/>
          <w:sz w:val="20"/>
        </w:rPr>
        <w:t>. PS-T induces ferroptosis in TNBC cell lines</w:t>
      </w:r>
    </w:p>
    <w:p w14:paraId="224A831F">
      <w:pPr>
        <w:pStyle w:val="14"/>
        <w:spacing w:line="480" w:lineRule="auto"/>
        <w:rPr>
          <w:color w:val="D0CECE"/>
          <w:sz w:val="20"/>
        </w:rPr>
      </w:pPr>
      <w:r>
        <w:rPr>
          <w:b/>
          <w:color w:val="000000"/>
          <w:sz w:val="20"/>
        </w:rPr>
        <w:t xml:space="preserve">(A) </w:t>
      </w:r>
      <w:r>
        <w:rPr>
          <w:color w:val="000000"/>
          <w:sz w:val="20"/>
        </w:rPr>
        <w:t>ALDH</w:t>
      </w:r>
      <w:r>
        <w:rPr>
          <w:color w:val="000000"/>
          <w:sz w:val="20"/>
          <w:vertAlign w:val="superscript"/>
        </w:rPr>
        <w:t>+</w:t>
      </w:r>
      <w:r>
        <w:rPr>
          <w:color w:val="000000"/>
          <w:sz w:val="20"/>
        </w:rPr>
        <w:t xml:space="preserve"> MDA-MB-231 cells were flow-sorted and treated with different concentration of PS-T with or without Z-VAD-FMK (30 µM) </w:t>
      </w:r>
      <w:r>
        <w:rPr>
          <w:rFonts w:hint="eastAsia"/>
          <w:color w:val="000000"/>
          <w:sz w:val="20"/>
        </w:rPr>
        <w:t>(</w:t>
      </w:r>
      <w:r>
        <w:rPr>
          <w:rFonts w:hint="eastAsia"/>
          <w:i/>
          <w:iCs/>
          <w:color w:val="000000"/>
          <w:sz w:val="20"/>
        </w:rPr>
        <w:t>up</w:t>
      </w:r>
      <w:r>
        <w:rPr>
          <w:rFonts w:hint="eastAsia"/>
          <w:color w:val="000000"/>
          <w:sz w:val="20"/>
        </w:rPr>
        <w:t>)</w:t>
      </w:r>
      <w:r>
        <w:rPr>
          <w:color w:val="000000"/>
          <w:sz w:val="20"/>
        </w:rPr>
        <w:t xml:space="preserve">, Necrostatin-1 (Necro-1, 20 µM) </w:t>
      </w:r>
      <w:r>
        <w:rPr>
          <w:rFonts w:hint="eastAsia"/>
          <w:color w:val="000000"/>
          <w:sz w:val="20"/>
        </w:rPr>
        <w:t>(</w:t>
      </w:r>
      <w:r>
        <w:rPr>
          <w:rFonts w:hint="eastAsia"/>
          <w:i/>
          <w:iCs/>
          <w:color w:val="000000"/>
          <w:sz w:val="20"/>
        </w:rPr>
        <w:t>middle</w:t>
      </w:r>
      <w:r>
        <w:rPr>
          <w:rFonts w:hint="eastAsia"/>
          <w:color w:val="000000"/>
          <w:sz w:val="20"/>
        </w:rPr>
        <w:t>)</w:t>
      </w:r>
      <w:r>
        <w:rPr>
          <w:color w:val="000000"/>
          <w:sz w:val="20"/>
        </w:rPr>
        <w:t xml:space="preserve">, LDC7559 (5 µM) </w:t>
      </w:r>
      <w:r>
        <w:rPr>
          <w:rFonts w:hint="eastAsia"/>
          <w:color w:val="000000"/>
          <w:sz w:val="20"/>
        </w:rPr>
        <w:t>(</w:t>
      </w:r>
      <w:r>
        <w:rPr>
          <w:rFonts w:hint="eastAsia"/>
          <w:i/>
          <w:iCs/>
          <w:color w:val="000000"/>
          <w:sz w:val="20"/>
        </w:rPr>
        <w:t>down</w:t>
      </w:r>
      <w:r>
        <w:rPr>
          <w:rFonts w:hint="eastAsia"/>
          <w:color w:val="000000"/>
          <w:sz w:val="20"/>
        </w:rPr>
        <w:t>)</w:t>
      </w:r>
      <w:r>
        <w:rPr>
          <w:color w:val="000000"/>
          <w:sz w:val="20"/>
        </w:rPr>
        <w:t>. Cell viability was measured by CCK-8 assays (n = 9).</w:t>
      </w:r>
      <w:r>
        <w:rPr>
          <w:b/>
          <w:color w:val="000000"/>
          <w:sz w:val="20"/>
        </w:rPr>
        <w:t xml:space="preserve"> (B) </w:t>
      </w:r>
      <w:r>
        <w:rPr>
          <w:color w:val="000000"/>
          <w:sz w:val="20"/>
        </w:rPr>
        <w:t xml:space="preserve">GSEA result of HCC1806 </w:t>
      </w:r>
      <w:r>
        <w:rPr>
          <w:rFonts w:hint="eastAsia"/>
          <w:color w:val="000000"/>
          <w:sz w:val="20"/>
        </w:rPr>
        <w:t>(</w:t>
      </w:r>
      <w:r>
        <w:rPr>
          <w:rFonts w:hint="eastAsia"/>
          <w:i/>
          <w:iCs/>
          <w:color w:val="000000"/>
          <w:sz w:val="20"/>
        </w:rPr>
        <w:t>up</w:t>
      </w:r>
      <w:r>
        <w:rPr>
          <w:rFonts w:hint="eastAsia"/>
          <w:color w:val="000000"/>
          <w:sz w:val="20"/>
        </w:rPr>
        <w:t xml:space="preserve">) </w:t>
      </w:r>
      <w:r>
        <w:rPr>
          <w:color w:val="000000"/>
          <w:sz w:val="20"/>
        </w:rPr>
        <w:t xml:space="preserve">and HCC1937 cells </w:t>
      </w:r>
      <w:r>
        <w:rPr>
          <w:rFonts w:hint="eastAsia"/>
          <w:color w:val="000000"/>
          <w:sz w:val="20"/>
        </w:rPr>
        <w:t>(</w:t>
      </w:r>
      <w:r>
        <w:rPr>
          <w:rFonts w:hint="eastAsia"/>
          <w:i/>
          <w:iCs/>
          <w:color w:val="000000"/>
          <w:sz w:val="20"/>
        </w:rPr>
        <w:t>down</w:t>
      </w:r>
      <w:r>
        <w:rPr>
          <w:rFonts w:hint="eastAsia"/>
          <w:color w:val="000000"/>
          <w:sz w:val="20"/>
        </w:rPr>
        <w:t>)</w:t>
      </w:r>
      <w:r>
        <w:rPr>
          <w:color w:val="000000"/>
          <w:sz w:val="20"/>
        </w:rPr>
        <w:t xml:space="preserve"> treated with or without PS-T using WP_FERROPTOSIS gene set.</w:t>
      </w:r>
    </w:p>
    <w:p w14:paraId="066EBB9C">
      <w:pPr>
        <w:pStyle w:val="14"/>
        <w:spacing w:line="480" w:lineRule="auto"/>
        <w:rPr>
          <w:sz w:val="20"/>
          <w:szCs w:val="21"/>
        </w:rPr>
      </w:pPr>
    </w:p>
    <w:p w14:paraId="6DD5E5CD">
      <w:pPr>
        <w:pStyle w:val="14"/>
        <w:spacing w:line="480" w:lineRule="auto"/>
        <w:rPr>
          <w:sz w:val="20"/>
          <w:szCs w:val="21"/>
        </w:rPr>
      </w:pPr>
      <w:r>
        <w:rPr>
          <w:sz w:val="20"/>
          <w:szCs w:val="21"/>
        </w:rPr>
        <w:drawing>
          <wp:inline distT="0" distB="0" distL="0" distR="0">
            <wp:extent cx="5730875" cy="3854450"/>
            <wp:effectExtent l="0" t="0" r="3175" b="0"/>
            <wp:docPr id="31776966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769669" name="图片 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5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18935">
      <w:pPr>
        <w:pStyle w:val="3"/>
        <w:spacing w:line="480" w:lineRule="auto"/>
        <w:rPr>
          <w:sz w:val="20"/>
        </w:rPr>
      </w:pPr>
      <w:r>
        <w:rPr>
          <w:color w:val="000000"/>
          <w:sz w:val="20"/>
        </w:rPr>
        <w:t>Figure S</w:t>
      </w:r>
      <w:r>
        <w:rPr>
          <w:rFonts w:hint="eastAsia" w:eastAsiaTheme="minorEastAsia"/>
          <w:color w:val="000000"/>
          <w:sz w:val="20"/>
        </w:rPr>
        <w:t>3</w:t>
      </w:r>
      <w:r>
        <w:rPr>
          <w:color w:val="000000"/>
          <w:sz w:val="20"/>
        </w:rPr>
        <w:t xml:space="preserve">. </w:t>
      </w:r>
      <w:r>
        <w:rPr>
          <w:sz w:val="20"/>
        </w:rPr>
        <w:t>The effect of PS-T on GPX4 expression</w:t>
      </w:r>
    </w:p>
    <w:p w14:paraId="3AB33DE4">
      <w:pPr>
        <w:pStyle w:val="14"/>
        <w:spacing w:line="480" w:lineRule="auto"/>
        <w:rPr>
          <w:color w:val="D0CECE"/>
          <w:sz w:val="20"/>
        </w:rPr>
      </w:pPr>
      <w:r>
        <w:rPr>
          <w:b/>
          <w:color w:val="000000"/>
          <w:sz w:val="20"/>
        </w:rPr>
        <w:t>(A)</w:t>
      </w:r>
      <w:r>
        <w:rPr>
          <w:sz w:val="20"/>
        </w:rPr>
        <w:t xml:space="preserve"> Correlation of GPX4 expression with DFS (</w:t>
      </w:r>
      <w:r>
        <w:rPr>
          <w:i/>
          <w:sz w:val="20"/>
        </w:rPr>
        <w:t>left</w:t>
      </w:r>
      <w:r>
        <w:rPr>
          <w:sz w:val="20"/>
        </w:rPr>
        <w:t>) and DMFS (</w:t>
      </w:r>
      <w:r>
        <w:rPr>
          <w:i/>
          <w:sz w:val="20"/>
        </w:rPr>
        <w:t>right</w:t>
      </w:r>
      <w:r>
        <w:rPr>
          <w:sz w:val="20"/>
        </w:rPr>
        <w:t xml:space="preserve">) in TNBC patients from TCGA database. </w:t>
      </w:r>
      <w:r>
        <w:rPr>
          <w:b/>
          <w:color w:val="000000"/>
          <w:sz w:val="20"/>
        </w:rPr>
        <w:t xml:space="preserve">(B) </w:t>
      </w:r>
      <w:r>
        <w:rPr>
          <w:color w:val="000000"/>
          <w:sz w:val="20"/>
        </w:rPr>
        <w:t>The GPX4 mRNA level in</w:t>
      </w:r>
      <w:r>
        <w:rPr>
          <w:sz w:val="20"/>
        </w:rPr>
        <w:t xml:space="preserve"> ALDH</w:t>
      </w:r>
      <w:r>
        <w:rPr>
          <w:sz w:val="20"/>
          <w:vertAlign w:val="superscript"/>
        </w:rPr>
        <w:t>+</w:t>
      </w:r>
      <w:r>
        <w:rPr>
          <w:sz w:val="20"/>
        </w:rPr>
        <w:t xml:space="preserve"> </w:t>
      </w:r>
      <w:r>
        <w:rPr>
          <w:color w:val="000000"/>
          <w:sz w:val="20"/>
        </w:rPr>
        <w:t xml:space="preserve">MDA-MB-231 cells was assesed by quantitative PCR (n = 9). </w:t>
      </w:r>
      <w:r>
        <w:rPr>
          <w:b/>
          <w:color w:val="000000"/>
          <w:sz w:val="20"/>
        </w:rPr>
        <w:t xml:space="preserve">(C) </w:t>
      </w:r>
      <w:r>
        <w:rPr>
          <w:sz w:val="20"/>
        </w:rPr>
        <w:t>Transcriptome sequencing was performed to measure the TPM of GPX4 mRNA levels in the HCC1937 (</w:t>
      </w:r>
      <w:r>
        <w:rPr>
          <w:i/>
          <w:sz w:val="20"/>
        </w:rPr>
        <w:t>left</w:t>
      </w:r>
      <w:r>
        <w:rPr>
          <w:sz w:val="20"/>
        </w:rPr>
        <w:t>), HCC1806</w:t>
      </w:r>
      <w:r>
        <w:rPr>
          <w:color w:val="000000"/>
          <w:sz w:val="20"/>
        </w:rPr>
        <w:t xml:space="preserve"> </w:t>
      </w:r>
      <w:r>
        <w:rPr>
          <w:rFonts w:hint="eastAsia"/>
          <w:color w:val="000000"/>
          <w:sz w:val="20"/>
        </w:rPr>
        <w:t>(</w:t>
      </w:r>
      <w:r>
        <w:rPr>
          <w:rFonts w:hint="eastAsia"/>
          <w:i/>
          <w:iCs/>
          <w:color w:val="000000"/>
          <w:sz w:val="20"/>
        </w:rPr>
        <w:t>middle</w:t>
      </w:r>
      <w:r>
        <w:rPr>
          <w:rFonts w:hint="eastAsia"/>
          <w:color w:val="000000"/>
          <w:sz w:val="20"/>
        </w:rPr>
        <w:t>)</w:t>
      </w:r>
      <w:r>
        <w:rPr>
          <w:sz w:val="20"/>
        </w:rPr>
        <w:t>, and MDA-MB-231 cells (</w:t>
      </w:r>
      <w:r>
        <w:rPr>
          <w:i/>
          <w:sz w:val="20"/>
        </w:rPr>
        <w:t>right</w:t>
      </w:r>
      <w:r>
        <w:rPr>
          <w:sz w:val="20"/>
        </w:rPr>
        <w:t>) treated with or without PS-T (n = 3). (mean ± standard deviation; ns, not significant).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40" w:bottom="1440" w:left="1440" w:header="708" w:footer="708" w:gutter="0"/>
      <w:lnNumType w:countBy="1" w:restart="continuous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125933"/>
      <w:docPartObj>
        <w:docPartGallery w:val="AutoText"/>
      </w:docPartObj>
    </w:sdtPr>
    <w:sdtContent>
      <w:p w14:paraId="17489C4F">
        <w:pPr>
          <w:pStyle w:val="5"/>
          <w:ind w:firstLine="4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EC7BA7">
    <w:pPr>
      <w:pStyle w:val="5"/>
      <w:ind w:firstLine="4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E12EC">
    <w:pPr>
      <w:pStyle w:val="5"/>
      <w:ind w:firstLine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CA95D">
    <w:pPr>
      <w:pStyle w:val="5"/>
      <w:ind w:firstLine="4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435B9">
    <w:pPr>
      <w:pStyle w:val="6"/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0A092">
    <w:pPr>
      <w:pStyle w:val="6"/>
      <w:ind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4358E">
    <w:pPr>
      <w:pStyle w:val="6"/>
      <w:ind w:firstLine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yMjYzMjW2sDQzMzJX0lEKTi0uzszPAykwqgUAS88ndCwAAAA="/>
  </w:docVars>
  <w:rsids>
    <w:rsidRoot w:val="002A7AA8"/>
    <w:rsid w:val="00012DF7"/>
    <w:rsid w:val="0004719E"/>
    <w:rsid w:val="00075D87"/>
    <w:rsid w:val="000B3D28"/>
    <w:rsid w:val="000E7F21"/>
    <w:rsid w:val="0010276E"/>
    <w:rsid w:val="001205E1"/>
    <w:rsid w:val="001462CA"/>
    <w:rsid w:val="0017454B"/>
    <w:rsid w:val="001A26AA"/>
    <w:rsid w:val="001E4088"/>
    <w:rsid w:val="001E6280"/>
    <w:rsid w:val="001F74C8"/>
    <w:rsid w:val="0020148A"/>
    <w:rsid w:val="00264BA6"/>
    <w:rsid w:val="002971AF"/>
    <w:rsid w:val="002A7AA8"/>
    <w:rsid w:val="002C3982"/>
    <w:rsid w:val="003058C9"/>
    <w:rsid w:val="00307BE1"/>
    <w:rsid w:val="003909F4"/>
    <w:rsid w:val="004025DA"/>
    <w:rsid w:val="00461D37"/>
    <w:rsid w:val="004862FD"/>
    <w:rsid w:val="004A0B66"/>
    <w:rsid w:val="004D1B42"/>
    <w:rsid w:val="004F792B"/>
    <w:rsid w:val="00572F46"/>
    <w:rsid w:val="005B4EDB"/>
    <w:rsid w:val="005F7435"/>
    <w:rsid w:val="00606304"/>
    <w:rsid w:val="00622736"/>
    <w:rsid w:val="00691A74"/>
    <w:rsid w:val="006B2F80"/>
    <w:rsid w:val="006F4D9A"/>
    <w:rsid w:val="006F57F3"/>
    <w:rsid w:val="007016FE"/>
    <w:rsid w:val="00750044"/>
    <w:rsid w:val="007E7568"/>
    <w:rsid w:val="00806C85"/>
    <w:rsid w:val="0082137B"/>
    <w:rsid w:val="008379C5"/>
    <w:rsid w:val="00851BE0"/>
    <w:rsid w:val="0086132B"/>
    <w:rsid w:val="008D02C8"/>
    <w:rsid w:val="008E6614"/>
    <w:rsid w:val="00900E7B"/>
    <w:rsid w:val="00966AD4"/>
    <w:rsid w:val="00992862"/>
    <w:rsid w:val="00992DF3"/>
    <w:rsid w:val="009D204A"/>
    <w:rsid w:val="009F6D42"/>
    <w:rsid w:val="00A4163C"/>
    <w:rsid w:val="00A51CE6"/>
    <w:rsid w:val="00A71A0B"/>
    <w:rsid w:val="00A92C18"/>
    <w:rsid w:val="00AD48D9"/>
    <w:rsid w:val="00B12A1E"/>
    <w:rsid w:val="00B15AA2"/>
    <w:rsid w:val="00B17336"/>
    <w:rsid w:val="00B76EEF"/>
    <w:rsid w:val="00B82ABB"/>
    <w:rsid w:val="00B83E9C"/>
    <w:rsid w:val="00B939FF"/>
    <w:rsid w:val="00BB7FB4"/>
    <w:rsid w:val="00BD68BF"/>
    <w:rsid w:val="00BE2718"/>
    <w:rsid w:val="00BE4DF5"/>
    <w:rsid w:val="00BF7F09"/>
    <w:rsid w:val="00C16257"/>
    <w:rsid w:val="00C44C30"/>
    <w:rsid w:val="00C51DEF"/>
    <w:rsid w:val="00C52D1A"/>
    <w:rsid w:val="00CC00AB"/>
    <w:rsid w:val="00CC152D"/>
    <w:rsid w:val="00CC56D2"/>
    <w:rsid w:val="00CD295F"/>
    <w:rsid w:val="00D43FDA"/>
    <w:rsid w:val="00D54BBE"/>
    <w:rsid w:val="00D85104"/>
    <w:rsid w:val="00DA7438"/>
    <w:rsid w:val="00DB33FC"/>
    <w:rsid w:val="00DD4402"/>
    <w:rsid w:val="00E25A03"/>
    <w:rsid w:val="00E671B6"/>
    <w:rsid w:val="00E81140"/>
    <w:rsid w:val="00E84868"/>
    <w:rsid w:val="00F2770A"/>
    <w:rsid w:val="00F46BFF"/>
    <w:rsid w:val="00F50DA8"/>
    <w:rsid w:val="00F543DB"/>
    <w:rsid w:val="00F55A44"/>
    <w:rsid w:val="00F6039E"/>
    <w:rsid w:val="00F65C5A"/>
    <w:rsid w:val="00F80180"/>
    <w:rsid w:val="00F879DD"/>
    <w:rsid w:val="00F94BB1"/>
    <w:rsid w:val="00FB603B"/>
    <w:rsid w:val="00FF1453"/>
    <w:rsid w:val="6C89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Arial" w:hAnsi="Arial" w:cs="Arial" w:eastAsiaTheme="minorEastAsia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ind w:firstLine="0" w:firstLineChars="0"/>
      <w:outlineLvl w:val="0"/>
    </w:pPr>
    <w:rPr>
      <w:rFonts w:eastAsia="Arial"/>
      <w:b/>
      <w:bCs/>
      <w:kern w:val="44"/>
      <w:szCs w:val="32"/>
    </w:rPr>
  </w:style>
  <w:style w:type="paragraph" w:styleId="3">
    <w:name w:val="heading 2"/>
    <w:basedOn w:val="1"/>
    <w:link w:val="13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  <w:outlineLvl w:val="1"/>
    </w:pPr>
    <w:rPr>
      <w:rFonts w:eastAsia="Arial"/>
      <w:b/>
      <w:bCs/>
      <w:kern w:val="0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6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  <w:spacing w:line="240" w:lineRule="auto"/>
    </w:pPr>
  </w:style>
  <w:style w:type="paragraph" w:styleId="7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character" w:styleId="10">
    <w:name w:val="line number"/>
    <w:basedOn w:val="9"/>
    <w:semiHidden/>
    <w:unhideWhenUsed/>
    <w:qFormat/>
    <w:uiPriority w:val="99"/>
  </w:style>
  <w:style w:type="character" w:styleId="11">
    <w:name w:val="annotation reference"/>
    <w:basedOn w:val="9"/>
    <w:semiHidden/>
    <w:unhideWhenUsed/>
    <w:qFormat/>
    <w:uiPriority w:val="99"/>
    <w:rPr>
      <w:sz w:val="16"/>
      <w:szCs w:val="16"/>
    </w:rPr>
  </w:style>
  <w:style w:type="character" w:customStyle="1" w:styleId="12">
    <w:name w:val="标题 1 字符"/>
    <w:basedOn w:val="9"/>
    <w:link w:val="2"/>
    <w:qFormat/>
    <w:uiPriority w:val="9"/>
    <w:rPr>
      <w:rFonts w:ascii="Arial" w:hAnsi="Arial" w:eastAsia="Arial" w:cs="Arial"/>
      <w:b/>
      <w:bCs/>
      <w:kern w:val="44"/>
      <w:sz w:val="21"/>
      <w:szCs w:val="32"/>
      <w:lang w:val="en-US" w:eastAsia="zh-CN"/>
    </w:rPr>
  </w:style>
  <w:style w:type="character" w:customStyle="1" w:styleId="13">
    <w:name w:val="标题 2 字符"/>
    <w:basedOn w:val="9"/>
    <w:link w:val="3"/>
    <w:qFormat/>
    <w:uiPriority w:val="9"/>
    <w:rPr>
      <w:rFonts w:ascii="Arial" w:hAnsi="Arial" w:eastAsia="Arial" w:cs="Arial"/>
      <w:b/>
      <w:bCs/>
      <w:sz w:val="21"/>
      <w:szCs w:val="36"/>
      <w:lang w:val="en-US" w:eastAsia="zh-CN"/>
    </w:rPr>
  </w:style>
  <w:style w:type="paragraph" w:styleId="14">
    <w:name w:val="No Spacing"/>
    <w:basedOn w:val="1"/>
    <w:qFormat/>
    <w:uiPriority w:val="0"/>
    <w:pPr>
      <w:ind w:firstLine="0" w:firstLineChars="0"/>
    </w:pPr>
  </w:style>
  <w:style w:type="paragraph" w:customStyle="1" w:styleId="15">
    <w:name w:val="Revision"/>
    <w:hidden/>
    <w:semiHidden/>
    <w:qFormat/>
    <w:uiPriority w:val="99"/>
    <w:rPr>
      <w:rFonts w:ascii="Arial" w:hAnsi="Arial" w:cs="Arial" w:eastAsiaTheme="minorEastAsia"/>
      <w:kern w:val="2"/>
      <w:sz w:val="21"/>
      <w:szCs w:val="22"/>
      <w:lang w:val="en-US" w:eastAsia="zh-CN" w:bidi="ar-SA"/>
    </w:rPr>
  </w:style>
  <w:style w:type="character" w:customStyle="1" w:styleId="16">
    <w:name w:val="批注文字 字符"/>
    <w:basedOn w:val="9"/>
    <w:link w:val="4"/>
    <w:semiHidden/>
    <w:uiPriority w:val="99"/>
    <w:rPr>
      <w:rFonts w:ascii="Arial" w:hAnsi="Arial" w:cs="Arial" w:eastAsiaTheme="minorEastAsia"/>
      <w:kern w:val="2"/>
      <w:sz w:val="20"/>
      <w:szCs w:val="20"/>
      <w:lang w:val="en-US" w:eastAsia="zh-CN"/>
    </w:rPr>
  </w:style>
  <w:style w:type="character" w:customStyle="1" w:styleId="17">
    <w:name w:val="批注主题 字符"/>
    <w:basedOn w:val="16"/>
    <w:link w:val="7"/>
    <w:semiHidden/>
    <w:qFormat/>
    <w:uiPriority w:val="99"/>
    <w:rPr>
      <w:rFonts w:ascii="Arial" w:hAnsi="Arial" w:cs="Arial" w:eastAsiaTheme="minorEastAsia"/>
      <w:b/>
      <w:bCs/>
      <w:kern w:val="2"/>
      <w:sz w:val="20"/>
      <w:szCs w:val="20"/>
      <w:lang w:val="en-US" w:eastAsia="zh-CN"/>
    </w:rPr>
  </w:style>
  <w:style w:type="character" w:customStyle="1" w:styleId="18">
    <w:name w:val="页眉 字符"/>
    <w:basedOn w:val="9"/>
    <w:link w:val="6"/>
    <w:qFormat/>
    <w:uiPriority w:val="99"/>
    <w:rPr>
      <w:rFonts w:ascii="Arial" w:hAnsi="Arial" w:cs="Arial" w:eastAsiaTheme="minorEastAsia"/>
      <w:kern w:val="2"/>
      <w:sz w:val="21"/>
      <w:szCs w:val="22"/>
      <w:lang w:val="en-US" w:eastAsia="zh-CN"/>
    </w:rPr>
  </w:style>
  <w:style w:type="character" w:customStyle="1" w:styleId="19">
    <w:name w:val="页脚 字符"/>
    <w:basedOn w:val="9"/>
    <w:link w:val="5"/>
    <w:uiPriority w:val="99"/>
    <w:rPr>
      <w:rFonts w:ascii="Arial" w:hAnsi="Arial" w:cs="Arial" w:eastAsiaTheme="minorEastAsia"/>
      <w:kern w:val="2"/>
      <w:sz w:val="21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3.tiff"/><Relationship Id="rId13" Type="http://schemas.openxmlformats.org/officeDocument/2006/relationships/image" Target="media/image2.tiff"/><Relationship Id="rId12" Type="http://schemas.openxmlformats.org/officeDocument/2006/relationships/image" Target="media/image1.tif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</Words>
  <Characters>915</Characters>
  <Lines>7</Lines>
  <Paragraphs>2</Paragraphs>
  <TotalTime>0</TotalTime>
  <ScaleCrop>false</ScaleCrop>
  <LinksUpToDate>false</LinksUpToDate>
  <CharactersWithSpaces>1084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2023-02-07T17:32:00Z</dcterms:created>
  <dc:creator>周 林夕</dc:creator>
  <cp:lastModifiedBy>郑鸿</cp:lastModifiedBy>
  <cp:lastPrinted>2024-04-17T08:41:00Z</cp:lastPrinted>
  <dcterms:modified xsi:type="dcterms:W3CDTF">2024-12-10T01:37:51Z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919984C3ABC149EE809B1711174A0481_12</vt:lpwstr>
  </property>
</Properties>
</file>