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20AC" w14:textId="00BF5693" w:rsidR="00C77EC1" w:rsidRDefault="00C77EC1" w:rsidP="00C77EC1">
      <w:pPr>
        <w:spacing w:line="257" w:lineRule="auto"/>
        <w:rPr>
          <w:rFonts w:ascii="Times New Roman" w:eastAsia="Calibri" w:hAnsi="Times New Roman" w:cs="Times New Roman"/>
          <w:b/>
          <w:bCs/>
          <w:sz w:val="32"/>
          <w:szCs w:val="32"/>
          <w:lang w:val="en-US"/>
        </w:rPr>
      </w:pPr>
      <w:r>
        <w:rPr>
          <w:rFonts w:ascii="Times New Roman" w:eastAsia="Calibri" w:hAnsi="Times New Roman" w:cs="Times New Roman"/>
          <w:b/>
          <w:bCs/>
          <w:sz w:val="32"/>
          <w:szCs w:val="32"/>
          <w:lang w:val="en-US"/>
        </w:rPr>
        <w:t>Supplement</w:t>
      </w:r>
      <w:r w:rsidR="00554ED7">
        <w:rPr>
          <w:rFonts w:ascii="Times New Roman" w:eastAsia="Calibri" w:hAnsi="Times New Roman" w:cs="Times New Roman"/>
          <w:b/>
          <w:bCs/>
          <w:sz w:val="32"/>
          <w:szCs w:val="32"/>
          <w:lang w:val="en-US"/>
        </w:rPr>
        <w:t xml:space="preserve">ary </w:t>
      </w:r>
      <w:r w:rsidR="00B86D21">
        <w:rPr>
          <w:rFonts w:ascii="Times New Roman" w:eastAsia="Calibri" w:hAnsi="Times New Roman" w:cs="Times New Roman"/>
          <w:b/>
          <w:bCs/>
          <w:sz w:val="32"/>
          <w:szCs w:val="32"/>
          <w:lang w:val="en-US"/>
        </w:rPr>
        <w:t>I</w:t>
      </w:r>
      <w:r w:rsidR="00554ED7">
        <w:rPr>
          <w:rFonts w:ascii="Times New Roman" w:eastAsia="Calibri" w:hAnsi="Times New Roman" w:cs="Times New Roman"/>
          <w:b/>
          <w:bCs/>
          <w:sz w:val="32"/>
          <w:szCs w:val="32"/>
          <w:lang w:val="en-US"/>
        </w:rPr>
        <w:t>nformation</w:t>
      </w:r>
      <w:r>
        <w:rPr>
          <w:rFonts w:ascii="Times New Roman" w:eastAsia="Calibri" w:hAnsi="Times New Roman" w:cs="Times New Roman"/>
          <w:b/>
          <w:bCs/>
          <w:sz w:val="32"/>
          <w:szCs w:val="32"/>
          <w:lang w:val="en-US"/>
        </w:rPr>
        <w:t xml:space="preserve"> for</w:t>
      </w:r>
    </w:p>
    <w:p w14:paraId="1D03C3EB" w14:textId="533B8655" w:rsidR="00C77EC1" w:rsidRPr="008E4452" w:rsidRDefault="00C77EC1" w:rsidP="00D46F76">
      <w:pPr>
        <w:spacing w:line="257" w:lineRule="auto"/>
        <w:jc w:val="center"/>
        <w:rPr>
          <w:rFonts w:ascii="Times New Roman" w:hAnsi="Times New Roman" w:cs="Times New Roman"/>
          <w:lang w:val="en-US"/>
        </w:rPr>
      </w:pPr>
      <w:r>
        <w:rPr>
          <w:rFonts w:ascii="Times New Roman" w:eastAsia="Calibri" w:hAnsi="Times New Roman" w:cs="Times New Roman"/>
          <w:b/>
          <w:bCs/>
          <w:sz w:val="32"/>
          <w:szCs w:val="32"/>
          <w:lang w:val="en-US"/>
        </w:rPr>
        <w:t>“</w:t>
      </w:r>
      <w:r w:rsidR="00D46F76">
        <w:rPr>
          <w:rFonts w:ascii="Times New Roman" w:eastAsia="Calibri" w:hAnsi="Times New Roman" w:cs="Times New Roman"/>
          <w:b/>
          <w:bCs/>
          <w:sz w:val="32"/>
          <w:szCs w:val="32"/>
          <w:lang w:val="en-US"/>
        </w:rPr>
        <w:t>A h</w:t>
      </w:r>
      <w:r w:rsidR="00D46F76" w:rsidRPr="004D6C10">
        <w:rPr>
          <w:rFonts w:ascii="Times New Roman" w:eastAsia="Calibri" w:hAnsi="Times New Roman" w:cs="Times New Roman"/>
          <w:b/>
          <w:bCs/>
          <w:sz w:val="32"/>
          <w:szCs w:val="32"/>
          <w:lang w:val="en-US"/>
        </w:rPr>
        <w:t>igh</w:t>
      </w:r>
      <w:r w:rsidR="001D4DA3">
        <w:rPr>
          <w:rFonts w:ascii="Times New Roman" w:eastAsia="Calibri" w:hAnsi="Times New Roman" w:cs="Times New Roman"/>
          <w:b/>
          <w:bCs/>
          <w:sz w:val="32"/>
          <w:szCs w:val="32"/>
          <w:lang w:val="en-US"/>
        </w:rPr>
        <w:t>-</w:t>
      </w:r>
      <w:r w:rsidR="00D46F76" w:rsidRPr="004D6C10">
        <w:rPr>
          <w:rFonts w:ascii="Times New Roman" w:eastAsia="Calibri" w:hAnsi="Times New Roman" w:cs="Times New Roman"/>
          <w:b/>
          <w:bCs/>
          <w:sz w:val="32"/>
          <w:szCs w:val="32"/>
          <w:lang w:val="en-US"/>
        </w:rPr>
        <w:t xml:space="preserve">resolution compound vulnerability function for </w:t>
      </w:r>
      <w:r w:rsidR="00D46F76">
        <w:rPr>
          <w:rFonts w:ascii="Times New Roman" w:eastAsia="Calibri" w:hAnsi="Times New Roman" w:cs="Times New Roman"/>
          <w:b/>
          <w:bCs/>
          <w:sz w:val="32"/>
          <w:szCs w:val="32"/>
          <w:lang w:val="en-US"/>
        </w:rPr>
        <w:t>severe convective storm losses</w:t>
      </w:r>
      <w:r>
        <w:rPr>
          <w:rFonts w:ascii="Times New Roman" w:eastAsia="Calibri" w:hAnsi="Times New Roman" w:cs="Times New Roman"/>
          <w:b/>
          <w:bCs/>
          <w:sz w:val="32"/>
          <w:szCs w:val="32"/>
          <w:lang w:val="en-US"/>
        </w:rPr>
        <w:t>”</w:t>
      </w:r>
    </w:p>
    <w:p w14:paraId="347FCD17" w14:textId="74D4E477" w:rsidR="00C77EC1" w:rsidRPr="00497B1A" w:rsidRDefault="00C77EC1" w:rsidP="00C77EC1">
      <w:pPr>
        <w:spacing w:line="257" w:lineRule="auto"/>
        <w:jc w:val="center"/>
        <w:rPr>
          <w:rFonts w:ascii="Times New Roman" w:eastAsia="Calibri" w:hAnsi="Times New Roman" w:cs="Times New Roman"/>
          <w:color w:val="000000" w:themeColor="text1"/>
          <w:vertAlign w:val="superscript"/>
          <w:lang w:val="en-US"/>
        </w:rPr>
      </w:pPr>
      <w:r w:rsidRPr="0079202F">
        <w:rPr>
          <w:rFonts w:ascii="Times New Roman" w:eastAsia="Calibri" w:hAnsi="Times New Roman" w:cs="Times New Roman"/>
          <w:color w:val="000000" w:themeColor="text1"/>
          <w:lang w:val="en-US"/>
        </w:rPr>
        <w:t>D. van Ederen</w:t>
      </w:r>
      <w:r w:rsidRPr="0079202F">
        <w:rPr>
          <w:rFonts w:ascii="Times New Roman" w:eastAsia="Calibri" w:hAnsi="Times New Roman" w:cs="Times New Roman"/>
          <w:vertAlign w:val="superscript"/>
          <w:lang w:val="en-US"/>
        </w:rPr>
        <w:t xml:space="preserve">1,2 </w:t>
      </w:r>
      <w:r>
        <w:rPr>
          <w:rFonts w:ascii="Times New Roman" w:eastAsia="Calibri" w:hAnsi="Times New Roman" w:cs="Times New Roman"/>
          <w:lang w:val="en-US"/>
        </w:rPr>
        <w:t xml:space="preserve">, </w:t>
      </w:r>
      <w:r w:rsidRPr="0079202F">
        <w:rPr>
          <w:rFonts w:ascii="Times New Roman" w:eastAsia="Calibri" w:hAnsi="Times New Roman" w:cs="Times New Roman"/>
          <w:lang w:val="en-US"/>
        </w:rPr>
        <w:t>M.</w:t>
      </w:r>
      <w:r w:rsidR="00D46F76">
        <w:rPr>
          <w:rFonts w:ascii="Times New Roman" w:eastAsia="Calibri" w:hAnsi="Times New Roman" w:cs="Times New Roman"/>
          <w:lang w:val="en-US"/>
        </w:rPr>
        <w:t>D</w:t>
      </w:r>
      <w:r w:rsidRPr="0079202F">
        <w:rPr>
          <w:rFonts w:ascii="Times New Roman" w:eastAsia="Calibri" w:hAnsi="Times New Roman" w:cs="Times New Roman"/>
          <w:lang w:val="en-US"/>
        </w:rPr>
        <w:t>.S. Fonseca Cerda</w:t>
      </w:r>
      <w:r w:rsidRPr="0079202F">
        <w:rPr>
          <w:rFonts w:ascii="Times New Roman" w:eastAsia="Calibri" w:hAnsi="Times New Roman" w:cs="Times New Roman"/>
          <w:vertAlign w:val="superscript"/>
          <w:lang w:val="en-US"/>
        </w:rPr>
        <w:t>1</w:t>
      </w:r>
      <w:r w:rsidRPr="0079202F">
        <w:rPr>
          <w:rFonts w:ascii="Times New Roman" w:eastAsia="Calibri" w:hAnsi="Times New Roman" w:cs="Times New Roman"/>
          <w:lang w:val="en-US"/>
        </w:rPr>
        <w:t>,</w:t>
      </w:r>
      <w:r w:rsidRPr="0079202F">
        <w:rPr>
          <w:rFonts w:ascii="Times New Roman" w:eastAsia="Calibri" w:hAnsi="Times New Roman" w:cs="Times New Roman"/>
          <w:b/>
          <w:bCs/>
          <w:lang w:val="en-US"/>
        </w:rPr>
        <w:t xml:space="preserve"> </w:t>
      </w:r>
      <w:r w:rsidRPr="0079202F">
        <w:rPr>
          <w:rFonts w:ascii="Times New Roman" w:eastAsia="Calibri" w:hAnsi="Times New Roman" w:cs="Times New Roman"/>
          <w:lang w:val="en-US"/>
        </w:rPr>
        <w:t>W.J.W. Botzen</w:t>
      </w:r>
      <w:r w:rsidRPr="0079202F">
        <w:rPr>
          <w:rFonts w:ascii="Times New Roman" w:eastAsia="Calibri" w:hAnsi="Times New Roman" w:cs="Times New Roman"/>
          <w:vertAlign w:val="superscript"/>
          <w:lang w:val="en-US"/>
        </w:rPr>
        <w:t>1</w:t>
      </w:r>
      <w:r w:rsidRPr="0079202F">
        <w:rPr>
          <w:rFonts w:ascii="Times New Roman" w:eastAsia="Calibri" w:hAnsi="Times New Roman" w:cs="Times New Roman"/>
          <w:color w:val="000000" w:themeColor="text1"/>
          <w:lang w:val="en-US"/>
        </w:rPr>
        <w:t xml:space="preserve">, </w:t>
      </w:r>
      <w:r w:rsidRPr="0079202F">
        <w:rPr>
          <w:rFonts w:ascii="Times New Roman" w:eastAsia="Calibri" w:hAnsi="Times New Roman" w:cs="Times New Roman"/>
          <w:lang w:val="en-US"/>
        </w:rPr>
        <w:t>J.C.J.H. Aerts</w:t>
      </w:r>
      <w:r w:rsidRPr="0079202F">
        <w:rPr>
          <w:rFonts w:ascii="Times New Roman" w:eastAsia="Calibri" w:hAnsi="Times New Roman" w:cs="Times New Roman"/>
          <w:vertAlign w:val="superscript"/>
          <w:lang w:val="en-US"/>
        </w:rPr>
        <w:t>1,3</w:t>
      </w:r>
      <w:r w:rsidRPr="0079202F">
        <w:rPr>
          <w:rFonts w:ascii="Times New Roman" w:eastAsia="Calibri" w:hAnsi="Times New Roman" w:cs="Times New Roman"/>
          <w:lang w:val="en-US"/>
        </w:rPr>
        <w:t xml:space="preserve">, </w:t>
      </w:r>
      <w:r>
        <w:rPr>
          <w:rFonts w:ascii="Times New Roman" w:eastAsia="Calibri" w:hAnsi="Times New Roman" w:cs="Times New Roman"/>
          <w:lang w:val="en-US"/>
        </w:rPr>
        <w:t>V. Lupi</w:t>
      </w:r>
      <w:r>
        <w:rPr>
          <w:rFonts w:ascii="Times New Roman" w:eastAsia="Calibri" w:hAnsi="Times New Roman" w:cs="Times New Roman"/>
          <w:vertAlign w:val="superscript"/>
          <w:lang w:val="en-US"/>
        </w:rPr>
        <w:t>1</w:t>
      </w:r>
      <w:r>
        <w:rPr>
          <w:rFonts w:ascii="Times New Roman" w:eastAsia="Calibri" w:hAnsi="Times New Roman" w:cs="Times New Roman"/>
          <w:lang w:val="en-US"/>
        </w:rPr>
        <w:t>, P. Scussolini</w:t>
      </w:r>
      <w:r>
        <w:rPr>
          <w:rFonts w:ascii="Times New Roman" w:eastAsia="Calibri" w:hAnsi="Times New Roman" w:cs="Times New Roman"/>
          <w:vertAlign w:val="superscript"/>
          <w:lang w:val="en-US"/>
        </w:rPr>
        <w:t>1</w:t>
      </w:r>
      <w:r>
        <w:rPr>
          <w:rFonts w:ascii="Times New Roman" w:eastAsia="Calibri" w:hAnsi="Times New Roman" w:cs="Times New Roman"/>
          <w:lang w:val="en-US"/>
        </w:rPr>
        <w:t>, K.B. Gubbels</w:t>
      </w:r>
      <w:r>
        <w:rPr>
          <w:rFonts w:ascii="Times New Roman" w:eastAsia="Calibri" w:hAnsi="Times New Roman" w:cs="Times New Roman"/>
          <w:vertAlign w:val="superscript"/>
          <w:lang w:val="en-US"/>
        </w:rPr>
        <w:t>2,4,5</w:t>
      </w:r>
    </w:p>
    <w:p w14:paraId="25EBAB9C" w14:textId="77777777" w:rsidR="00C77EC1" w:rsidRPr="0079202F" w:rsidRDefault="00C77EC1" w:rsidP="00C77EC1">
      <w:pPr>
        <w:jc w:val="both"/>
        <w:rPr>
          <w:rFonts w:ascii="Times New Roman" w:eastAsia="Calibri" w:hAnsi="Times New Roman" w:cs="Times New Roman"/>
          <w:sz w:val="14"/>
          <w:szCs w:val="14"/>
          <w:lang w:val="en-US"/>
        </w:rPr>
      </w:pPr>
    </w:p>
    <w:p w14:paraId="5D233D00" w14:textId="77777777" w:rsidR="00C77EC1" w:rsidRPr="001E5784" w:rsidRDefault="00C77EC1" w:rsidP="00C77EC1">
      <w:pPr>
        <w:jc w:val="both"/>
        <w:rPr>
          <w:rFonts w:ascii="Times New Roman" w:eastAsia="Calibri" w:hAnsi="Times New Roman" w:cs="Times New Roman"/>
          <w:sz w:val="14"/>
          <w:szCs w:val="14"/>
        </w:rPr>
      </w:pPr>
      <w:r w:rsidRPr="001E5784">
        <w:rPr>
          <w:rFonts w:ascii="Times New Roman" w:eastAsia="Calibri" w:hAnsi="Times New Roman" w:cs="Times New Roman"/>
          <w:sz w:val="14"/>
          <w:szCs w:val="14"/>
        </w:rPr>
        <w:t xml:space="preserve">1 Institute </w:t>
      </w:r>
      <w:proofErr w:type="spellStart"/>
      <w:r w:rsidRPr="001E5784">
        <w:rPr>
          <w:rFonts w:ascii="Times New Roman" w:eastAsia="Calibri" w:hAnsi="Times New Roman" w:cs="Times New Roman"/>
          <w:sz w:val="14"/>
          <w:szCs w:val="14"/>
        </w:rPr>
        <w:t>for</w:t>
      </w:r>
      <w:proofErr w:type="spellEnd"/>
      <w:r w:rsidRPr="001E5784">
        <w:rPr>
          <w:rFonts w:ascii="Times New Roman" w:eastAsia="Calibri" w:hAnsi="Times New Roman" w:cs="Times New Roman"/>
          <w:sz w:val="14"/>
          <w:szCs w:val="14"/>
        </w:rPr>
        <w:t xml:space="preserve"> </w:t>
      </w:r>
      <w:proofErr w:type="spellStart"/>
      <w:r w:rsidRPr="001E5784">
        <w:rPr>
          <w:rFonts w:ascii="Times New Roman" w:eastAsia="Calibri" w:hAnsi="Times New Roman" w:cs="Times New Roman"/>
          <w:sz w:val="14"/>
          <w:szCs w:val="14"/>
        </w:rPr>
        <w:t>Environmental</w:t>
      </w:r>
      <w:proofErr w:type="spellEnd"/>
      <w:r w:rsidRPr="001E5784">
        <w:rPr>
          <w:rFonts w:ascii="Times New Roman" w:eastAsia="Calibri" w:hAnsi="Times New Roman" w:cs="Times New Roman"/>
          <w:sz w:val="14"/>
          <w:szCs w:val="14"/>
        </w:rPr>
        <w:t xml:space="preserve"> Studies (IVM), Vrije Universite</w:t>
      </w:r>
      <w:r>
        <w:rPr>
          <w:rFonts w:ascii="Times New Roman" w:eastAsia="Calibri" w:hAnsi="Times New Roman" w:cs="Times New Roman"/>
          <w:sz w:val="14"/>
          <w:szCs w:val="14"/>
        </w:rPr>
        <w:t xml:space="preserve">it </w:t>
      </w:r>
      <w:r w:rsidRPr="001E5784">
        <w:rPr>
          <w:rFonts w:ascii="Times New Roman" w:eastAsia="Calibri" w:hAnsi="Times New Roman" w:cs="Times New Roman"/>
          <w:sz w:val="14"/>
          <w:szCs w:val="14"/>
        </w:rPr>
        <w:t xml:space="preserve">Amsterdam, </w:t>
      </w:r>
      <w:r>
        <w:rPr>
          <w:rFonts w:ascii="Times New Roman" w:eastAsia="Calibri" w:hAnsi="Times New Roman" w:cs="Times New Roman"/>
          <w:sz w:val="14"/>
          <w:szCs w:val="14"/>
        </w:rPr>
        <w:t xml:space="preserve">Amsterdam, </w:t>
      </w:r>
      <w:proofErr w:type="spellStart"/>
      <w:r>
        <w:rPr>
          <w:rFonts w:ascii="Times New Roman" w:eastAsia="Calibri" w:hAnsi="Times New Roman" w:cs="Times New Roman"/>
          <w:sz w:val="14"/>
          <w:szCs w:val="14"/>
        </w:rPr>
        <w:t>t</w:t>
      </w:r>
      <w:r w:rsidRPr="001E5784">
        <w:rPr>
          <w:rFonts w:ascii="Times New Roman" w:eastAsia="Calibri" w:hAnsi="Times New Roman" w:cs="Times New Roman"/>
          <w:sz w:val="14"/>
          <w:szCs w:val="14"/>
        </w:rPr>
        <w:t>he</w:t>
      </w:r>
      <w:proofErr w:type="spellEnd"/>
      <w:r w:rsidRPr="001E5784">
        <w:rPr>
          <w:rFonts w:ascii="Times New Roman" w:eastAsia="Calibri" w:hAnsi="Times New Roman" w:cs="Times New Roman"/>
          <w:sz w:val="14"/>
          <w:szCs w:val="14"/>
        </w:rPr>
        <w:t xml:space="preserve"> Netherlands</w:t>
      </w:r>
    </w:p>
    <w:p w14:paraId="2BE80979" w14:textId="77777777" w:rsidR="00C77EC1" w:rsidRPr="008E4452" w:rsidRDefault="00C77EC1" w:rsidP="00C77EC1">
      <w:pPr>
        <w:jc w:val="both"/>
        <w:rPr>
          <w:rFonts w:ascii="Times New Roman" w:eastAsia="Calibri" w:hAnsi="Times New Roman" w:cs="Times New Roman"/>
          <w:sz w:val="14"/>
          <w:szCs w:val="14"/>
          <w:lang w:val="en-US"/>
        </w:rPr>
      </w:pPr>
      <w:r w:rsidRPr="008E4452">
        <w:rPr>
          <w:rFonts w:ascii="Times New Roman" w:eastAsia="Calibri" w:hAnsi="Times New Roman" w:cs="Times New Roman"/>
          <w:sz w:val="14"/>
          <w:szCs w:val="14"/>
          <w:lang w:val="en-US"/>
        </w:rPr>
        <w:t xml:space="preserve">2. Achmea, </w:t>
      </w:r>
      <w:r>
        <w:rPr>
          <w:rFonts w:ascii="Times New Roman" w:eastAsia="Calibri" w:hAnsi="Times New Roman" w:cs="Times New Roman"/>
          <w:sz w:val="14"/>
          <w:szCs w:val="14"/>
          <w:lang w:val="en-US"/>
        </w:rPr>
        <w:t>Zeist, t</w:t>
      </w:r>
      <w:r w:rsidRPr="008E4452">
        <w:rPr>
          <w:rFonts w:ascii="Times New Roman" w:eastAsia="Calibri" w:hAnsi="Times New Roman" w:cs="Times New Roman"/>
          <w:sz w:val="14"/>
          <w:szCs w:val="14"/>
          <w:lang w:val="en-US"/>
        </w:rPr>
        <w:t>he Netherlands</w:t>
      </w:r>
    </w:p>
    <w:p w14:paraId="7FC0284A" w14:textId="77777777" w:rsidR="00C77EC1" w:rsidRDefault="00C77EC1" w:rsidP="00C77EC1">
      <w:pPr>
        <w:jc w:val="both"/>
        <w:rPr>
          <w:rFonts w:ascii="Times New Roman" w:eastAsia="Calibri" w:hAnsi="Times New Roman" w:cs="Times New Roman"/>
          <w:sz w:val="14"/>
          <w:szCs w:val="14"/>
          <w:lang w:val="en-US"/>
        </w:rPr>
      </w:pPr>
      <w:r w:rsidRPr="008E4452">
        <w:rPr>
          <w:rFonts w:ascii="Times New Roman" w:eastAsia="Calibri" w:hAnsi="Times New Roman" w:cs="Times New Roman"/>
          <w:sz w:val="14"/>
          <w:szCs w:val="14"/>
          <w:lang w:val="en-US"/>
        </w:rPr>
        <w:t xml:space="preserve">3. </w:t>
      </w:r>
      <w:proofErr w:type="spellStart"/>
      <w:r w:rsidRPr="008E4452">
        <w:rPr>
          <w:rFonts w:ascii="Times New Roman" w:eastAsia="Calibri" w:hAnsi="Times New Roman" w:cs="Times New Roman"/>
          <w:sz w:val="14"/>
          <w:szCs w:val="14"/>
          <w:lang w:val="en-US"/>
        </w:rPr>
        <w:t>Deltares</w:t>
      </w:r>
      <w:proofErr w:type="spellEnd"/>
      <w:r w:rsidRPr="008E4452">
        <w:rPr>
          <w:rFonts w:ascii="Times New Roman" w:eastAsia="Calibri" w:hAnsi="Times New Roman" w:cs="Times New Roman"/>
          <w:sz w:val="14"/>
          <w:szCs w:val="14"/>
          <w:lang w:val="en-US"/>
        </w:rPr>
        <w:t xml:space="preserve">, Delft, </w:t>
      </w:r>
      <w:r>
        <w:rPr>
          <w:rFonts w:ascii="Times New Roman" w:eastAsia="Calibri" w:hAnsi="Times New Roman" w:cs="Times New Roman"/>
          <w:sz w:val="14"/>
          <w:szCs w:val="14"/>
          <w:lang w:val="en-US"/>
        </w:rPr>
        <w:t>t</w:t>
      </w:r>
      <w:r w:rsidRPr="008E4452">
        <w:rPr>
          <w:rFonts w:ascii="Times New Roman" w:eastAsia="Calibri" w:hAnsi="Times New Roman" w:cs="Times New Roman"/>
          <w:sz w:val="14"/>
          <w:szCs w:val="14"/>
          <w:lang w:val="en-US"/>
        </w:rPr>
        <w:t>he Netherlands</w:t>
      </w:r>
    </w:p>
    <w:p w14:paraId="09D6AE13" w14:textId="77777777" w:rsidR="00C77EC1" w:rsidRDefault="00C77EC1" w:rsidP="00C77EC1">
      <w:pPr>
        <w:jc w:val="both"/>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4. Tilburg University, Tilburg, the Netherlands</w:t>
      </w:r>
    </w:p>
    <w:p w14:paraId="0BE0C6E1" w14:textId="77777777" w:rsidR="00C77EC1" w:rsidRPr="008E4452" w:rsidRDefault="00C77EC1" w:rsidP="00C77EC1">
      <w:pPr>
        <w:jc w:val="both"/>
        <w:rPr>
          <w:rFonts w:ascii="Times New Roman" w:eastAsia="Calibri" w:hAnsi="Times New Roman" w:cs="Times New Roman"/>
          <w:sz w:val="14"/>
          <w:szCs w:val="14"/>
          <w:lang w:val="en-US"/>
        </w:rPr>
      </w:pPr>
      <w:r>
        <w:rPr>
          <w:rFonts w:ascii="Times New Roman" w:eastAsia="Calibri" w:hAnsi="Times New Roman" w:cs="Times New Roman"/>
          <w:sz w:val="14"/>
          <w:szCs w:val="14"/>
          <w:lang w:val="en-US"/>
        </w:rPr>
        <w:t xml:space="preserve">5. Actuarial Institute, Utrecht, the Netherlands </w:t>
      </w:r>
    </w:p>
    <w:p w14:paraId="493A4D26" w14:textId="77777777" w:rsidR="00C77EC1" w:rsidRPr="002704B7" w:rsidRDefault="00C77EC1" w:rsidP="00C77EC1">
      <w:pPr>
        <w:spacing w:after="0"/>
        <w:rPr>
          <w:rFonts w:ascii="Times New Roman" w:hAnsi="Times New Roman" w:cs="Times New Roman"/>
          <w:lang w:val="en-US"/>
        </w:rPr>
      </w:pPr>
    </w:p>
    <w:p w14:paraId="1EEAFBAB" w14:textId="152EBF9F" w:rsidR="00021F5C" w:rsidRDefault="00021F5C">
      <w:pPr>
        <w:rPr>
          <w:lang w:val="en-US"/>
        </w:rPr>
      </w:pPr>
    </w:p>
    <w:p w14:paraId="3D79ED3C" w14:textId="283955AD" w:rsidR="00021F5C" w:rsidRDefault="00021F5C">
      <w:pPr>
        <w:rPr>
          <w:lang w:val="en-US"/>
        </w:rPr>
      </w:pPr>
    </w:p>
    <w:p w14:paraId="5F150368" w14:textId="77777777" w:rsidR="00117B1C" w:rsidRDefault="00117B1C">
      <w:pPr>
        <w:rPr>
          <w:b/>
          <w:bCs/>
          <w:lang w:val="en-US"/>
        </w:rPr>
      </w:pPr>
    </w:p>
    <w:p w14:paraId="642D95E3" w14:textId="77777777" w:rsidR="00B05304" w:rsidRDefault="00B05304">
      <w:pPr>
        <w:rPr>
          <w:b/>
          <w:bCs/>
          <w:lang w:val="en-US"/>
        </w:rPr>
      </w:pPr>
    </w:p>
    <w:p w14:paraId="6DAF7909" w14:textId="77777777" w:rsidR="00B05304" w:rsidRDefault="00B05304">
      <w:pPr>
        <w:rPr>
          <w:b/>
          <w:bCs/>
          <w:lang w:val="en-US"/>
        </w:rPr>
      </w:pPr>
    </w:p>
    <w:p w14:paraId="7F92AD23" w14:textId="77777777" w:rsidR="00B05304" w:rsidRDefault="00B05304">
      <w:pPr>
        <w:rPr>
          <w:b/>
          <w:bCs/>
          <w:lang w:val="en-US"/>
        </w:rPr>
      </w:pPr>
    </w:p>
    <w:p w14:paraId="2AA2BE3E" w14:textId="77777777" w:rsidR="00B05304" w:rsidRDefault="00B05304">
      <w:pPr>
        <w:rPr>
          <w:b/>
          <w:bCs/>
          <w:lang w:val="en-US"/>
        </w:rPr>
      </w:pPr>
    </w:p>
    <w:p w14:paraId="1CCA6C20" w14:textId="77777777" w:rsidR="00B05304" w:rsidRDefault="00B05304">
      <w:pPr>
        <w:rPr>
          <w:b/>
          <w:bCs/>
          <w:lang w:val="en-US"/>
        </w:rPr>
      </w:pPr>
    </w:p>
    <w:p w14:paraId="2B01B9D5" w14:textId="77777777" w:rsidR="00B05304" w:rsidRDefault="00B05304">
      <w:pPr>
        <w:rPr>
          <w:b/>
          <w:bCs/>
          <w:lang w:val="en-US"/>
        </w:rPr>
      </w:pPr>
    </w:p>
    <w:p w14:paraId="2F46F65F" w14:textId="77777777" w:rsidR="00B05304" w:rsidRDefault="00B05304">
      <w:pPr>
        <w:rPr>
          <w:b/>
          <w:bCs/>
          <w:lang w:val="en-US"/>
        </w:rPr>
      </w:pPr>
    </w:p>
    <w:p w14:paraId="050BF810" w14:textId="77777777" w:rsidR="00B05304" w:rsidRDefault="00B05304">
      <w:pPr>
        <w:rPr>
          <w:b/>
          <w:bCs/>
          <w:lang w:val="en-US"/>
        </w:rPr>
      </w:pPr>
    </w:p>
    <w:p w14:paraId="00240871" w14:textId="77777777" w:rsidR="00B05304" w:rsidRDefault="00B05304">
      <w:pPr>
        <w:rPr>
          <w:b/>
          <w:bCs/>
          <w:lang w:val="en-US"/>
        </w:rPr>
      </w:pPr>
    </w:p>
    <w:p w14:paraId="07404472" w14:textId="77777777" w:rsidR="00B05304" w:rsidRDefault="00B05304">
      <w:pPr>
        <w:rPr>
          <w:b/>
          <w:bCs/>
          <w:lang w:val="en-US"/>
        </w:rPr>
      </w:pPr>
    </w:p>
    <w:p w14:paraId="42B52EDD" w14:textId="77777777" w:rsidR="00B05304" w:rsidRDefault="00B05304">
      <w:pPr>
        <w:rPr>
          <w:b/>
          <w:bCs/>
          <w:lang w:val="en-US"/>
        </w:rPr>
      </w:pPr>
    </w:p>
    <w:p w14:paraId="41C35F32" w14:textId="77777777" w:rsidR="00B05304" w:rsidRDefault="00B05304">
      <w:pPr>
        <w:rPr>
          <w:b/>
          <w:bCs/>
          <w:lang w:val="en-US"/>
        </w:rPr>
      </w:pPr>
    </w:p>
    <w:p w14:paraId="364BCF92" w14:textId="77777777" w:rsidR="00B05304" w:rsidRDefault="00B05304">
      <w:pPr>
        <w:rPr>
          <w:b/>
          <w:bCs/>
          <w:lang w:val="en-US"/>
        </w:rPr>
      </w:pPr>
    </w:p>
    <w:p w14:paraId="29339D3D" w14:textId="77777777" w:rsidR="00B05304" w:rsidRDefault="00B05304">
      <w:pPr>
        <w:rPr>
          <w:b/>
          <w:bCs/>
          <w:lang w:val="en-US"/>
        </w:rPr>
      </w:pPr>
    </w:p>
    <w:p w14:paraId="4B67311B" w14:textId="77777777" w:rsidR="00B05304" w:rsidRDefault="00B05304">
      <w:pPr>
        <w:rPr>
          <w:b/>
          <w:bCs/>
          <w:lang w:val="en-US"/>
        </w:rPr>
      </w:pPr>
    </w:p>
    <w:p w14:paraId="643FDE90" w14:textId="77777777" w:rsidR="00B05304" w:rsidRDefault="00B05304">
      <w:pPr>
        <w:rPr>
          <w:b/>
          <w:bCs/>
          <w:lang w:val="en-US"/>
        </w:rPr>
      </w:pPr>
    </w:p>
    <w:p w14:paraId="12BD24CA" w14:textId="77777777" w:rsidR="00B05304" w:rsidRDefault="00B05304">
      <w:pPr>
        <w:rPr>
          <w:b/>
          <w:bCs/>
          <w:lang w:val="en-US"/>
        </w:rPr>
      </w:pPr>
    </w:p>
    <w:p w14:paraId="1361120F" w14:textId="77777777" w:rsidR="00B05304" w:rsidRDefault="00B05304">
      <w:pPr>
        <w:rPr>
          <w:b/>
          <w:bCs/>
          <w:lang w:val="en-US"/>
        </w:rPr>
      </w:pPr>
    </w:p>
    <w:p w14:paraId="698C1D1A" w14:textId="77777777" w:rsidR="009A6748" w:rsidRPr="001343F2" w:rsidRDefault="009A6748" w:rsidP="009A6748">
      <w:pPr>
        <w:spacing w:after="0"/>
        <w:rPr>
          <w:rFonts w:ascii="Times New Roman" w:hAnsi="Times New Roman" w:cs="Times New Roman"/>
          <w:b/>
          <w:bCs/>
          <w:lang w:val="en-US"/>
        </w:rPr>
      </w:pPr>
      <w:r w:rsidRPr="001343F2">
        <w:rPr>
          <w:rFonts w:ascii="Times New Roman" w:hAnsi="Times New Roman" w:cs="Times New Roman"/>
          <w:b/>
          <w:bCs/>
          <w:lang w:val="en-US"/>
        </w:rPr>
        <w:lastRenderedPageBreak/>
        <w:t>S1 Filtering the damage data</w:t>
      </w:r>
    </w:p>
    <w:p w14:paraId="3F45576C" w14:textId="32ED15F6" w:rsidR="009A6748" w:rsidRPr="001343F2" w:rsidRDefault="009A6748" w:rsidP="009A6748">
      <w:pPr>
        <w:spacing w:after="0"/>
        <w:rPr>
          <w:rFonts w:ascii="Times New Roman" w:hAnsi="Times New Roman" w:cs="Times New Roman"/>
          <w:b/>
          <w:bCs/>
          <w:lang w:val="en-US"/>
        </w:rPr>
      </w:pPr>
      <w:r w:rsidRPr="001343F2">
        <w:rPr>
          <w:rFonts w:ascii="Times New Roman" w:hAnsi="Times New Roman" w:cs="Times New Roman"/>
          <w:lang w:val="en-US"/>
        </w:rPr>
        <w:t xml:space="preserve">The insurance dataset provides weather-related residential building claims and policy holder information in the Netherlands from </w:t>
      </w:r>
      <w:r w:rsidR="0088246D">
        <w:rPr>
          <w:rFonts w:ascii="Times New Roman" w:hAnsi="Times New Roman" w:cs="Times New Roman"/>
          <w:sz w:val="24"/>
          <w:szCs w:val="24"/>
          <w:lang w:val="en-US"/>
        </w:rPr>
        <w:t>1-1-</w:t>
      </w:r>
      <w:r w:rsidR="0088246D" w:rsidRPr="00DC1677">
        <w:rPr>
          <w:rFonts w:ascii="Times New Roman" w:hAnsi="Times New Roman" w:cs="Times New Roman"/>
          <w:sz w:val="24"/>
          <w:szCs w:val="24"/>
          <w:lang w:val="en-US"/>
        </w:rPr>
        <w:t xml:space="preserve">2008 up to and including </w:t>
      </w:r>
      <w:r w:rsidR="0088246D">
        <w:rPr>
          <w:rFonts w:ascii="Times New Roman" w:hAnsi="Times New Roman" w:cs="Times New Roman"/>
          <w:sz w:val="24"/>
          <w:szCs w:val="24"/>
          <w:lang w:val="en-US"/>
        </w:rPr>
        <w:t>31-8-2019</w:t>
      </w:r>
      <w:r w:rsidRPr="001343F2">
        <w:rPr>
          <w:rFonts w:ascii="Times New Roman" w:hAnsi="Times New Roman" w:cs="Times New Roman"/>
          <w:lang w:val="en-US"/>
        </w:rPr>
        <w:t xml:space="preserve">. A temporal filtering makes sure that only weather-related residential building claims in the </w:t>
      </w:r>
      <w:r w:rsidR="003B3D8A">
        <w:rPr>
          <w:rFonts w:ascii="Times New Roman" w:hAnsi="Times New Roman" w:cs="Times New Roman"/>
          <w:lang w:val="en-US"/>
        </w:rPr>
        <w:t>severe convective storm (SCS)</w:t>
      </w:r>
      <w:r w:rsidRPr="001343F2">
        <w:rPr>
          <w:rFonts w:ascii="Times New Roman" w:hAnsi="Times New Roman" w:cs="Times New Roman"/>
          <w:lang w:val="en-US"/>
        </w:rPr>
        <w:t xml:space="preserve"> season (</w:t>
      </w:r>
      <w:r w:rsidR="003B3D8A">
        <w:rPr>
          <w:rFonts w:ascii="Times New Roman" w:hAnsi="Times New Roman" w:cs="Times New Roman"/>
          <w:lang w:val="en-US"/>
        </w:rPr>
        <w:t>April</w:t>
      </w:r>
      <w:r w:rsidRPr="001343F2">
        <w:rPr>
          <w:rFonts w:ascii="Times New Roman" w:hAnsi="Times New Roman" w:cs="Times New Roman"/>
          <w:lang w:val="en-US"/>
        </w:rPr>
        <w:t xml:space="preserve"> up to and including </w:t>
      </w:r>
      <w:r w:rsidR="0009538B">
        <w:rPr>
          <w:rFonts w:ascii="Times New Roman" w:hAnsi="Times New Roman" w:cs="Times New Roman"/>
          <w:lang w:val="en-US"/>
        </w:rPr>
        <w:t>September</w:t>
      </w:r>
      <w:r w:rsidRPr="001343F2">
        <w:rPr>
          <w:rFonts w:ascii="Times New Roman" w:hAnsi="Times New Roman" w:cs="Times New Roman"/>
          <w:lang w:val="en-US"/>
        </w:rPr>
        <w:t xml:space="preserve">) are retained. As the Dutch financial conglomerate insures a wide range of environmental- and weather-related damage to residential buildings, additional filters need to be applied in order to isolate claims resulting from </w:t>
      </w:r>
      <w:r w:rsidR="00476530">
        <w:rPr>
          <w:rFonts w:ascii="Times New Roman" w:hAnsi="Times New Roman" w:cs="Times New Roman"/>
          <w:lang w:val="en-US"/>
        </w:rPr>
        <w:t>SCS</w:t>
      </w:r>
      <w:r w:rsidRPr="001343F2">
        <w:rPr>
          <w:rFonts w:ascii="Times New Roman" w:hAnsi="Times New Roman" w:cs="Times New Roman"/>
          <w:lang w:val="en-US"/>
        </w:rPr>
        <w:t xml:space="preserve">. Accordingly, residential building claims caused by </w:t>
      </w:r>
      <w:r w:rsidR="00476530">
        <w:rPr>
          <w:rFonts w:ascii="Times New Roman" w:hAnsi="Times New Roman" w:cs="Times New Roman"/>
          <w:lang w:val="en-US"/>
        </w:rPr>
        <w:t xml:space="preserve">summer </w:t>
      </w:r>
      <w:r w:rsidR="00446283">
        <w:rPr>
          <w:rFonts w:ascii="Times New Roman" w:hAnsi="Times New Roman" w:cs="Times New Roman"/>
          <w:lang w:val="en-US"/>
        </w:rPr>
        <w:t>wind</w:t>
      </w:r>
      <w:r w:rsidR="00476530">
        <w:rPr>
          <w:rFonts w:ascii="Times New Roman" w:hAnsi="Times New Roman" w:cs="Times New Roman"/>
          <w:lang w:val="en-US"/>
        </w:rPr>
        <w:t xml:space="preserve">storms (in particular </w:t>
      </w:r>
      <w:r w:rsidR="00446283">
        <w:rPr>
          <w:rFonts w:ascii="Times New Roman" w:hAnsi="Times New Roman" w:cs="Times New Roman"/>
          <w:lang w:val="en-US"/>
        </w:rPr>
        <w:t xml:space="preserve">the windstorms on </w:t>
      </w:r>
      <w:r w:rsidR="008C2DBA">
        <w:rPr>
          <w:rFonts w:ascii="Times New Roman" w:hAnsi="Times New Roman" w:cs="Times New Roman"/>
          <w:lang w:val="en-US"/>
        </w:rPr>
        <w:t xml:space="preserve">24 September 2012, 25 July 2015 and 13 </w:t>
      </w:r>
      <w:r w:rsidR="00C00125">
        <w:rPr>
          <w:rFonts w:ascii="Times New Roman" w:hAnsi="Times New Roman" w:cs="Times New Roman"/>
          <w:lang w:val="en-US"/>
        </w:rPr>
        <w:t xml:space="preserve">September 2017), </w:t>
      </w:r>
      <w:r w:rsidRPr="001343F2">
        <w:rPr>
          <w:rFonts w:ascii="Times New Roman" w:hAnsi="Times New Roman" w:cs="Times New Roman"/>
          <w:lang w:val="en-US"/>
        </w:rPr>
        <w:t xml:space="preserve">earthquakes, floods, </w:t>
      </w:r>
      <w:r w:rsidR="009E28F9">
        <w:rPr>
          <w:rFonts w:ascii="Times New Roman" w:hAnsi="Times New Roman" w:cs="Times New Roman"/>
          <w:lang w:val="en-US"/>
        </w:rPr>
        <w:t>lightning</w:t>
      </w:r>
      <w:r w:rsidRPr="001343F2">
        <w:rPr>
          <w:rFonts w:ascii="Times New Roman" w:hAnsi="Times New Roman" w:cs="Times New Roman"/>
          <w:lang w:val="en-US"/>
        </w:rPr>
        <w:t>, meteorite impacts and frost are excluded from the sample.</w:t>
      </w:r>
    </w:p>
    <w:p w14:paraId="62379011" w14:textId="77777777" w:rsidR="009A6748" w:rsidRPr="001343F2" w:rsidRDefault="009A6748" w:rsidP="009A6748">
      <w:pPr>
        <w:spacing w:after="0"/>
        <w:rPr>
          <w:rFonts w:ascii="Times New Roman" w:hAnsi="Times New Roman" w:cs="Times New Roman"/>
          <w:b/>
          <w:bCs/>
          <w:lang w:val="en-US"/>
        </w:rPr>
      </w:pPr>
    </w:p>
    <w:p w14:paraId="089EC11C" w14:textId="0568118A" w:rsidR="009A6748" w:rsidRDefault="009A6748" w:rsidP="009A6748">
      <w:pPr>
        <w:spacing w:after="0"/>
        <w:rPr>
          <w:rFonts w:ascii="Times New Roman" w:hAnsi="Times New Roman" w:cs="Times New Roman"/>
          <w:b/>
          <w:bCs/>
          <w:lang w:val="en-US"/>
        </w:rPr>
      </w:pPr>
      <w:r w:rsidRPr="001343F2">
        <w:rPr>
          <w:rFonts w:ascii="Times New Roman" w:hAnsi="Times New Roman" w:cs="Times New Roman"/>
          <w:b/>
          <w:bCs/>
          <w:lang w:val="en-US"/>
        </w:rPr>
        <w:t xml:space="preserve">S2 </w:t>
      </w:r>
      <w:r w:rsidR="00E61ABF">
        <w:rPr>
          <w:rFonts w:ascii="Times New Roman" w:hAnsi="Times New Roman" w:cs="Times New Roman"/>
          <w:b/>
          <w:bCs/>
          <w:lang w:val="en-US"/>
        </w:rPr>
        <w:t>Normalizing ground up damages and c</w:t>
      </w:r>
      <w:r w:rsidRPr="001343F2">
        <w:rPr>
          <w:rFonts w:ascii="Times New Roman" w:hAnsi="Times New Roman" w:cs="Times New Roman"/>
          <w:b/>
          <w:bCs/>
          <w:lang w:val="en-US"/>
        </w:rPr>
        <w:t>alculating reconstruction values</w:t>
      </w:r>
    </w:p>
    <w:p w14:paraId="49B348D6" w14:textId="03C10407" w:rsidR="00E61ABF" w:rsidRDefault="003044B2" w:rsidP="009A6748">
      <w:pPr>
        <w:spacing w:after="0"/>
        <w:rPr>
          <w:rFonts w:ascii="Times New Roman" w:hAnsi="Times New Roman" w:cs="Times New Roman"/>
          <w:b/>
          <w:bCs/>
          <w:lang w:val="en-US"/>
        </w:rPr>
      </w:pPr>
      <w:r>
        <w:rPr>
          <w:rFonts w:ascii="Times New Roman" w:hAnsi="Times New Roman" w:cs="Times New Roman"/>
          <w:lang w:val="en-US"/>
        </w:rPr>
        <w:t xml:space="preserve">The dependent variable of interest is the damage ratio which represents the ground up damage of a residential building as a ratio of its reconstruction value. </w:t>
      </w:r>
      <w:r w:rsidR="00E61ABF">
        <w:rPr>
          <w:rFonts w:ascii="Times New Roman" w:hAnsi="Times New Roman" w:cs="Times New Roman"/>
          <w:lang w:val="en-US"/>
        </w:rPr>
        <w:t xml:space="preserve">This normalization allows for a more accurate comparison between the dependent variable’s observations because it partially corrects for the reconstruction value’s effect on the ground up damage: buildings with higher reconstruction values (originating from characteristics such as building size and materials) have more potential for damage simply because there is more value that can be damaged. However, as the </w:t>
      </w:r>
      <w:r w:rsidR="00E61ABF" w:rsidRPr="000634EF">
        <w:rPr>
          <w:rFonts w:ascii="Times New Roman" w:hAnsi="Times New Roman" w:cs="Times New Roman"/>
          <w:lang w:val="en-US"/>
        </w:rPr>
        <w:t>damage do</w:t>
      </w:r>
      <w:r w:rsidR="00E61ABF">
        <w:rPr>
          <w:rFonts w:ascii="Times New Roman" w:hAnsi="Times New Roman" w:cs="Times New Roman"/>
          <w:lang w:val="en-US"/>
        </w:rPr>
        <w:t>es</w:t>
      </w:r>
      <w:r w:rsidR="00E61ABF" w:rsidRPr="000634EF">
        <w:rPr>
          <w:rFonts w:ascii="Times New Roman" w:hAnsi="Times New Roman" w:cs="Times New Roman"/>
          <w:lang w:val="en-US"/>
        </w:rPr>
        <w:t xml:space="preserve"> not rise proportiona</w:t>
      </w:r>
      <w:r w:rsidR="00E61ABF">
        <w:rPr>
          <w:rFonts w:ascii="Times New Roman" w:hAnsi="Times New Roman" w:cs="Times New Roman"/>
          <w:lang w:val="en-US"/>
        </w:rPr>
        <w:t>lly</w:t>
      </w:r>
      <w:r w:rsidR="00E61ABF" w:rsidRPr="000634EF">
        <w:rPr>
          <w:rFonts w:ascii="Times New Roman" w:hAnsi="Times New Roman" w:cs="Times New Roman"/>
          <w:lang w:val="en-US"/>
        </w:rPr>
        <w:t xml:space="preserve"> with the reconstruction value</w:t>
      </w:r>
      <w:r w:rsidR="00E61ABF">
        <w:rPr>
          <w:rFonts w:ascii="Times New Roman" w:hAnsi="Times New Roman" w:cs="Times New Roman"/>
          <w:lang w:val="en-US"/>
        </w:rPr>
        <w:t xml:space="preserve">, </w:t>
      </w:r>
      <w:r w:rsidR="00E61ABF" w:rsidRPr="000634EF">
        <w:rPr>
          <w:rFonts w:ascii="Times New Roman" w:hAnsi="Times New Roman" w:cs="Times New Roman"/>
          <w:lang w:val="en-US"/>
        </w:rPr>
        <w:t>the effect of the reconstruction value on the ground up damage differs for differing reconstruction values.</w:t>
      </w:r>
      <w:r w:rsidR="00E61ABF">
        <w:rPr>
          <w:rFonts w:ascii="Times New Roman" w:hAnsi="Times New Roman" w:cs="Times New Roman"/>
          <w:lang w:val="en-US"/>
        </w:rPr>
        <w:t xml:space="preserve"> </w:t>
      </w:r>
      <w:r w:rsidR="00E61ABF" w:rsidRPr="000634EF">
        <w:rPr>
          <w:rFonts w:ascii="Times New Roman" w:hAnsi="Times New Roman" w:cs="Times New Roman"/>
          <w:lang w:val="en-US"/>
        </w:rPr>
        <w:t>Therefore, in order to normalize the damage ratios more comprehensively, th</w:t>
      </w:r>
      <w:r w:rsidR="00380B43">
        <w:rPr>
          <w:rFonts w:ascii="Times New Roman" w:hAnsi="Times New Roman" w:cs="Times New Roman"/>
          <w:lang w:val="en-US"/>
        </w:rPr>
        <w:t>e</w:t>
      </w:r>
      <w:r w:rsidR="00E61ABF" w:rsidRPr="000634EF">
        <w:rPr>
          <w:rFonts w:ascii="Times New Roman" w:hAnsi="Times New Roman" w:cs="Times New Roman"/>
          <w:lang w:val="en-US"/>
        </w:rPr>
        <w:t xml:space="preserve"> study </w:t>
      </w:r>
      <w:r w:rsidR="00380B43">
        <w:rPr>
          <w:rFonts w:ascii="Times New Roman" w:hAnsi="Times New Roman" w:cs="Times New Roman"/>
          <w:lang w:val="en-US"/>
        </w:rPr>
        <w:t xml:space="preserve">also </w:t>
      </w:r>
      <w:r w:rsidR="00E61ABF">
        <w:rPr>
          <w:rFonts w:ascii="Times New Roman" w:hAnsi="Times New Roman" w:cs="Times New Roman"/>
          <w:lang w:val="en-US"/>
        </w:rPr>
        <w:t>include</w:t>
      </w:r>
      <w:r w:rsidR="00380B43">
        <w:rPr>
          <w:rFonts w:ascii="Times New Roman" w:hAnsi="Times New Roman" w:cs="Times New Roman"/>
          <w:lang w:val="en-US"/>
        </w:rPr>
        <w:t>d</w:t>
      </w:r>
      <w:r w:rsidR="00E61ABF" w:rsidRPr="000634EF">
        <w:rPr>
          <w:rFonts w:ascii="Times New Roman" w:hAnsi="Times New Roman" w:cs="Times New Roman"/>
          <w:lang w:val="en-US"/>
        </w:rPr>
        <w:t xml:space="preserve"> the reconstruction value as regressor in the model</w:t>
      </w:r>
      <w:r w:rsidR="00E61ABF">
        <w:rPr>
          <w:rFonts w:ascii="Times New Roman" w:hAnsi="Times New Roman" w:cs="Times New Roman"/>
          <w:lang w:val="en-US"/>
        </w:rPr>
        <w:t>s</w:t>
      </w:r>
      <w:r w:rsidR="00E61ABF" w:rsidRPr="000634EF">
        <w:rPr>
          <w:rFonts w:ascii="Times New Roman" w:hAnsi="Times New Roman" w:cs="Times New Roman"/>
          <w:lang w:val="en-US"/>
        </w:rPr>
        <w:t>.</w:t>
      </w:r>
      <w:r w:rsidR="00E61ABF">
        <w:rPr>
          <w:rFonts w:ascii="Times New Roman" w:hAnsi="Times New Roman" w:cs="Times New Roman"/>
          <w:lang w:val="en-US"/>
        </w:rPr>
        <w:t xml:space="preserve"> </w:t>
      </w:r>
    </w:p>
    <w:p w14:paraId="19A37163" w14:textId="77777777" w:rsidR="00E61ABF" w:rsidRDefault="00E61ABF" w:rsidP="009A6748">
      <w:pPr>
        <w:spacing w:after="0"/>
        <w:rPr>
          <w:rFonts w:ascii="Times New Roman" w:hAnsi="Times New Roman" w:cs="Times New Roman"/>
          <w:b/>
          <w:bCs/>
          <w:lang w:val="en-US"/>
        </w:rPr>
      </w:pPr>
    </w:p>
    <w:p w14:paraId="4D62F5FC" w14:textId="2BD72847" w:rsidR="009A6748" w:rsidRPr="001343F2" w:rsidRDefault="009A6748" w:rsidP="009A6748">
      <w:pPr>
        <w:spacing w:after="0"/>
        <w:rPr>
          <w:rFonts w:ascii="Times New Roman" w:hAnsi="Times New Roman" w:cs="Times New Roman"/>
          <w:lang w:val="en-US"/>
        </w:rPr>
      </w:pPr>
      <w:r w:rsidRPr="001343F2">
        <w:rPr>
          <w:rFonts w:ascii="Times New Roman" w:hAnsi="Times New Roman" w:cs="Times New Roman"/>
          <w:lang w:val="en-US"/>
        </w:rPr>
        <w:t>The reconstruction values of the residential buildings are calculated according to best practices in the Dutch insurance industry. This methodology is specifically designed for residential buildings and provided by the Dutch Association of Insurers. It receives a yearly update, incorporating changes in building costs, regulation (e.g. building codes) and methodology if necessary. The reconstruction value represents the costs of rebuilding a residential building according to the latest building codes, in case the building is damaged completely. It</w:t>
      </w:r>
      <w:r>
        <w:rPr>
          <w:rFonts w:ascii="Times New Roman" w:hAnsi="Times New Roman" w:cs="Times New Roman"/>
          <w:lang w:val="en-US"/>
        </w:rPr>
        <w:t>,</w:t>
      </w:r>
      <w:r w:rsidRPr="001343F2">
        <w:rPr>
          <w:rFonts w:ascii="Times New Roman" w:hAnsi="Times New Roman" w:cs="Times New Roman"/>
          <w:lang w:val="en-US"/>
        </w:rPr>
        <w:t xml:space="preserve"> therefore</w:t>
      </w:r>
      <w:r>
        <w:rPr>
          <w:rFonts w:ascii="Times New Roman" w:hAnsi="Times New Roman" w:cs="Times New Roman"/>
          <w:lang w:val="en-US"/>
        </w:rPr>
        <w:t>,</w:t>
      </w:r>
      <w:r w:rsidRPr="001343F2">
        <w:rPr>
          <w:rFonts w:ascii="Times New Roman" w:hAnsi="Times New Roman" w:cs="Times New Roman"/>
          <w:lang w:val="en-US"/>
        </w:rPr>
        <w:t xml:space="preserve"> excludes any value derived from a building’s location or the land it is placed on. The reconstruction value is approximated by multiplying a building’s volume (</w:t>
      </w:r>
      <m:oMath>
        <m:sSup>
          <m:sSupPr>
            <m:ctrlPr>
              <w:rPr>
                <w:rFonts w:ascii="Cambria Math" w:hAnsi="Cambria Math" w:cs="Times New Roman"/>
                <w:i/>
                <w:lang w:val="en-US"/>
              </w:rPr>
            </m:ctrlPr>
          </m:sSupPr>
          <m:e>
            <m:r>
              <w:rPr>
                <w:rFonts w:ascii="Cambria Math" w:hAnsi="Cambria Math" w:cs="Times New Roman"/>
                <w:lang w:val="en-US"/>
              </w:rPr>
              <m:t>m</m:t>
            </m:r>
          </m:e>
          <m:sup>
            <m:r>
              <w:rPr>
                <w:rFonts w:ascii="Cambria Math" w:hAnsi="Cambria Math" w:cs="Times New Roman"/>
                <w:lang w:val="en-US"/>
              </w:rPr>
              <m:t>3</m:t>
            </m:r>
          </m:sup>
        </m:sSup>
        <m:r>
          <w:rPr>
            <w:rFonts w:ascii="Cambria Math" w:eastAsiaTheme="minorEastAsia" w:hAnsi="Cambria Math" w:cs="Times New Roman"/>
            <w:lang w:val="en-US"/>
          </w:rPr>
          <m:t>)</m:t>
        </m:r>
      </m:oMath>
      <w:r w:rsidRPr="001343F2">
        <w:rPr>
          <w:rFonts w:ascii="Times New Roman" w:eastAsiaTheme="minorEastAsia" w:hAnsi="Times New Roman" w:cs="Times New Roman"/>
          <w:lang w:val="en-US"/>
        </w:rPr>
        <w:t xml:space="preserve"> with a predetermined price which is tailored to the building’s type, the construction year and characteristics of the building’s structures. The baseline prices range from €740.- per </w:t>
      </w:r>
      <m:oMath>
        <m:sSup>
          <m:sSupPr>
            <m:ctrlPr>
              <w:rPr>
                <w:rFonts w:ascii="Cambria Math" w:hAnsi="Cambria Math" w:cs="Times New Roman"/>
                <w:i/>
                <w:lang w:val="en-US"/>
              </w:rPr>
            </m:ctrlPr>
          </m:sSupPr>
          <m:e>
            <m:r>
              <w:rPr>
                <w:rFonts w:ascii="Cambria Math" w:hAnsi="Cambria Math" w:cs="Times New Roman"/>
                <w:lang w:val="en-US"/>
              </w:rPr>
              <m:t>m</m:t>
            </m:r>
          </m:e>
          <m:sup>
            <m:r>
              <w:rPr>
                <w:rFonts w:ascii="Cambria Math" w:hAnsi="Cambria Math" w:cs="Times New Roman"/>
                <w:lang w:val="en-US"/>
              </w:rPr>
              <m:t>3</m:t>
            </m:r>
          </m:sup>
        </m:sSup>
      </m:oMath>
      <w:r w:rsidRPr="001343F2">
        <w:rPr>
          <w:rFonts w:ascii="Times New Roman" w:eastAsiaTheme="minorEastAsia" w:hAnsi="Times New Roman" w:cs="Times New Roman"/>
          <w:lang w:val="en-US"/>
        </w:rPr>
        <w:t xml:space="preserve"> building volume for terraced houses buil</w:t>
      </w:r>
      <w:r>
        <w:rPr>
          <w:rFonts w:ascii="Times New Roman" w:eastAsiaTheme="minorEastAsia" w:hAnsi="Times New Roman" w:cs="Times New Roman"/>
          <w:lang w:val="en-US"/>
        </w:rPr>
        <w:t>t</w:t>
      </w:r>
      <w:r w:rsidRPr="001343F2">
        <w:rPr>
          <w:rFonts w:ascii="Times New Roman" w:eastAsiaTheme="minorEastAsia" w:hAnsi="Times New Roman" w:cs="Times New Roman"/>
          <w:lang w:val="en-US"/>
        </w:rPr>
        <w:t xml:space="preserve"> after 2015, to €1040.- per </w:t>
      </w:r>
      <m:oMath>
        <m:sSup>
          <m:sSupPr>
            <m:ctrlPr>
              <w:rPr>
                <w:rFonts w:ascii="Cambria Math" w:hAnsi="Cambria Math" w:cs="Times New Roman"/>
                <w:i/>
                <w:lang w:val="en-US"/>
              </w:rPr>
            </m:ctrlPr>
          </m:sSupPr>
          <m:e>
            <m:r>
              <w:rPr>
                <w:rFonts w:ascii="Cambria Math" w:hAnsi="Cambria Math" w:cs="Times New Roman"/>
                <w:lang w:val="en-US"/>
              </w:rPr>
              <m:t>m</m:t>
            </m:r>
          </m:e>
          <m:sup>
            <m:r>
              <w:rPr>
                <w:rFonts w:ascii="Cambria Math" w:hAnsi="Cambria Math" w:cs="Times New Roman"/>
                <w:lang w:val="en-US"/>
              </w:rPr>
              <m:t>3</m:t>
            </m:r>
          </m:sup>
        </m:sSup>
      </m:oMath>
      <w:r w:rsidRPr="001343F2">
        <w:rPr>
          <w:rFonts w:ascii="Times New Roman" w:eastAsiaTheme="minorEastAsia" w:hAnsi="Times New Roman" w:cs="Times New Roman"/>
          <w:lang w:val="en-US"/>
        </w:rPr>
        <w:t xml:space="preserve"> building volume for detached houses buil</w:t>
      </w:r>
      <w:r>
        <w:rPr>
          <w:rFonts w:ascii="Times New Roman" w:eastAsiaTheme="minorEastAsia" w:hAnsi="Times New Roman" w:cs="Times New Roman"/>
          <w:lang w:val="en-US"/>
        </w:rPr>
        <w:t>t</w:t>
      </w:r>
      <w:r w:rsidRPr="001343F2">
        <w:rPr>
          <w:rFonts w:ascii="Times New Roman" w:eastAsiaTheme="minorEastAsia" w:hAnsi="Times New Roman" w:cs="Times New Roman"/>
          <w:lang w:val="en-US"/>
        </w:rPr>
        <w:t xml:space="preserve"> before and after 2015. The methodology distinguishes six building types: terraced houses, corner houses, semi-detached houses, detached</w:t>
      </w:r>
      <w:r w:rsidR="00A2247C">
        <w:rPr>
          <w:rFonts w:ascii="Times New Roman" w:eastAsiaTheme="minorEastAsia" w:hAnsi="Times New Roman" w:cs="Times New Roman"/>
          <w:lang w:val="en-US"/>
        </w:rPr>
        <w:t xml:space="preserve"> </w:t>
      </w:r>
      <w:r w:rsidRPr="001343F2">
        <w:rPr>
          <w:rFonts w:ascii="Times New Roman" w:eastAsiaTheme="minorEastAsia" w:hAnsi="Times New Roman" w:cs="Times New Roman"/>
          <w:lang w:val="en-US"/>
        </w:rPr>
        <w:t>houses, apartments situated up to and including the fourth floor</w:t>
      </w:r>
      <w:r>
        <w:rPr>
          <w:rFonts w:ascii="Times New Roman" w:eastAsiaTheme="minorEastAsia" w:hAnsi="Times New Roman" w:cs="Times New Roman"/>
          <w:lang w:val="en-US"/>
        </w:rPr>
        <w:t>,</w:t>
      </w:r>
      <w:r w:rsidRPr="001343F2">
        <w:rPr>
          <w:rFonts w:ascii="Times New Roman" w:eastAsiaTheme="minorEastAsia" w:hAnsi="Times New Roman" w:cs="Times New Roman"/>
          <w:lang w:val="en-US"/>
        </w:rPr>
        <w:t xml:space="preserve"> and apartments situated between the fifth and up to and including </w:t>
      </w:r>
      <w:r>
        <w:rPr>
          <w:rFonts w:ascii="Times New Roman" w:eastAsiaTheme="minorEastAsia" w:hAnsi="Times New Roman" w:cs="Times New Roman"/>
          <w:lang w:val="en-US"/>
        </w:rPr>
        <w:t xml:space="preserve">the </w:t>
      </w:r>
      <w:r w:rsidRPr="001343F2">
        <w:rPr>
          <w:rFonts w:ascii="Times New Roman" w:eastAsiaTheme="minorEastAsia" w:hAnsi="Times New Roman" w:cs="Times New Roman"/>
          <w:lang w:val="en-US"/>
        </w:rPr>
        <w:t xml:space="preserve">eighth floor. There are two construction year categories: before and after 2015. Premiums and discounts can be applied to the baseline building volume prices to reflect characteristics of the building’s structures which are of further influence to the reconstruction value. Amongst others, these structures include the foundation, the roof, the exterior walls, solar panels and heat generation installations. The reader is referred to the latest version of </w:t>
      </w:r>
      <w:r>
        <w:rPr>
          <w:rFonts w:ascii="Times New Roman" w:eastAsiaTheme="minorEastAsia" w:hAnsi="Times New Roman" w:cs="Times New Roman"/>
          <w:lang w:val="en-US"/>
        </w:rPr>
        <w:t xml:space="preserve">the </w:t>
      </w:r>
      <w:r w:rsidRPr="001343F2">
        <w:rPr>
          <w:rFonts w:ascii="Times New Roman" w:eastAsiaTheme="minorEastAsia" w:hAnsi="Times New Roman" w:cs="Times New Roman"/>
          <w:lang w:val="en-US"/>
        </w:rPr>
        <w:t xml:space="preserve">reconstruction value calculation manual of the </w:t>
      </w:r>
      <w:r w:rsidRPr="001343F2">
        <w:rPr>
          <w:rFonts w:ascii="Times New Roman" w:hAnsi="Times New Roman" w:cs="Times New Roman"/>
          <w:lang w:val="en-US"/>
        </w:rPr>
        <w:t xml:space="preserve">Dutch Association of Insurers (called </w:t>
      </w:r>
      <w:proofErr w:type="spellStart"/>
      <w:r w:rsidRPr="001343F2">
        <w:rPr>
          <w:rFonts w:ascii="Times New Roman" w:hAnsi="Times New Roman" w:cs="Times New Roman"/>
          <w:lang w:val="en-US"/>
        </w:rPr>
        <w:t>Herbouwwaardemeter</w:t>
      </w:r>
      <w:proofErr w:type="spellEnd"/>
      <w:r w:rsidRPr="001343F2">
        <w:rPr>
          <w:rFonts w:ascii="Times New Roman" w:hAnsi="Times New Roman" w:cs="Times New Roman"/>
          <w:lang w:val="en-US"/>
        </w:rPr>
        <w:t xml:space="preserve"> </w:t>
      </w:r>
      <w:proofErr w:type="spellStart"/>
      <w:r w:rsidRPr="001343F2">
        <w:rPr>
          <w:rFonts w:ascii="Times New Roman" w:hAnsi="Times New Roman" w:cs="Times New Roman"/>
          <w:lang w:val="en-US"/>
        </w:rPr>
        <w:t>Woningen</w:t>
      </w:r>
      <w:proofErr w:type="spellEnd"/>
      <w:r w:rsidRPr="001343F2">
        <w:rPr>
          <w:rFonts w:ascii="Times New Roman" w:hAnsi="Times New Roman" w:cs="Times New Roman"/>
          <w:lang w:val="en-US"/>
        </w:rPr>
        <w:t xml:space="preserve"> 2024) for an overview of all building volume prices and optional price corrections (Verbond van </w:t>
      </w:r>
      <w:proofErr w:type="spellStart"/>
      <w:r w:rsidRPr="001343F2">
        <w:rPr>
          <w:rFonts w:ascii="Times New Roman" w:hAnsi="Times New Roman" w:cs="Times New Roman"/>
          <w:lang w:val="en-US"/>
        </w:rPr>
        <w:t>Verzekeraars</w:t>
      </w:r>
      <w:proofErr w:type="spellEnd"/>
      <w:r w:rsidRPr="001343F2">
        <w:rPr>
          <w:rFonts w:ascii="Times New Roman" w:hAnsi="Times New Roman" w:cs="Times New Roman"/>
          <w:lang w:val="en-US"/>
        </w:rPr>
        <w:t>, 2024).</w:t>
      </w:r>
    </w:p>
    <w:p w14:paraId="6883A1D5" w14:textId="77777777" w:rsidR="009A6748" w:rsidRPr="001343F2" w:rsidRDefault="009A6748" w:rsidP="009A6748">
      <w:pPr>
        <w:spacing w:after="0"/>
        <w:rPr>
          <w:rFonts w:ascii="Times New Roman" w:hAnsi="Times New Roman" w:cs="Times New Roman"/>
          <w:b/>
          <w:bCs/>
          <w:lang w:val="en-US"/>
        </w:rPr>
      </w:pPr>
    </w:p>
    <w:p w14:paraId="1CE447B1" w14:textId="77777777" w:rsidR="009A6748" w:rsidRPr="001343F2" w:rsidRDefault="009A6748" w:rsidP="009A6748">
      <w:pPr>
        <w:spacing w:after="0"/>
        <w:rPr>
          <w:rFonts w:ascii="Times New Roman" w:hAnsi="Times New Roman" w:cs="Times New Roman"/>
          <w:b/>
          <w:bCs/>
          <w:lang w:val="en-US"/>
        </w:rPr>
      </w:pPr>
    </w:p>
    <w:p w14:paraId="7C9F0692" w14:textId="77777777" w:rsidR="009A6748" w:rsidRPr="001343F2" w:rsidRDefault="009A6748" w:rsidP="009A6748">
      <w:pPr>
        <w:spacing w:after="0"/>
        <w:rPr>
          <w:rFonts w:ascii="Times New Roman" w:hAnsi="Times New Roman" w:cs="Times New Roman"/>
          <w:b/>
          <w:bCs/>
          <w:lang w:val="en-US"/>
        </w:rPr>
      </w:pPr>
    </w:p>
    <w:p w14:paraId="7BCC14DC" w14:textId="77777777" w:rsidR="009A6748" w:rsidRPr="001343F2" w:rsidRDefault="009A6748" w:rsidP="009A6748">
      <w:pPr>
        <w:spacing w:after="0"/>
        <w:rPr>
          <w:rFonts w:ascii="Times New Roman" w:hAnsi="Times New Roman" w:cs="Times New Roman"/>
          <w:b/>
          <w:bCs/>
          <w:lang w:val="en-US"/>
        </w:rPr>
      </w:pPr>
    </w:p>
    <w:p w14:paraId="5F4925A5" w14:textId="77777777" w:rsidR="009A6748" w:rsidRPr="001343F2" w:rsidRDefault="009A6748" w:rsidP="009A6748">
      <w:pPr>
        <w:spacing w:after="0"/>
        <w:rPr>
          <w:rFonts w:ascii="Times New Roman" w:hAnsi="Times New Roman" w:cs="Times New Roman"/>
          <w:b/>
          <w:bCs/>
          <w:lang w:val="en-US"/>
        </w:rPr>
      </w:pPr>
    </w:p>
    <w:p w14:paraId="1436102C" w14:textId="77777777" w:rsidR="009A6748" w:rsidRPr="001343F2" w:rsidRDefault="009A6748" w:rsidP="009A6748">
      <w:pPr>
        <w:spacing w:after="0"/>
        <w:rPr>
          <w:rFonts w:ascii="Times New Roman" w:hAnsi="Times New Roman" w:cs="Times New Roman"/>
          <w:b/>
          <w:bCs/>
          <w:lang w:val="en-US"/>
        </w:rPr>
      </w:pPr>
    </w:p>
    <w:p w14:paraId="79172AAB" w14:textId="77777777" w:rsidR="009A6748" w:rsidRPr="001343F2" w:rsidRDefault="009A6748" w:rsidP="009A6748">
      <w:pPr>
        <w:spacing w:after="0"/>
        <w:rPr>
          <w:rFonts w:ascii="Times New Roman" w:hAnsi="Times New Roman" w:cs="Times New Roman"/>
          <w:b/>
          <w:bCs/>
          <w:lang w:val="en-US"/>
        </w:rPr>
      </w:pPr>
    </w:p>
    <w:p w14:paraId="08CCD54A" w14:textId="77777777" w:rsidR="009A6748" w:rsidRPr="001343F2" w:rsidRDefault="009A6748" w:rsidP="009A6748">
      <w:pPr>
        <w:spacing w:after="0"/>
        <w:rPr>
          <w:rFonts w:ascii="Times New Roman" w:hAnsi="Times New Roman" w:cs="Times New Roman"/>
          <w:b/>
          <w:bCs/>
          <w:lang w:val="en-US"/>
        </w:rPr>
      </w:pPr>
    </w:p>
    <w:p w14:paraId="13C1ECCB" w14:textId="77777777" w:rsidR="00903E15" w:rsidRDefault="00903E15" w:rsidP="009A6748">
      <w:pPr>
        <w:spacing w:after="0"/>
        <w:rPr>
          <w:rFonts w:ascii="Times New Roman" w:hAnsi="Times New Roman" w:cs="Times New Roman"/>
          <w:b/>
          <w:bCs/>
          <w:lang w:val="en-US"/>
        </w:rPr>
      </w:pPr>
    </w:p>
    <w:p w14:paraId="5956A15C" w14:textId="2DA450F1" w:rsidR="009A6748" w:rsidRPr="001343F2" w:rsidRDefault="009A6748" w:rsidP="009A6748">
      <w:pPr>
        <w:spacing w:after="0"/>
        <w:rPr>
          <w:rFonts w:ascii="Times New Roman" w:hAnsi="Times New Roman" w:cs="Times New Roman"/>
          <w:b/>
          <w:bCs/>
          <w:lang w:val="en-US"/>
        </w:rPr>
      </w:pPr>
      <w:r w:rsidRPr="001343F2">
        <w:rPr>
          <w:rFonts w:ascii="Times New Roman" w:hAnsi="Times New Roman" w:cs="Times New Roman"/>
          <w:b/>
          <w:bCs/>
          <w:lang w:val="en-US"/>
        </w:rPr>
        <w:lastRenderedPageBreak/>
        <w:t>S3 Indexing the ground up damage and reconstruction values</w:t>
      </w:r>
    </w:p>
    <w:p w14:paraId="6B793756" w14:textId="77777777" w:rsidR="009A6748" w:rsidRPr="001343F2" w:rsidRDefault="009A6748" w:rsidP="009A6748">
      <w:pPr>
        <w:spacing w:after="0"/>
        <w:rPr>
          <w:rFonts w:ascii="Times New Roman" w:eastAsiaTheme="minorEastAsia" w:hAnsi="Times New Roman" w:cs="Times New Roman"/>
          <w:lang w:val="en-US"/>
        </w:rPr>
      </w:pPr>
      <w:r w:rsidRPr="001343F2">
        <w:rPr>
          <w:rFonts w:ascii="Times New Roman" w:hAnsi="Times New Roman" w:cs="Times New Roman"/>
          <w:lang w:val="en-US"/>
        </w:rPr>
        <w:t xml:space="preserve">The ground up damage and the reconstruction values used in the beta regressions are denoted in 2024 price levels. To adjust the price levels in which the damage data was originally denoted, a price index was derived from the development of the reconstruction value prices in the aforementioned methodology of the Dutch Association of Insurers. Table S1 contains this price index for the years 2008-2024, here 2015 was set as the reference year. The price index was constructed by taking the weighted average of the baseline volume prices of all building types, where the share of a particular building type in the total building stock </w:t>
      </w:r>
      <w:r w:rsidRPr="001343F2">
        <w:rPr>
          <w:rFonts w:ascii="Times New Roman" w:eastAsiaTheme="minorEastAsia" w:hAnsi="Times New Roman" w:cs="Times New Roman"/>
          <w:lang w:val="en-US"/>
        </w:rPr>
        <w:t xml:space="preserve">served as its weight. The development of this weighted average building volume price in turn determined the evolution of the price index. </w:t>
      </w:r>
      <w:r>
        <w:rPr>
          <w:rFonts w:ascii="Times New Roman" w:hAnsi="Times New Roman" w:cs="Times New Roman"/>
          <w:lang w:val="en-US"/>
        </w:rPr>
        <w:t>T</w:t>
      </w:r>
      <w:r w:rsidRPr="001343F2">
        <w:rPr>
          <w:rFonts w:ascii="Times New Roman" w:hAnsi="Times New Roman" w:cs="Times New Roman"/>
          <w:lang w:val="en-US"/>
        </w:rPr>
        <w:t>he share of a particular building type in the total building stock</w:t>
      </w:r>
      <w:r w:rsidRPr="001343F2">
        <w:rPr>
          <w:rFonts w:ascii="Times New Roman" w:eastAsiaTheme="minorEastAsia" w:hAnsi="Times New Roman" w:cs="Times New Roman"/>
          <w:lang w:val="en-US"/>
        </w:rPr>
        <w:t xml:space="preserve"> was based on building stock information provided by the Central Agency for Statistics of the Netherlands</w:t>
      </w:r>
      <w:r>
        <w:rPr>
          <w:rFonts w:ascii="Times New Roman" w:eastAsiaTheme="minorEastAsia" w:hAnsi="Times New Roman" w:cs="Times New Roman"/>
          <w:lang w:val="en-US"/>
        </w:rPr>
        <w:t xml:space="preserve"> (</w:t>
      </w:r>
      <w:proofErr w:type="spellStart"/>
      <w:r w:rsidRPr="002C0980">
        <w:rPr>
          <w:rFonts w:ascii="Times New Roman" w:hAnsi="Times New Roman" w:cs="Times New Roman"/>
          <w:lang w:val="en-US"/>
        </w:rPr>
        <w:t>Centraal</w:t>
      </w:r>
      <w:proofErr w:type="spellEnd"/>
      <w:r w:rsidRPr="002C0980">
        <w:rPr>
          <w:rFonts w:ascii="Times New Roman" w:hAnsi="Times New Roman" w:cs="Times New Roman"/>
          <w:lang w:val="en-US"/>
        </w:rPr>
        <w:t xml:space="preserve"> Bureau </w:t>
      </w:r>
      <w:proofErr w:type="spellStart"/>
      <w:r w:rsidRPr="002C0980">
        <w:rPr>
          <w:rFonts w:ascii="Times New Roman" w:hAnsi="Times New Roman" w:cs="Times New Roman"/>
          <w:lang w:val="en-US"/>
        </w:rPr>
        <w:t>voor</w:t>
      </w:r>
      <w:proofErr w:type="spellEnd"/>
      <w:r w:rsidRPr="002C0980">
        <w:rPr>
          <w:rFonts w:ascii="Times New Roman" w:hAnsi="Times New Roman" w:cs="Times New Roman"/>
          <w:lang w:val="en-US"/>
        </w:rPr>
        <w:t xml:space="preserve"> de </w:t>
      </w:r>
      <w:proofErr w:type="spellStart"/>
      <w:r w:rsidRPr="002C0980">
        <w:rPr>
          <w:rFonts w:ascii="Times New Roman" w:hAnsi="Times New Roman" w:cs="Times New Roman"/>
          <w:lang w:val="en-US"/>
        </w:rPr>
        <w:t>Statistiek</w:t>
      </w:r>
      <w:proofErr w:type="spellEnd"/>
      <w:r>
        <w:rPr>
          <w:rFonts w:ascii="Times New Roman" w:hAnsi="Times New Roman" w:cs="Times New Roman"/>
          <w:lang w:val="en-US"/>
        </w:rPr>
        <w:t xml:space="preserve"> [</w:t>
      </w:r>
      <w:r>
        <w:rPr>
          <w:rFonts w:ascii="Times New Roman" w:eastAsiaTheme="minorEastAsia" w:hAnsi="Times New Roman" w:cs="Times New Roman"/>
          <w:lang w:val="en-US"/>
        </w:rPr>
        <w:t>CBS], 2023)</w:t>
      </w:r>
      <w:r w:rsidRPr="001343F2">
        <w:rPr>
          <w:rFonts w:ascii="Times New Roman" w:eastAsiaTheme="minorEastAsia" w:hAnsi="Times New Roman" w:cs="Times New Roman"/>
          <w:lang w:val="en-US"/>
        </w:rPr>
        <w:t xml:space="preserve">. Table S2 provides the allocated </w:t>
      </w:r>
      <w:r>
        <w:rPr>
          <w:rFonts w:ascii="Times New Roman" w:eastAsiaTheme="minorEastAsia" w:hAnsi="Times New Roman" w:cs="Times New Roman"/>
          <w:lang w:val="en-US"/>
        </w:rPr>
        <w:t xml:space="preserve">weights (i.e. </w:t>
      </w:r>
      <w:r w:rsidRPr="001343F2">
        <w:rPr>
          <w:rFonts w:ascii="Times New Roman" w:eastAsiaTheme="minorEastAsia" w:hAnsi="Times New Roman" w:cs="Times New Roman"/>
          <w:lang w:val="en-US"/>
        </w:rPr>
        <w:t>shares</w:t>
      </w:r>
      <w:r>
        <w:rPr>
          <w:rFonts w:ascii="Times New Roman" w:eastAsiaTheme="minorEastAsia" w:hAnsi="Times New Roman" w:cs="Times New Roman"/>
          <w:lang w:val="en-US"/>
        </w:rPr>
        <w:t xml:space="preserve"> in the total building stock) per building type,</w:t>
      </w:r>
      <w:r w:rsidRPr="001343F2">
        <w:rPr>
          <w:rFonts w:ascii="Times New Roman" w:eastAsiaTheme="minorEastAsia" w:hAnsi="Times New Roman" w:cs="Times New Roman"/>
          <w:lang w:val="en-US"/>
        </w:rPr>
        <w:t xml:space="preserve"> which were assumed to stay fixed over the period of interest. </w:t>
      </w:r>
    </w:p>
    <w:p w14:paraId="244CD42E" w14:textId="77777777" w:rsidR="009A6748" w:rsidRPr="001343F2" w:rsidRDefault="009A6748" w:rsidP="009A6748">
      <w:pPr>
        <w:spacing w:after="0"/>
        <w:rPr>
          <w:rFonts w:ascii="Times New Roman" w:hAnsi="Times New Roman" w:cs="Times New Roman"/>
          <w:lang w:val="en-US"/>
        </w:rPr>
      </w:pPr>
    </w:p>
    <w:p w14:paraId="3274BEF4" w14:textId="77777777" w:rsidR="009A6748" w:rsidRPr="001343F2" w:rsidRDefault="009A6748" w:rsidP="009A6748">
      <w:pPr>
        <w:spacing w:after="0"/>
        <w:rPr>
          <w:rFonts w:ascii="Times New Roman" w:hAnsi="Times New Roman" w:cs="Times New Roman"/>
          <w:lang w:val="en-US"/>
        </w:rPr>
      </w:pPr>
    </w:p>
    <w:p w14:paraId="720955AE" w14:textId="6F47C440" w:rsidR="004D454F" w:rsidRPr="001343F2" w:rsidRDefault="004D454F" w:rsidP="009A6748">
      <w:pPr>
        <w:spacing w:after="0"/>
        <w:rPr>
          <w:rFonts w:ascii="Times New Roman" w:hAnsi="Times New Roman" w:cs="Times New Roman"/>
          <w:lang w:val="en-US"/>
        </w:rPr>
      </w:pPr>
      <w:r w:rsidRPr="00BA0945">
        <w:rPr>
          <w:rFonts w:ascii="Times New Roman" w:hAnsi="Times New Roman" w:cs="Times New Roman"/>
          <w:b/>
          <w:bCs/>
          <w:noProof/>
          <w:lang w:val="en-US"/>
        </w:rPr>
        <mc:AlternateContent>
          <mc:Choice Requires="wps">
            <w:drawing>
              <wp:anchor distT="45720" distB="45720" distL="114300" distR="114300" simplePos="0" relativeHeight="251659264" behindDoc="1" locked="0" layoutInCell="1" allowOverlap="1" wp14:anchorId="5EC23530" wp14:editId="24F2B48D">
                <wp:simplePos x="0" y="0"/>
                <wp:positionH relativeFrom="column">
                  <wp:posOffset>3079115</wp:posOffset>
                </wp:positionH>
                <wp:positionV relativeFrom="paragraph">
                  <wp:posOffset>2693670</wp:posOffset>
                </wp:positionV>
                <wp:extent cx="1950085" cy="610235"/>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085" cy="610235"/>
                        </a:xfrm>
                        <a:prstGeom prst="rect">
                          <a:avLst/>
                        </a:prstGeom>
                        <a:solidFill>
                          <a:srgbClr val="FFFFFF"/>
                        </a:solidFill>
                        <a:ln w="9525">
                          <a:noFill/>
                          <a:miter lim="800000"/>
                          <a:headEnd/>
                          <a:tailEnd/>
                        </a:ln>
                      </wps:spPr>
                      <wps:txbx>
                        <w:txbxContent>
                          <w:p w14:paraId="4970E94C" w14:textId="77777777" w:rsidR="009A6748" w:rsidRPr="00440CB4" w:rsidRDefault="009A6748" w:rsidP="009A6748">
                            <w:pPr>
                              <w:spacing w:after="0"/>
                              <w:rPr>
                                <w:rFonts w:ascii="Times New Roman" w:hAnsi="Times New Roman" w:cs="Times New Roman"/>
                                <w:lang w:val="en-US"/>
                              </w:rPr>
                            </w:pPr>
                            <w:r w:rsidRPr="00440CB4">
                              <w:rPr>
                                <w:rFonts w:ascii="Times New Roman" w:hAnsi="Times New Roman" w:cs="Times New Roman"/>
                                <w:lang w:val="en-US"/>
                              </w:rPr>
                              <w:t xml:space="preserve">This table provides the weights </w:t>
                            </w:r>
                            <w:r>
                              <w:rPr>
                                <w:rFonts w:ascii="Times New Roman" w:hAnsi="Times New Roman" w:cs="Times New Roman"/>
                                <w:lang w:val="en-US"/>
                              </w:rPr>
                              <w:t xml:space="preserve">which were </w:t>
                            </w:r>
                            <w:r w:rsidRPr="00440CB4">
                              <w:rPr>
                                <w:rFonts w:ascii="Times New Roman" w:hAnsi="Times New Roman" w:cs="Times New Roman"/>
                                <w:lang w:val="en-US"/>
                              </w:rPr>
                              <w:t>used in the price index calculation</w:t>
                            </w:r>
                            <w:r>
                              <w:rPr>
                                <w:rFonts w:ascii="Times New Roman" w:hAnsi="Times New Roman" w:cs="Times New Roman"/>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23530" id="_x0000_t202" coordsize="21600,21600" o:spt="202" path="m,l,21600r21600,l21600,xe">
                <v:stroke joinstyle="miter"/>
                <v:path gradientshapeok="t" o:connecttype="rect"/>
              </v:shapetype>
              <v:shape id="Tekstvak 2" o:spid="_x0000_s1026" type="#_x0000_t202" style="position:absolute;margin-left:242.45pt;margin-top:212.1pt;width:153.55pt;height:48.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R0NDQIAAPYDAAAOAAAAZHJzL2Uyb0RvYy54bWysU9uO0zAQfUfiHyy/06SlWdqo6WrpUoS0&#10;XKSFD3Acp7GwPcZ2m5SvZ+xkuwXeEHmwZjLjMzNnjje3g1bkJJyXYCo6n+WUCMOhkeZQ0W9f969W&#10;lPjATMMUGFHRs/D0dvvyxaa3pVhAB6oRjiCI8WVvK9qFYMss87wTmvkZWGEw2ILTLKDrDlnjWI/o&#10;WmWLPL/JenCNdcCF9/j3fgzSbcJvW8HD57b1IhBVUewtpNOls45ntt2w8uCY7SSf2mD/0IVm0mDR&#10;C9Q9C4wcnfwLSkvuwEMbZhx0Bm0ruUgz4DTz/I9pHjtmRZoFyfH2QpP/f7D80+nRfnEkDG9hwAWm&#10;Ibx9AP7dEwO7jpmDuHMO+k6wBgvPI2VZb305XY1U+9JHkLr/CA0umR0DJKChdTqygnMSRMcFnC+k&#10;iyEQHkuuizxfFZRwjN3M88XrIpVg5dNt63x4L0CTaFTU4VITOjs9+BC7YeVTSizmQclmL5VKjjvU&#10;O+XIiaEA9umb0H9LU4b0FV0XiyIhG4j3kza0DChQJXVFV3n8RslENt6ZJqUEJtVoYyfKTPRERkZu&#10;wlAPmBhpqqE5I1EORiHiw0GjA/eTkh5FWFH/48icoER9MEj2er5cRtUmZ1m8WaDjriP1dYQZjlAV&#10;DZSM5i4kpUceDNzhUlqZ+HruZOoVxZVonB5CVO+1n7Ken+v2FwAAAP//AwBQSwMEFAAGAAgAAAAh&#10;AIZo5fzgAAAACwEAAA8AAABkcnMvZG93bnJldi54bWxMj8FOg0AQhu8mvsNmmngxdhFpKcjSqInG&#10;a2sfYGGnQMrOEnZb6Ns7nuxtJvPln+8vtrPtxQVH3zlS8LyMQCDVznTUKDj8fD5tQPigyejeESq4&#10;oodteX9X6Ny4iXZ42YdGcAj5XCtoQxhyKX3dotV+6QYkvh3daHXgdWykGfXE4baXcRStpdUd8YdW&#10;D/jRYn3an62C4/f0uMqm6isc0l2yftddWrmrUg+L+e0VRMA5/MPwp8/qULJT5c5kvOgVJJskY5SH&#10;OIlBMJFmMberFKzi6AVkWcjbDuUvAAAA//8DAFBLAQItABQABgAIAAAAIQC2gziS/gAAAOEBAAAT&#10;AAAAAAAAAAAAAAAAAAAAAABbQ29udGVudF9UeXBlc10ueG1sUEsBAi0AFAAGAAgAAAAhADj9If/W&#10;AAAAlAEAAAsAAAAAAAAAAAAAAAAALwEAAF9yZWxzLy5yZWxzUEsBAi0AFAAGAAgAAAAhALxZHQ0N&#10;AgAA9gMAAA4AAAAAAAAAAAAAAAAALgIAAGRycy9lMm9Eb2MueG1sUEsBAi0AFAAGAAgAAAAhAIZo&#10;5fzgAAAACwEAAA8AAAAAAAAAAAAAAAAAZwQAAGRycy9kb3ducmV2LnhtbFBLBQYAAAAABAAEAPMA&#10;AAB0BQAAAAA=&#10;" stroked="f">
                <v:textbox>
                  <w:txbxContent>
                    <w:p w14:paraId="4970E94C" w14:textId="77777777" w:rsidR="009A6748" w:rsidRPr="00440CB4" w:rsidRDefault="009A6748" w:rsidP="009A6748">
                      <w:pPr>
                        <w:spacing w:after="0"/>
                        <w:rPr>
                          <w:rFonts w:ascii="Times New Roman" w:hAnsi="Times New Roman" w:cs="Times New Roman"/>
                          <w:lang w:val="en-US"/>
                        </w:rPr>
                      </w:pPr>
                      <w:r w:rsidRPr="00440CB4">
                        <w:rPr>
                          <w:rFonts w:ascii="Times New Roman" w:hAnsi="Times New Roman" w:cs="Times New Roman"/>
                          <w:lang w:val="en-US"/>
                        </w:rPr>
                        <w:t xml:space="preserve">This table provides the weights </w:t>
                      </w:r>
                      <w:r>
                        <w:rPr>
                          <w:rFonts w:ascii="Times New Roman" w:hAnsi="Times New Roman" w:cs="Times New Roman"/>
                          <w:lang w:val="en-US"/>
                        </w:rPr>
                        <w:t xml:space="preserve">which were </w:t>
                      </w:r>
                      <w:r w:rsidRPr="00440CB4">
                        <w:rPr>
                          <w:rFonts w:ascii="Times New Roman" w:hAnsi="Times New Roman" w:cs="Times New Roman"/>
                          <w:lang w:val="en-US"/>
                        </w:rPr>
                        <w:t>used in the price index calculation</w:t>
                      </w:r>
                      <w:r>
                        <w:rPr>
                          <w:rFonts w:ascii="Times New Roman" w:hAnsi="Times New Roman" w:cs="Times New Roman"/>
                          <w:lang w:val="en-US"/>
                        </w:rPr>
                        <w:t>.</w:t>
                      </w:r>
                    </w:p>
                  </w:txbxContent>
                </v:textbox>
                <w10:wrap type="square"/>
              </v:shape>
            </w:pict>
          </mc:Fallback>
        </mc:AlternateContent>
      </w:r>
      <w:r w:rsidR="009A6748" w:rsidRPr="001343F2">
        <w:rPr>
          <w:rFonts w:ascii="Times New Roman" w:hAnsi="Times New Roman" w:cs="Times New Roman"/>
          <w:lang w:val="en-US"/>
        </w:rPr>
        <w:t>Table S1</w:t>
      </w:r>
      <w:r w:rsidR="009A6748">
        <w:rPr>
          <w:rFonts w:ascii="Times New Roman" w:hAnsi="Times New Roman" w:cs="Times New Roman"/>
          <w:lang w:val="en-US"/>
        </w:rPr>
        <w:t>. Price index</w:t>
      </w:r>
      <w:r w:rsidR="009A6748" w:rsidRPr="001343F2">
        <w:rPr>
          <w:rFonts w:ascii="Times New Roman" w:hAnsi="Times New Roman" w:cs="Times New Roman"/>
          <w:lang w:val="en-US"/>
        </w:rPr>
        <w:tab/>
      </w:r>
      <w:r w:rsidR="009A6748" w:rsidRPr="001343F2">
        <w:rPr>
          <w:rFonts w:ascii="Times New Roman" w:hAnsi="Times New Roman" w:cs="Times New Roman"/>
          <w:lang w:val="en-US"/>
        </w:rPr>
        <w:tab/>
      </w:r>
      <w:r w:rsidR="009A6748" w:rsidRPr="001343F2">
        <w:rPr>
          <w:rFonts w:ascii="Times New Roman" w:hAnsi="Times New Roman" w:cs="Times New Roman"/>
          <w:lang w:val="en-US"/>
        </w:rPr>
        <w:tab/>
      </w:r>
      <w:r w:rsidR="009A6748" w:rsidRPr="001343F2">
        <w:rPr>
          <w:rFonts w:ascii="Times New Roman" w:hAnsi="Times New Roman" w:cs="Times New Roman"/>
          <w:lang w:val="en-US"/>
        </w:rPr>
        <w:tab/>
      </w:r>
      <w:r w:rsidR="009A6748" w:rsidRPr="001343F2">
        <w:rPr>
          <w:rFonts w:ascii="Times New Roman" w:hAnsi="Times New Roman" w:cs="Times New Roman"/>
          <w:lang w:val="en-US"/>
        </w:rPr>
        <w:tab/>
        <w:t>Table S2</w:t>
      </w:r>
      <w:r w:rsidR="009A6748">
        <w:rPr>
          <w:rFonts w:ascii="Times New Roman" w:hAnsi="Times New Roman" w:cs="Times New Roman"/>
          <w:lang w:val="en-US"/>
        </w:rPr>
        <w:t>. Building type weights</w:t>
      </w:r>
    </w:p>
    <w:tbl>
      <w:tblPr>
        <w:tblStyle w:val="Rastertabel1licht"/>
        <w:tblpPr w:leftFromText="141" w:rightFromText="141" w:vertAnchor="text" w:horzAnchor="page" w:tblpX="6385" w:tblpY="52"/>
        <w:tblW w:w="2699" w:type="dxa"/>
        <w:tblLook w:val="04A0" w:firstRow="1" w:lastRow="0" w:firstColumn="1" w:lastColumn="0" w:noHBand="0" w:noVBand="1"/>
      </w:tblPr>
      <w:tblGrid>
        <w:gridCol w:w="1396"/>
        <w:gridCol w:w="1303"/>
      </w:tblGrid>
      <w:tr w:rsidR="004D454F" w:rsidRPr="006B3D07" w14:paraId="29C700FA" w14:textId="77777777" w:rsidTr="004D454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6" w:type="dxa"/>
            <w:noWrap/>
            <w:hideMark/>
          </w:tcPr>
          <w:p w14:paraId="5CD2BC04" w14:textId="77777777" w:rsidR="004D454F" w:rsidRPr="006B3D07" w:rsidRDefault="004D454F" w:rsidP="004D454F">
            <w:pPr>
              <w:rPr>
                <w:rFonts w:ascii="Times New Roman" w:eastAsia="Times New Roman" w:hAnsi="Times New Roman" w:cs="Times New Roman"/>
                <w:color w:val="000000"/>
                <w:lang w:eastAsia="nl-NL"/>
              </w:rPr>
            </w:pPr>
            <w:r w:rsidRPr="001343F2">
              <w:rPr>
                <w:rFonts w:ascii="Times New Roman" w:eastAsia="Times New Roman" w:hAnsi="Times New Roman" w:cs="Times New Roman"/>
                <w:color w:val="000000"/>
                <w:lang w:eastAsia="nl-NL"/>
              </w:rPr>
              <w:t>Building type</w:t>
            </w:r>
          </w:p>
        </w:tc>
        <w:tc>
          <w:tcPr>
            <w:tcW w:w="1303" w:type="dxa"/>
            <w:noWrap/>
            <w:hideMark/>
          </w:tcPr>
          <w:p w14:paraId="1B83C91C" w14:textId="77777777" w:rsidR="004D454F" w:rsidRPr="006B3D07" w:rsidRDefault="004D454F" w:rsidP="004D454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1343F2">
              <w:rPr>
                <w:rFonts w:ascii="Times New Roman" w:eastAsia="Times New Roman" w:hAnsi="Times New Roman" w:cs="Times New Roman"/>
                <w:color w:val="000000"/>
                <w:lang w:eastAsia="nl-NL"/>
              </w:rPr>
              <w:t>Share in building stock</w:t>
            </w:r>
          </w:p>
        </w:tc>
      </w:tr>
      <w:tr w:rsidR="004D454F" w:rsidRPr="006B3D07" w14:paraId="1408DD45" w14:textId="77777777" w:rsidTr="004D454F">
        <w:trPr>
          <w:trHeight w:val="300"/>
        </w:trPr>
        <w:tc>
          <w:tcPr>
            <w:cnfStyle w:val="001000000000" w:firstRow="0" w:lastRow="0" w:firstColumn="1" w:lastColumn="0" w:oddVBand="0" w:evenVBand="0" w:oddHBand="0" w:evenHBand="0" w:firstRowFirstColumn="0" w:firstRowLastColumn="0" w:lastRowFirstColumn="0" w:lastRowLastColumn="0"/>
            <w:tcW w:w="1396" w:type="dxa"/>
            <w:noWrap/>
            <w:hideMark/>
          </w:tcPr>
          <w:p w14:paraId="527D4D70" w14:textId="77777777" w:rsidR="004D454F" w:rsidRPr="006B3D07" w:rsidRDefault="004D454F" w:rsidP="004D454F">
            <w:pPr>
              <w:jc w:val="right"/>
              <w:rPr>
                <w:rFonts w:ascii="Times New Roman" w:eastAsia="Times New Roman" w:hAnsi="Times New Roman" w:cs="Times New Roman"/>
                <w:color w:val="000000"/>
                <w:lang w:eastAsia="nl-NL"/>
              </w:rPr>
            </w:pPr>
            <w:r w:rsidRPr="001343F2">
              <w:rPr>
                <w:rFonts w:ascii="Times New Roman" w:eastAsiaTheme="minorEastAsia" w:hAnsi="Times New Roman" w:cs="Times New Roman"/>
                <w:lang w:val="en-US"/>
              </w:rPr>
              <w:t>Terraced &amp; Corner houses</w:t>
            </w:r>
          </w:p>
        </w:tc>
        <w:tc>
          <w:tcPr>
            <w:tcW w:w="1303" w:type="dxa"/>
            <w:noWrap/>
            <w:hideMark/>
          </w:tcPr>
          <w:p w14:paraId="2C109AA1" w14:textId="77777777" w:rsidR="004D454F" w:rsidRPr="006B3D07" w:rsidRDefault="004D454F" w:rsidP="004D454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1343F2">
              <w:rPr>
                <w:rFonts w:ascii="Times New Roman" w:eastAsia="Times New Roman" w:hAnsi="Times New Roman" w:cs="Times New Roman"/>
                <w:color w:val="000000"/>
                <w:lang w:eastAsia="nl-NL"/>
              </w:rPr>
              <w:t>42%</w:t>
            </w:r>
          </w:p>
        </w:tc>
      </w:tr>
      <w:tr w:rsidR="004D454F" w:rsidRPr="006B3D07" w14:paraId="554C807C" w14:textId="77777777" w:rsidTr="004D454F">
        <w:trPr>
          <w:trHeight w:val="300"/>
        </w:trPr>
        <w:tc>
          <w:tcPr>
            <w:cnfStyle w:val="001000000000" w:firstRow="0" w:lastRow="0" w:firstColumn="1" w:lastColumn="0" w:oddVBand="0" w:evenVBand="0" w:oddHBand="0" w:evenHBand="0" w:firstRowFirstColumn="0" w:firstRowLastColumn="0" w:lastRowFirstColumn="0" w:lastRowLastColumn="0"/>
            <w:tcW w:w="1396" w:type="dxa"/>
            <w:noWrap/>
            <w:hideMark/>
          </w:tcPr>
          <w:p w14:paraId="331D5E2F" w14:textId="77777777" w:rsidR="004D454F" w:rsidRPr="006B3D07" w:rsidRDefault="004D454F" w:rsidP="004D454F">
            <w:pPr>
              <w:jc w:val="right"/>
              <w:rPr>
                <w:rFonts w:ascii="Times New Roman" w:eastAsia="Times New Roman" w:hAnsi="Times New Roman" w:cs="Times New Roman"/>
                <w:color w:val="000000"/>
                <w:lang w:eastAsia="nl-NL"/>
              </w:rPr>
            </w:pPr>
            <w:r w:rsidRPr="001343F2">
              <w:rPr>
                <w:rFonts w:ascii="Times New Roman" w:eastAsiaTheme="minorEastAsia" w:hAnsi="Times New Roman" w:cs="Times New Roman"/>
                <w:lang w:val="en-US"/>
              </w:rPr>
              <w:t>Semi-detached houses</w:t>
            </w:r>
          </w:p>
        </w:tc>
        <w:tc>
          <w:tcPr>
            <w:tcW w:w="1303" w:type="dxa"/>
            <w:noWrap/>
            <w:hideMark/>
          </w:tcPr>
          <w:p w14:paraId="08B2FACF" w14:textId="77777777" w:rsidR="004D454F" w:rsidRPr="006B3D07" w:rsidRDefault="004D454F" w:rsidP="004D454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1343F2">
              <w:rPr>
                <w:rFonts w:ascii="Times New Roman" w:eastAsia="Times New Roman" w:hAnsi="Times New Roman" w:cs="Times New Roman"/>
                <w:color w:val="000000"/>
                <w:lang w:eastAsia="nl-NL"/>
              </w:rPr>
              <w:t>9%</w:t>
            </w:r>
          </w:p>
        </w:tc>
      </w:tr>
      <w:tr w:rsidR="004D454F" w:rsidRPr="006B3D07" w14:paraId="750F7D7A" w14:textId="77777777" w:rsidTr="004D454F">
        <w:trPr>
          <w:trHeight w:val="300"/>
        </w:trPr>
        <w:tc>
          <w:tcPr>
            <w:cnfStyle w:val="001000000000" w:firstRow="0" w:lastRow="0" w:firstColumn="1" w:lastColumn="0" w:oddVBand="0" w:evenVBand="0" w:oddHBand="0" w:evenHBand="0" w:firstRowFirstColumn="0" w:firstRowLastColumn="0" w:lastRowFirstColumn="0" w:lastRowLastColumn="0"/>
            <w:tcW w:w="1396" w:type="dxa"/>
            <w:noWrap/>
            <w:hideMark/>
          </w:tcPr>
          <w:p w14:paraId="72E9F21B" w14:textId="55C9B19C" w:rsidR="004D454F" w:rsidRPr="006B3D07" w:rsidRDefault="004D454F" w:rsidP="004D454F">
            <w:pPr>
              <w:jc w:val="right"/>
              <w:rPr>
                <w:rFonts w:ascii="Times New Roman" w:eastAsia="Times New Roman" w:hAnsi="Times New Roman" w:cs="Times New Roman"/>
                <w:color w:val="000000"/>
                <w:lang w:eastAsia="nl-NL"/>
              </w:rPr>
            </w:pPr>
            <w:r w:rsidRPr="001343F2">
              <w:rPr>
                <w:rFonts w:ascii="Times New Roman" w:eastAsiaTheme="minorEastAsia" w:hAnsi="Times New Roman" w:cs="Times New Roman"/>
                <w:lang w:val="en-US"/>
              </w:rPr>
              <w:t>Detached</w:t>
            </w:r>
            <w:r w:rsidR="00A2247C">
              <w:rPr>
                <w:rFonts w:ascii="Times New Roman" w:eastAsiaTheme="minorEastAsia" w:hAnsi="Times New Roman" w:cs="Times New Roman"/>
                <w:lang w:val="en-US"/>
              </w:rPr>
              <w:t xml:space="preserve"> </w:t>
            </w:r>
            <w:r w:rsidRPr="001343F2">
              <w:rPr>
                <w:rFonts w:ascii="Times New Roman" w:eastAsiaTheme="minorEastAsia" w:hAnsi="Times New Roman" w:cs="Times New Roman"/>
                <w:lang w:val="en-US"/>
              </w:rPr>
              <w:t>houses</w:t>
            </w:r>
          </w:p>
        </w:tc>
        <w:tc>
          <w:tcPr>
            <w:tcW w:w="1303" w:type="dxa"/>
            <w:noWrap/>
            <w:hideMark/>
          </w:tcPr>
          <w:p w14:paraId="13F9E694" w14:textId="77777777" w:rsidR="004D454F" w:rsidRPr="006B3D07" w:rsidRDefault="004D454F" w:rsidP="004D454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1343F2">
              <w:rPr>
                <w:rFonts w:ascii="Times New Roman" w:eastAsia="Times New Roman" w:hAnsi="Times New Roman" w:cs="Times New Roman"/>
                <w:color w:val="000000"/>
                <w:lang w:eastAsia="nl-NL"/>
              </w:rPr>
              <w:t>13%</w:t>
            </w:r>
          </w:p>
        </w:tc>
      </w:tr>
      <w:tr w:rsidR="004D454F" w:rsidRPr="006B3D07" w14:paraId="39205E6A" w14:textId="77777777" w:rsidTr="004D454F">
        <w:trPr>
          <w:trHeight w:val="300"/>
        </w:trPr>
        <w:tc>
          <w:tcPr>
            <w:cnfStyle w:val="001000000000" w:firstRow="0" w:lastRow="0" w:firstColumn="1" w:lastColumn="0" w:oddVBand="0" w:evenVBand="0" w:oddHBand="0" w:evenHBand="0" w:firstRowFirstColumn="0" w:firstRowLastColumn="0" w:lastRowFirstColumn="0" w:lastRowLastColumn="0"/>
            <w:tcW w:w="1396" w:type="dxa"/>
            <w:noWrap/>
            <w:hideMark/>
          </w:tcPr>
          <w:p w14:paraId="6E4D969F" w14:textId="77777777" w:rsidR="004D454F" w:rsidRPr="006B3D07" w:rsidRDefault="004D454F" w:rsidP="004D454F">
            <w:pPr>
              <w:jc w:val="right"/>
              <w:rPr>
                <w:rFonts w:ascii="Times New Roman" w:eastAsia="Times New Roman" w:hAnsi="Times New Roman" w:cs="Times New Roman"/>
                <w:color w:val="000000"/>
                <w:lang w:eastAsia="nl-NL"/>
              </w:rPr>
            </w:pPr>
            <w:r w:rsidRPr="001343F2">
              <w:rPr>
                <w:rFonts w:ascii="Times New Roman" w:eastAsiaTheme="minorEastAsia" w:hAnsi="Times New Roman" w:cs="Times New Roman"/>
                <w:lang w:val="en-US"/>
              </w:rPr>
              <w:t>Apartments, floor 0 to 4</w:t>
            </w:r>
          </w:p>
        </w:tc>
        <w:tc>
          <w:tcPr>
            <w:tcW w:w="1303" w:type="dxa"/>
            <w:noWrap/>
            <w:hideMark/>
          </w:tcPr>
          <w:p w14:paraId="319841C8" w14:textId="77777777" w:rsidR="004D454F" w:rsidRPr="006B3D07" w:rsidRDefault="004D454F" w:rsidP="004D454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1343F2">
              <w:rPr>
                <w:rFonts w:ascii="Times New Roman" w:eastAsia="Times New Roman" w:hAnsi="Times New Roman" w:cs="Times New Roman"/>
                <w:color w:val="000000"/>
                <w:lang w:eastAsia="nl-NL"/>
              </w:rPr>
              <w:t>18%</w:t>
            </w:r>
          </w:p>
        </w:tc>
      </w:tr>
      <w:tr w:rsidR="004D454F" w:rsidRPr="006B3D07" w14:paraId="34A032DA" w14:textId="77777777" w:rsidTr="004D454F">
        <w:trPr>
          <w:trHeight w:val="300"/>
        </w:trPr>
        <w:tc>
          <w:tcPr>
            <w:cnfStyle w:val="001000000000" w:firstRow="0" w:lastRow="0" w:firstColumn="1" w:lastColumn="0" w:oddVBand="0" w:evenVBand="0" w:oddHBand="0" w:evenHBand="0" w:firstRowFirstColumn="0" w:firstRowLastColumn="0" w:lastRowFirstColumn="0" w:lastRowLastColumn="0"/>
            <w:tcW w:w="1396" w:type="dxa"/>
            <w:noWrap/>
            <w:hideMark/>
          </w:tcPr>
          <w:p w14:paraId="29D2CA4C" w14:textId="21B67233" w:rsidR="004D454F" w:rsidRPr="006B3D07" w:rsidRDefault="004D454F" w:rsidP="004D454F">
            <w:pPr>
              <w:jc w:val="right"/>
              <w:rPr>
                <w:rFonts w:ascii="Times New Roman" w:eastAsia="Times New Roman" w:hAnsi="Times New Roman" w:cs="Times New Roman"/>
                <w:color w:val="000000"/>
                <w:lang w:eastAsia="nl-NL"/>
              </w:rPr>
            </w:pPr>
            <w:r w:rsidRPr="001343F2">
              <w:rPr>
                <w:rFonts w:ascii="Times New Roman" w:eastAsiaTheme="minorEastAsia" w:hAnsi="Times New Roman" w:cs="Times New Roman"/>
                <w:lang w:val="en-US"/>
              </w:rPr>
              <w:t>Apartments, floor 5 to 8</w:t>
            </w:r>
          </w:p>
        </w:tc>
        <w:tc>
          <w:tcPr>
            <w:tcW w:w="1303" w:type="dxa"/>
            <w:noWrap/>
            <w:hideMark/>
          </w:tcPr>
          <w:p w14:paraId="16A78B85" w14:textId="77777777" w:rsidR="004D454F" w:rsidRPr="006B3D07" w:rsidRDefault="004D454F" w:rsidP="004D454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1343F2">
              <w:rPr>
                <w:rFonts w:ascii="Times New Roman" w:eastAsia="Times New Roman" w:hAnsi="Times New Roman" w:cs="Times New Roman"/>
                <w:color w:val="000000"/>
                <w:lang w:eastAsia="nl-NL"/>
              </w:rPr>
              <w:t>18%</w:t>
            </w:r>
          </w:p>
        </w:tc>
      </w:tr>
    </w:tbl>
    <w:tbl>
      <w:tblPr>
        <w:tblStyle w:val="Rastertabel1licht"/>
        <w:tblW w:w="2699" w:type="dxa"/>
        <w:tblLook w:val="04A0" w:firstRow="1" w:lastRow="0" w:firstColumn="1" w:lastColumn="0" w:noHBand="0" w:noVBand="1"/>
      </w:tblPr>
      <w:tblGrid>
        <w:gridCol w:w="1145"/>
        <w:gridCol w:w="1554"/>
      </w:tblGrid>
      <w:tr w:rsidR="009A6748" w:rsidRPr="006B3D07" w14:paraId="5DE57D19" w14:textId="77777777" w:rsidTr="008335D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5" w:type="dxa"/>
            <w:noWrap/>
            <w:hideMark/>
          </w:tcPr>
          <w:p w14:paraId="62228BD4" w14:textId="77777777" w:rsidR="009A6748" w:rsidRPr="006B3D07" w:rsidRDefault="009A6748" w:rsidP="008335DC">
            <w:pPr>
              <w:rPr>
                <w:rFonts w:ascii="Times New Roman" w:eastAsia="Times New Roman" w:hAnsi="Times New Roman" w:cs="Times New Roman"/>
                <w:color w:val="000000"/>
                <w:lang w:eastAsia="nl-NL"/>
              </w:rPr>
            </w:pPr>
            <w:proofErr w:type="spellStart"/>
            <w:r w:rsidRPr="006B3D07">
              <w:rPr>
                <w:rFonts w:ascii="Times New Roman" w:eastAsia="Times New Roman" w:hAnsi="Times New Roman" w:cs="Times New Roman"/>
                <w:color w:val="000000"/>
                <w:lang w:eastAsia="nl-NL"/>
              </w:rPr>
              <w:t>Year</w:t>
            </w:r>
            <w:proofErr w:type="spellEnd"/>
          </w:p>
        </w:tc>
        <w:tc>
          <w:tcPr>
            <w:tcW w:w="1554" w:type="dxa"/>
            <w:noWrap/>
            <w:hideMark/>
          </w:tcPr>
          <w:p w14:paraId="625B269F" w14:textId="77777777" w:rsidR="009A6748" w:rsidRPr="006B3D07" w:rsidRDefault="009A6748" w:rsidP="008335D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Price Index</w:t>
            </w:r>
          </w:p>
        </w:tc>
      </w:tr>
      <w:tr w:rsidR="009A6748" w:rsidRPr="006B3D07" w14:paraId="4E1D39AA" w14:textId="77777777" w:rsidTr="008335DC">
        <w:trPr>
          <w:trHeight w:val="300"/>
        </w:trPr>
        <w:tc>
          <w:tcPr>
            <w:cnfStyle w:val="001000000000" w:firstRow="0" w:lastRow="0" w:firstColumn="1" w:lastColumn="0" w:oddVBand="0" w:evenVBand="0" w:oddHBand="0" w:evenHBand="0" w:firstRowFirstColumn="0" w:firstRowLastColumn="0" w:lastRowFirstColumn="0" w:lastRowLastColumn="0"/>
            <w:tcW w:w="1145" w:type="dxa"/>
            <w:noWrap/>
            <w:hideMark/>
          </w:tcPr>
          <w:p w14:paraId="47FD1208" w14:textId="77777777" w:rsidR="009A6748" w:rsidRPr="006B3D07" w:rsidRDefault="009A6748" w:rsidP="008335DC">
            <w:pPr>
              <w:jc w:val="right"/>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2008</w:t>
            </w:r>
          </w:p>
        </w:tc>
        <w:tc>
          <w:tcPr>
            <w:tcW w:w="1554" w:type="dxa"/>
            <w:noWrap/>
            <w:hideMark/>
          </w:tcPr>
          <w:p w14:paraId="52A9909A" w14:textId="77777777" w:rsidR="009A6748" w:rsidRPr="006B3D07" w:rsidRDefault="009A6748" w:rsidP="008335D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86</w:t>
            </w:r>
          </w:p>
        </w:tc>
      </w:tr>
      <w:tr w:rsidR="009A6748" w:rsidRPr="006B3D07" w14:paraId="584A3D5F" w14:textId="77777777" w:rsidTr="008335DC">
        <w:trPr>
          <w:trHeight w:val="300"/>
        </w:trPr>
        <w:tc>
          <w:tcPr>
            <w:cnfStyle w:val="001000000000" w:firstRow="0" w:lastRow="0" w:firstColumn="1" w:lastColumn="0" w:oddVBand="0" w:evenVBand="0" w:oddHBand="0" w:evenHBand="0" w:firstRowFirstColumn="0" w:firstRowLastColumn="0" w:lastRowFirstColumn="0" w:lastRowLastColumn="0"/>
            <w:tcW w:w="1145" w:type="dxa"/>
            <w:noWrap/>
            <w:hideMark/>
          </w:tcPr>
          <w:p w14:paraId="523A00CE" w14:textId="77777777" w:rsidR="009A6748" w:rsidRPr="006B3D07" w:rsidRDefault="009A6748" w:rsidP="008335DC">
            <w:pPr>
              <w:jc w:val="right"/>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2009</w:t>
            </w:r>
          </w:p>
        </w:tc>
        <w:tc>
          <w:tcPr>
            <w:tcW w:w="1554" w:type="dxa"/>
            <w:noWrap/>
            <w:hideMark/>
          </w:tcPr>
          <w:p w14:paraId="163DB4B5" w14:textId="77777777" w:rsidR="009A6748" w:rsidRPr="006B3D07" w:rsidRDefault="009A6748" w:rsidP="008335D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89</w:t>
            </w:r>
          </w:p>
        </w:tc>
      </w:tr>
      <w:tr w:rsidR="009A6748" w:rsidRPr="006B3D07" w14:paraId="62D91861" w14:textId="77777777" w:rsidTr="008335DC">
        <w:trPr>
          <w:trHeight w:val="300"/>
        </w:trPr>
        <w:tc>
          <w:tcPr>
            <w:cnfStyle w:val="001000000000" w:firstRow="0" w:lastRow="0" w:firstColumn="1" w:lastColumn="0" w:oddVBand="0" w:evenVBand="0" w:oddHBand="0" w:evenHBand="0" w:firstRowFirstColumn="0" w:firstRowLastColumn="0" w:lastRowFirstColumn="0" w:lastRowLastColumn="0"/>
            <w:tcW w:w="1145" w:type="dxa"/>
            <w:noWrap/>
            <w:hideMark/>
          </w:tcPr>
          <w:p w14:paraId="33215980" w14:textId="77777777" w:rsidR="009A6748" w:rsidRPr="006B3D07" w:rsidRDefault="009A6748" w:rsidP="008335DC">
            <w:pPr>
              <w:jc w:val="right"/>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2010</w:t>
            </w:r>
          </w:p>
        </w:tc>
        <w:tc>
          <w:tcPr>
            <w:tcW w:w="1554" w:type="dxa"/>
            <w:noWrap/>
            <w:hideMark/>
          </w:tcPr>
          <w:p w14:paraId="2173643C" w14:textId="77777777" w:rsidR="009A6748" w:rsidRPr="006B3D07" w:rsidRDefault="009A6748" w:rsidP="008335D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90</w:t>
            </w:r>
          </w:p>
        </w:tc>
      </w:tr>
      <w:tr w:rsidR="009A6748" w:rsidRPr="006B3D07" w14:paraId="3A3EE9AC" w14:textId="77777777" w:rsidTr="008335DC">
        <w:trPr>
          <w:trHeight w:val="300"/>
        </w:trPr>
        <w:tc>
          <w:tcPr>
            <w:cnfStyle w:val="001000000000" w:firstRow="0" w:lastRow="0" w:firstColumn="1" w:lastColumn="0" w:oddVBand="0" w:evenVBand="0" w:oddHBand="0" w:evenHBand="0" w:firstRowFirstColumn="0" w:firstRowLastColumn="0" w:lastRowFirstColumn="0" w:lastRowLastColumn="0"/>
            <w:tcW w:w="1145" w:type="dxa"/>
            <w:noWrap/>
            <w:hideMark/>
          </w:tcPr>
          <w:p w14:paraId="3D891F20" w14:textId="77777777" w:rsidR="009A6748" w:rsidRPr="006B3D07" w:rsidRDefault="009A6748" w:rsidP="008335DC">
            <w:pPr>
              <w:jc w:val="right"/>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2011</w:t>
            </w:r>
          </w:p>
        </w:tc>
        <w:tc>
          <w:tcPr>
            <w:tcW w:w="1554" w:type="dxa"/>
            <w:noWrap/>
            <w:hideMark/>
          </w:tcPr>
          <w:p w14:paraId="507BD8F4" w14:textId="77777777" w:rsidR="009A6748" w:rsidRPr="006B3D07" w:rsidRDefault="009A6748" w:rsidP="008335D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92</w:t>
            </w:r>
          </w:p>
        </w:tc>
      </w:tr>
      <w:tr w:rsidR="009A6748" w:rsidRPr="006B3D07" w14:paraId="4656D378" w14:textId="77777777" w:rsidTr="008335DC">
        <w:trPr>
          <w:trHeight w:val="300"/>
        </w:trPr>
        <w:tc>
          <w:tcPr>
            <w:cnfStyle w:val="001000000000" w:firstRow="0" w:lastRow="0" w:firstColumn="1" w:lastColumn="0" w:oddVBand="0" w:evenVBand="0" w:oddHBand="0" w:evenHBand="0" w:firstRowFirstColumn="0" w:firstRowLastColumn="0" w:lastRowFirstColumn="0" w:lastRowLastColumn="0"/>
            <w:tcW w:w="1145" w:type="dxa"/>
            <w:noWrap/>
            <w:hideMark/>
          </w:tcPr>
          <w:p w14:paraId="1A974DF1" w14:textId="77777777" w:rsidR="009A6748" w:rsidRPr="006B3D07" w:rsidRDefault="009A6748" w:rsidP="008335DC">
            <w:pPr>
              <w:jc w:val="right"/>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2012</w:t>
            </w:r>
          </w:p>
        </w:tc>
        <w:tc>
          <w:tcPr>
            <w:tcW w:w="1554" w:type="dxa"/>
            <w:noWrap/>
            <w:hideMark/>
          </w:tcPr>
          <w:p w14:paraId="3995E3F4" w14:textId="77777777" w:rsidR="009A6748" w:rsidRPr="006B3D07" w:rsidRDefault="009A6748" w:rsidP="008335D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94</w:t>
            </w:r>
          </w:p>
        </w:tc>
      </w:tr>
      <w:tr w:rsidR="009A6748" w:rsidRPr="006B3D07" w14:paraId="49AA2516" w14:textId="77777777" w:rsidTr="008335DC">
        <w:trPr>
          <w:trHeight w:val="300"/>
        </w:trPr>
        <w:tc>
          <w:tcPr>
            <w:cnfStyle w:val="001000000000" w:firstRow="0" w:lastRow="0" w:firstColumn="1" w:lastColumn="0" w:oddVBand="0" w:evenVBand="0" w:oddHBand="0" w:evenHBand="0" w:firstRowFirstColumn="0" w:firstRowLastColumn="0" w:lastRowFirstColumn="0" w:lastRowLastColumn="0"/>
            <w:tcW w:w="1145" w:type="dxa"/>
            <w:noWrap/>
            <w:hideMark/>
          </w:tcPr>
          <w:p w14:paraId="0BFB758B" w14:textId="77777777" w:rsidR="009A6748" w:rsidRPr="006B3D07" w:rsidRDefault="009A6748" w:rsidP="008335DC">
            <w:pPr>
              <w:jc w:val="right"/>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2013</w:t>
            </w:r>
          </w:p>
        </w:tc>
        <w:tc>
          <w:tcPr>
            <w:tcW w:w="1554" w:type="dxa"/>
            <w:noWrap/>
            <w:hideMark/>
          </w:tcPr>
          <w:p w14:paraId="48D90BE5" w14:textId="77777777" w:rsidR="009A6748" w:rsidRPr="006B3D07" w:rsidRDefault="009A6748" w:rsidP="008335D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97</w:t>
            </w:r>
          </w:p>
        </w:tc>
      </w:tr>
      <w:tr w:rsidR="009A6748" w:rsidRPr="006B3D07" w14:paraId="6241A05F" w14:textId="77777777" w:rsidTr="008335DC">
        <w:trPr>
          <w:trHeight w:val="300"/>
        </w:trPr>
        <w:tc>
          <w:tcPr>
            <w:cnfStyle w:val="001000000000" w:firstRow="0" w:lastRow="0" w:firstColumn="1" w:lastColumn="0" w:oddVBand="0" w:evenVBand="0" w:oddHBand="0" w:evenHBand="0" w:firstRowFirstColumn="0" w:firstRowLastColumn="0" w:lastRowFirstColumn="0" w:lastRowLastColumn="0"/>
            <w:tcW w:w="1145" w:type="dxa"/>
            <w:noWrap/>
            <w:hideMark/>
          </w:tcPr>
          <w:p w14:paraId="1F5D8F1E" w14:textId="77777777" w:rsidR="009A6748" w:rsidRPr="006B3D07" w:rsidRDefault="009A6748" w:rsidP="008335DC">
            <w:pPr>
              <w:jc w:val="right"/>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2014</w:t>
            </w:r>
          </w:p>
        </w:tc>
        <w:tc>
          <w:tcPr>
            <w:tcW w:w="1554" w:type="dxa"/>
            <w:noWrap/>
            <w:hideMark/>
          </w:tcPr>
          <w:p w14:paraId="6348285F" w14:textId="77777777" w:rsidR="009A6748" w:rsidRPr="006B3D07" w:rsidRDefault="009A6748" w:rsidP="008335D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98</w:t>
            </w:r>
          </w:p>
        </w:tc>
      </w:tr>
      <w:tr w:rsidR="009A6748" w:rsidRPr="006B3D07" w14:paraId="1A6618D6" w14:textId="77777777" w:rsidTr="008335DC">
        <w:trPr>
          <w:trHeight w:val="300"/>
        </w:trPr>
        <w:tc>
          <w:tcPr>
            <w:cnfStyle w:val="001000000000" w:firstRow="0" w:lastRow="0" w:firstColumn="1" w:lastColumn="0" w:oddVBand="0" w:evenVBand="0" w:oddHBand="0" w:evenHBand="0" w:firstRowFirstColumn="0" w:firstRowLastColumn="0" w:lastRowFirstColumn="0" w:lastRowLastColumn="0"/>
            <w:tcW w:w="1145" w:type="dxa"/>
            <w:noWrap/>
            <w:hideMark/>
          </w:tcPr>
          <w:p w14:paraId="0AB250E1" w14:textId="77777777" w:rsidR="009A6748" w:rsidRPr="006B3D07" w:rsidRDefault="009A6748" w:rsidP="008335DC">
            <w:pPr>
              <w:jc w:val="right"/>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2015</w:t>
            </w:r>
          </w:p>
        </w:tc>
        <w:tc>
          <w:tcPr>
            <w:tcW w:w="1554" w:type="dxa"/>
            <w:noWrap/>
            <w:hideMark/>
          </w:tcPr>
          <w:p w14:paraId="75D57E95" w14:textId="77777777" w:rsidR="009A6748" w:rsidRPr="006B3D07" w:rsidRDefault="009A6748" w:rsidP="008335D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100</w:t>
            </w:r>
          </w:p>
        </w:tc>
      </w:tr>
      <w:tr w:rsidR="009A6748" w:rsidRPr="006B3D07" w14:paraId="7B1D4D18" w14:textId="77777777" w:rsidTr="008335DC">
        <w:trPr>
          <w:trHeight w:val="300"/>
        </w:trPr>
        <w:tc>
          <w:tcPr>
            <w:cnfStyle w:val="001000000000" w:firstRow="0" w:lastRow="0" w:firstColumn="1" w:lastColumn="0" w:oddVBand="0" w:evenVBand="0" w:oddHBand="0" w:evenHBand="0" w:firstRowFirstColumn="0" w:firstRowLastColumn="0" w:lastRowFirstColumn="0" w:lastRowLastColumn="0"/>
            <w:tcW w:w="1145" w:type="dxa"/>
            <w:noWrap/>
            <w:hideMark/>
          </w:tcPr>
          <w:p w14:paraId="59D38336" w14:textId="77777777" w:rsidR="009A6748" w:rsidRPr="006B3D07" w:rsidRDefault="009A6748" w:rsidP="008335DC">
            <w:pPr>
              <w:jc w:val="right"/>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2016</w:t>
            </w:r>
          </w:p>
        </w:tc>
        <w:tc>
          <w:tcPr>
            <w:tcW w:w="1554" w:type="dxa"/>
            <w:noWrap/>
            <w:hideMark/>
          </w:tcPr>
          <w:p w14:paraId="225D94AC" w14:textId="77777777" w:rsidR="009A6748" w:rsidRPr="006B3D07" w:rsidRDefault="009A6748" w:rsidP="008335D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107</w:t>
            </w:r>
          </w:p>
        </w:tc>
      </w:tr>
      <w:tr w:rsidR="009A6748" w:rsidRPr="006B3D07" w14:paraId="4A20EA5D" w14:textId="77777777" w:rsidTr="008335DC">
        <w:trPr>
          <w:trHeight w:val="300"/>
        </w:trPr>
        <w:tc>
          <w:tcPr>
            <w:cnfStyle w:val="001000000000" w:firstRow="0" w:lastRow="0" w:firstColumn="1" w:lastColumn="0" w:oddVBand="0" w:evenVBand="0" w:oddHBand="0" w:evenHBand="0" w:firstRowFirstColumn="0" w:firstRowLastColumn="0" w:lastRowFirstColumn="0" w:lastRowLastColumn="0"/>
            <w:tcW w:w="1145" w:type="dxa"/>
            <w:noWrap/>
            <w:hideMark/>
          </w:tcPr>
          <w:p w14:paraId="2E237DEB" w14:textId="77777777" w:rsidR="009A6748" w:rsidRPr="006B3D07" w:rsidRDefault="009A6748" w:rsidP="008335DC">
            <w:pPr>
              <w:jc w:val="right"/>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2017</w:t>
            </w:r>
          </w:p>
        </w:tc>
        <w:tc>
          <w:tcPr>
            <w:tcW w:w="1554" w:type="dxa"/>
            <w:noWrap/>
            <w:hideMark/>
          </w:tcPr>
          <w:p w14:paraId="22A25EF0" w14:textId="77777777" w:rsidR="009A6748" w:rsidRPr="006B3D07" w:rsidRDefault="009A6748" w:rsidP="008335D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108</w:t>
            </w:r>
          </w:p>
        </w:tc>
      </w:tr>
      <w:tr w:rsidR="009A6748" w:rsidRPr="006B3D07" w14:paraId="4B339478" w14:textId="77777777" w:rsidTr="008335DC">
        <w:trPr>
          <w:trHeight w:val="300"/>
        </w:trPr>
        <w:tc>
          <w:tcPr>
            <w:cnfStyle w:val="001000000000" w:firstRow="0" w:lastRow="0" w:firstColumn="1" w:lastColumn="0" w:oddVBand="0" w:evenVBand="0" w:oddHBand="0" w:evenHBand="0" w:firstRowFirstColumn="0" w:firstRowLastColumn="0" w:lastRowFirstColumn="0" w:lastRowLastColumn="0"/>
            <w:tcW w:w="1145" w:type="dxa"/>
            <w:noWrap/>
            <w:hideMark/>
          </w:tcPr>
          <w:p w14:paraId="6BCBCF12" w14:textId="77777777" w:rsidR="009A6748" w:rsidRPr="006B3D07" w:rsidRDefault="009A6748" w:rsidP="008335DC">
            <w:pPr>
              <w:jc w:val="right"/>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2018</w:t>
            </w:r>
          </w:p>
        </w:tc>
        <w:tc>
          <w:tcPr>
            <w:tcW w:w="1554" w:type="dxa"/>
            <w:noWrap/>
            <w:hideMark/>
          </w:tcPr>
          <w:p w14:paraId="04D3C4DA" w14:textId="77777777" w:rsidR="009A6748" w:rsidRPr="006B3D07" w:rsidRDefault="009A6748" w:rsidP="008335D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110</w:t>
            </w:r>
          </w:p>
        </w:tc>
      </w:tr>
      <w:tr w:rsidR="009A6748" w:rsidRPr="006B3D07" w14:paraId="5BB0FDD3" w14:textId="77777777" w:rsidTr="008335DC">
        <w:trPr>
          <w:trHeight w:val="300"/>
        </w:trPr>
        <w:tc>
          <w:tcPr>
            <w:cnfStyle w:val="001000000000" w:firstRow="0" w:lastRow="0" w:firstColumn="1" w:lastColumn="0" w:oddVBand="0" w:evenVBand="0" w:oddHBand="0" w:evenHBand="0" w:firstRowFirstColumn="0" w:firstRowLastColumn="0" w:lastRowFirstColumn="0" w:lastRowLastColumn="0"/>
            <w:tcW w:w="1145" w:type="dxa"/>
            <w:noWrap/>
            <w:hideMark/>
          </w:tcPr>
          <w:p w14:paraId="14D39F0E" w14:textId="77777777" w:rsidR="009A6748" w:rsidRPr="006B3D07" w:rsidRDefault="009A6748" w:rsidP="008335DC">
            <w:pPr>
              <w:jc w:val="right"/>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2019</w:t>
            </w:r>
          </w:p>
        </w:tc>
        <w:tc>
          <w:tcPr>
            <w:tcW w:w="1554" w:type="dxa"/>
            <w:noWrap/>
            <w:hideMark/>
          </w:tcPr>
          <w:p w14:paraId="15899F4D" w14:textId="77777777" w:rsidR="009A6748" w:rsidRPr="006B3D07" w:rsidRDefault="009A6748" w:rsidP="008335D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113</w:t>
            </w:r>
          </w:p>
        </w:tc>
      </w:tr>
      <w:tr w:rsidR="009A6748" w:rsidRPr="006B3D07" w14:paraId="38561EC0" w14:textId="77777777" w:rsidTr="008335DC">
        <w:trPr>
          <w:trHeight w:val="300"/>
        </w:trPr>
        <w:tc>
          <w:tcPr>
            <w:cnfStyle w:val="001000000000" w:firstRow="0" w:lastRow="0" w:firstColumn="1" w:lastColumn="0" w:oddVBand="0" w:evenVBand="0" w:oddHBand="0" w:evenHBand="0" w:firstRowFirstColumn="0" w:firstRowLastColumn="0" w:lastRowFirstColumn="0" w:lastRowLastColumn="0"/>
            <w:tcW w:w="1145" w:type="dxa"/>
            <w:noWrap/>
            <w:hideMark/>
          </w:tcPr>
          <w:p w14:paraId="300671FA" w14:textId="77777777" w:rsidR="009A6748" w:rsidRPr="006B3D07" w:rsidRDefault="009A6748" w:rsidP="008335DC">
            <w:pPr>
              <w:jc w:val="right"/>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2020</w:t>
            </w:r>
          </w:p>
        </w:tc>
        <w:tc>
          <w:tcPr>
            <w:tcW w:w="1554" w:type="dxa"/>
            <w:noWrap/>
            <w:hideMark/>
          </w:tcPr>
          <w:p w14:paraId="024F53FF" w14:textId="77777777" w:rsidR="009A6748" w:rsidRPr="006B3D07" w:rsidRDefault="009A6748" w:rsidP="008335D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127</w:t>
            </w:r>
          </w:p>
        </w:tc>
      </w:tr>
      <w:tr w:rsidR="009A6748" w:rsidRPr="006B3D07" w14:paraId="7FD4B65D" w14:textId="77777777" w:rsidTr="008335DC">
        <w:trPr>
          <w:trHeight w:val="300"/>
        </w:trPr>
        <w:tc>
          <w:tcPr>
            <w:cnfStyle w:val="001000000000" w:firstRow="0" w:lastRow="0" w:firstColumn="1" w:lastColumn="0" w:oddVBand="0" w:evenVBand="0" w:oddHBand="0" w:evenHBand="0" w:firstRowFirstColumn="0" w:firstRowLastColumn="0" w:lastRowFirstColumn="0" w:lastRowLastColumn="0"/>
            <w:tcW w:w="1145" w:type="dxa"/>
            <w:noWrap/>
            <w:hideMark/>
          </w:tcPr>
          <w:p w14:paraId="5AE67FAC" w14:textId="77777777" w:rsidR="009A6748" w:rsidRPr="006B3D07" w:rsidRDefault="009A6748" w:rsidP="008335DC">
            <w:pPr>
              <w:jc w:val="right"/>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2021</w:t>
            </w:r>
          </w:p>
        </w:tc>
        <w:tc>
          <w:tcPr>
            <w:tcW w:w="1554" w:type="dxa"/>
            <w:noWrap/>
            <w:hideMark/>
          </w:tcPr>
          <w:p w14:paraId="57BCC4BF" w14:textId="77777777" w:rsidR="009A6748" w:rsidRPr="006B3D07" w:rsidRDefault="009A6748" w:rsidP="008335D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130</w:t>
            </w:r>
          </w:p>
        </w:tc>
      </w:tr>
      <w:tr w:rsidR="009A6748" w:rsidRPr="006B3D07" w14:paraId="0DD62679" w14:textId="77777777" w:rsidTr="008335DC">
        <w:trPr>
          <w:trHeight w:val="300"/>
        </w:trPr>
        <w:tc>
          <w:tcPr>
            <w:cnfStyle w:val="001000000000" w:firstRow="0" w:lastRow="0" w:firstColumn="1" w:lastColumn="0" w:oddVBand="0" w:evenVBand="0" w:oddHBand="0" w:evenHBand="0" w:firstRowFirstColumn="0" w:firstRowLastColumn="0" w:lastRowFirstColumn="0" w:lastRowLastColumn="0"/>
            <w:tcW w:w="1145" w:type="dxa"/>
            <w:noWrap/>
            <w:hideMark/>
          </w:tcPr>
          <w:p w14:paraId="1E650BF7" w14:textId="77777777" w:rsidR="009A6748" w:rsidRPr="006B3D07" w:rsidRDefault="009A6748" w:rsidP="008335DC">
            <w:pPr>
              <w:jc w:val="right"/>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2022</w:t>
            </w:r>
          </w:p>
        </w:tc>
        <w:tc>
          <w:tcPr>
            <w:tcW w:w="1554" w:type="dxa"/>
            <w:noWrap/>
            <w:hideMark/>
          </w:tcPr>
          <w:p w14:paraId="2588D813" w14:textId="77777777" w:rsidR="009A6748" w:rsidRPr="006B3D07" w:rsidRDefault="009A6748" w:rsidP="008335D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141</w:t>
            </w:r>
          </w:p>
        </w:tc>
      </w:tr>
      <w:tr w:rsidR="009A6748" w:rsidRPr="006B3D07" w14:paraId="535CA5C1" w14:textId="77777777" w:rsidTr="008335DC">
        <w:trPr>
          <w:trHeight w:val="300"/>
        </w:trPr>
        <w:tc>
          <w:tcPr>
            <w:cnfStyle w:val="001000000000" w:firstRow="0" w:lastRow="0" w:firstColumn="1" w:lastColumn="0" w:oddVBand="0" w:evenVBand="0" w:oddHBand="0" w:evenHBand="0" w:firstRowFirstColumn="0" w:firstRowLastColumn="0" w:lastRowFirstColumn="0" w:lastRowLastColumn="0"/>
            <w:tcW w:w="1145" w:type="dxa"/>
            <w:noWrap/>
            <w:hideMark/>
          </w:tcPr>
          <w:p w14:paraId="6B8EB411" w14:textId="77777777" w:rsidR="009A6748" w:rsidRPr="006B3D07" w:rsidRDefault="009A6748" w:rsidP="008335DC">
            <w:pPr>
              <w:jc w:val="right"/>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2023</w:t>
            </w:r>
          </w:p>
        </w:tc>
        <w:tc>
          <w:tcPr>
            <w:tcW w:w="1554" w:type="dxa"/>
            <w:noWrap/>
            <w:hideMark/>
          </w:tcPr>
          <w:p w14:paraId="5C9ECE49" w14:textId="77777777" w:rsidR="009A6748" w:rsidRPr="006B3D07" w:rsidRDefault="009A6748" w:rsidP="008335D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sidRPr="006B3D07">
              <w:rPr>
                <w:rFonts w:ascii="Times New Roman" w:eastAsia="Times New Roman" w:hAnsi="Times New Roman" w:cs="Times New Roman"/>
                <w:color w:val="000000"/>
                <w:lang w:eastAsia="nl-NL"/>
              </w:rPr>
              <w:t>157</w:t>
            </w:r>
          </w:p>
        </w:tc>
      </w:tr>
      <w:tr w:rsidR="004D454F" w:rsidRPr="006B3D07" w14:paraId="6F77C792" w14:textId="77777777" w:rsidTr="008335DC">
        <w:trPr>
          <w:trHeight w:val="300"/>
        </w:trPr>
        <w:tc>
          <w:tcPr>
            <w:cnfStyle w:val="001000000000" w:firstRow="0" w:lastRow="0" w:firstColumn="1" w:lastColumn="0" w:oddVBand="0" w:evenVBand="0" w:oddHBand="0" w:evenHBand="0" w:firstRowFirstColumn="0" w:firstRowLastColumn="0" w:lastRowFirstColumn="0" w:lastRowLastColumn="0"/>
            <w:tcW w:w="1145" w:type="dxa"/>
            <w:noWrap/>
          </w:tcPr>
          <w:p w14:paraId="4447A316" w14:textId="514D0E2A" w:rsidR="004D454F" w:rsidRPr="006B3D07" w:rsidRDefault="004D454F" w:rsidP="008335DC">
            <w:pPr>
              <w:jc w:val="right"/>
              <w:rPr>
                <w:rFonts w:ascii="Times New Roman" w:eastAsia="Times New Roman" w:hAnsi="Times New Roman" w:cs="Times New Roman"/>
                <w:color w:val="000000"/>
                <w:lang w:eastAsia="nl-NL"/>
              </w:rPr>
            </w:pPr>
            <w:r>
              <w:rPr>
                <w:rFonts w:ascii="Times New Roman" w:eastAsia="Times New Roman" w:hAnsi="Times New Roman" w:cs="Times New Roman"/>
                <w:color w:val="000000"/>
                <w:lang w:eastAsia="nl-NL"/>
              </w:rPr>
              <w:t>2024</w:t>
            </w:r>
          </w:p>
        </w:tc>
        <w:tc>
          <w:tcPr>
            <w:tcW w:w="1554" w:type="dxa"/>
            <w:noWrap/>
          </w:tcPr>
          <w:p w14:paraId="0B484B27" w14:textId="78B048FF" w:rsidR="004D454F" w:rsidRPr="006B3D07" w:rsidRDefault="004D454F" w:rsidP="008335D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nl-NL"/>
              </w:rPr>
            </w:pPr>
            <w:r>
              <w:rPr>
                <w:rFonts w:ascii="Times New Roman" w:eastAsia="Times New Roman" w:hAnsi="Times New Roman" w:cs="Times New Roman"/>
                <w:color w:val="000000"/>
                <w:lang w:eastAsia="nl-NL"/>
              </w:rPr>
              <w:t>162</w:t>
            </w:r>
          </w:p>
        </w:tc>
      </w:tr>
    </w:tbl>
    <w:p w14:paraId="32476A72" w14:textId="3903E32D" w:rsidR="009A6748" w:rsidRDefault="009A6748" w:rsidP="009A6748">
      <w:pPr>
        <w:spacing w:after="0"/>
        <w:rPr>
          <w:rFonts w:ascii="Times New Roman" w:hAnsi="Times New Roman" w:cs="Times New Roman"/>
          <w:lang w:val="en-US"/>
        </w:rPr>
      </w:pPr>
      <w:r>
        <w:rPr>
          <w:rFonts w:ascii="Times New Roman" w:hAnsi="Times New Roman" w:cs="Times New Roman"/>
          <w:lang w:val="en-US"/>
        </w:rPr>
        <w:t xml:space="preserve">This table provides the price </w:t>
      </w:r>
    </w:p>
    <w:p w14:paraId="78CB7692" w14:textId="77777777" w:rsidR="009A6748" w:rsidRDefault="009A6748" w:rsidP="009A6748">
      <w:pPr>
        <w:spacing w:after="0"/>
        <w:rPr>
          <w:rFonts w:ascii="Times New Roman" w:hAnsi="Times New Roman" w:cs="Times New Roman"/>
          <w:lang w:val="en-US"/>
        </w:rPr>
      </w:pPr>
      <w:r>
        <w:rPr>
          <w:rFonts w:ascii="Times New Roman" w:hAnsi="Times New Roman" w:cs="Times New Roman"/>
          <w:lang w:val="en-US"/>
        </w:rPr>
        <w:t xml:space="preserve">index which was used to adjust </w:t>
      </w:r>
    </w:p>
    <w:p w14:paraId="3090B31B" w14:textId="77777777" w:rsidR="009A6748" w:rsidRDefault="009A6748" w:rsidP="009A6748">
      <w:pPr>
        <w:spacing w:after="0"/>
        <w:rPr>
          <w:rFonts w:ascii="Times New Roman" w:hAnsi="Times New Roman" w:cs="Times New Roman"/>
          <w:lang w:val="en-US"/>
        </w:rPr>
      </w:pPr>
      <w:r>
        <w:rPr>
          <w:rFonts w:ascii="Times New Roman" w:hAnsi="Times New Roman" w:cs="Times New Roman"/>
          <w:lang w:val="en-US"/>
        </w:rPr>
        <w:t xml:space="preserve">the price levels of the ground </w:t>
      </w:r>
    </w:p>
    <w:p w14:paraId="3A33D439" w14:textId="77777777" w:rsidR="009A6748" w:rsidRDefault="009A6748" w:rsidP="009A6748">
      <w:pPr>
        <w:spacing w:after="0"/>
        <w:rPr>
          <w:rFonts w:ascii="Times New Roman" w:hAnsi="Times New Roman" w:cs="Times New Roman"/>
          <w:lang w:val="en-US"/>
        </w:rPr>
      </w:pPr>
      <w:r>
        <w:rPr>
          <w:rFonts w:ascii="Times New Roman" w:hAnsi="Times New Roman" w:cs="Times New Roman"/>
          <w:lang w:val="en-US"/>
        </w:rPr>
        <w:t xml:space="preserve">up damage and reconstruction </w:t>
      </w:r>
    </w:p>
    <w:p w14:paraId="71615822" w14:textId="77777777" w:rsidR="009A6748" w:rsidRPr="00AA27E7" w:rsidRDefault="009A6748" w:rsidP="009A6748">
      <w:pPr>
        <w:spacing w:after="0"/>
        <w:rPr>
          <w:rFonts w:ascii="Times New Roman" w:hAnsi="Times New Roman" w:cs="Times New Roman"/>
          <w:lang w:val="en-US"/>
        </w:rPr>
      </w:pPr>
      <w:r>
        <w:rPr>
          <w:rFonts w:ascii="Times New Roman" w:hAnsi="Times New Roman" w:cs="Times New Roman"/>
          <w:lang w:val="en-US"/>
        </w:rPr>
        <w:t>values.</w:t>
      </w:r>
    </w:p>
    <w:p w14:paraId="3E7F10DB" w14:textId="77777777" w:rsidR="009A6748" w:rsidRPr="001343F2" w:rsidRDefault="009A6748" w:rsidP="009A6748">
      <w:pPr>
        <w:spacing w:after="0"/>
        <w:rPr>
          <w:rFonts w:ascii="Times New Roman" w:hAnsi="Times New Roman" w:cs="Times New Roman"/>
          <w:b/>
          <w:bCs/>
          <w:lang w:val="en-US"/>
        </w:rPr>
      </w:pPr>
    </w:p>
    <w:p w14:paraId="2BB668D1" w14:textId="77777777" w:rsidR="009A6748" w:rsidRPr="001343F2" w:rsidRDefault="009A6748" w:rsidP="009A6748">
      <w:pPr>
        <w:spacing w:after="0"/>
        <w:rPr>
          <w:rFonts w:ascii="Times New Roman" w:hAnsi="Times New Roman" w:cs="Times New Roman"/>
          <w:b/>
          <w:bCs/>
          <w:lang w:val="en-US"/>
        </w:rPr>
      </w:pPr>
    </w:p>
    <w:p w14:paraId="0FDFE9CD" w14:textId="77777777" w:rsidR="009A6748" w:rsidRPr="001343F2" w:rsidRDefault="009A6748" w:rsidP="009A6748">
      <w:pPr>
        <w:spacing w:after="0"/>
        <w:rPr>
          <w:rFonts w:ascii="Times New Roman" w:hAnsi="Times New Roman" w:cs="Times New Roman"/>
          <w:b/>
          <w:bCs/>
          <w:lang w:val="en-US"/>
        </w:rPr>
      </w:pPr>
    </w:p>
    <w:p w14:paraId="1C192914" w14:textId="77777777" w:rsidR="009A6748" w:rsidRPr="001343F2" w:rsidRDefault="009A6748" w:rsidP="009A6748">
      <w:pPr>
        <w:spacing w:after="0"/>
        <w:rPr>
          <w:rFonts w:ascii="Times New Roman" w:hAnsi="Times New Roman" w:cs="Times New Roman"/>
          <w:lang w:val="en-US"/>
        </w:rPr>
      </w:pPr>
    </w:p>
    <w:p w14:paraId="0C49A24F" w14:textId="77777777" w:rsidR="009A6748" w:rsidRPr="001343F2" w:rsidRDefault="009A6748" w:rsidP="009A6748">
      <w:pPr>
        <w:spacing w:after="0"/>
        <w:rPr>
          <w:rFonts w:ascii="Times New Roman" w:hAnsi="Times New Roman" w:cs="Times New Roman"/>
          <w:b/>
          <w:bCs/>
          <w:lang w:val="en-US"/>
        </w:rPr>
      </w:pPr>
    </w:p>
    <w:p w14:paraId="7FE47375" w14:textId="77777777" w:rsidR="009A6748" w:rsidRDefault="009A6748" w:rsidP="009A6748">
      <w:pPr>
        <w:spacing w:after="0"/>
        <w:rPr>
          <w:rFonts w:ascii="Times New Roman" w:hAnsi="Times New Roman" w:cs="Times New Roman"/>
          <w:b/>
          <w:bCs/>
          <w:lang w:val="en-US"/>
        </w:rPr>
      </w:pPr>
    </w:p>
    <w:p w14:paraId="7A2E49A2" w14:textId="77777777" w:rsidR="009A6748" w:rsidRDefault="009A6748" w:rsidP="009A6748">
      <w:pPr>
        <w:spacing w:after="0"/>
        <w:rPr>
          <w:rFonts w:ascii="Times New Roman" w:hAnsi="Times New Roman" w:cs="Times New Roman"/>
          <w:b/>
          <w:bCs/>
          <w:lang w:val="en-US"/>
        </w:rPr>
      </w:pPr>
    </w:p>
    <w:p w14:paraId="5CCBCF0D" w14:textId="77777777" w:rsidR="009A6748" w:rsidRDefault="009A6748" w:rsidP="009A6748">
      <w:pPr>
        <w:spacing w:after="0"/>
        <w:rPr>
          <w:rFonts w:ascii="Times New Roman" w:hAnsi="Times New Roman" w:cs="Times New Roman"/>
          <w:b/>
          <w:bCs/>
          <w:lang w:val="en-US"/>
        </w:rPr>
      </w:pPr>
    </w:p>
    <w:p w14:paraId="11D301AA" w14:textId="77777777" w:rsidR="009A6748" w:rsidRDefault="009A6748" w:rsidP="009A6748">
      <w:pPr>
        <w:spacing w:after="0"/>
        <w:rPr>
          <w:rFonts w:ascii="Times New Roman" w:hAnsi="Times New Roman" w:cs="Times New Roman"/>
          <w:b/>
          <w:bCs/>
          <w:lang w:val="en-US"/>
        </w:rPr>
      </w:pPr>
    </w:p>
    <w:p w14:paraId="66F3855C" w14:textId="77777777" w:rsidR="009A6748" w:rsidRPr="001343F2" w:rsidRDefault="009A6748" w:rsidP="009A6748">
      <w:pPr>
        <w:spacing w:after="0"/>
        <w:rPr>
          <w:rFonts w:ascii="Times New Roman" w:hAnsi="Times New Roman" w:cs="Times New Roman"/>
          <w:b/>
          <w:bCs/>
          <w:lang w:val="en-US"/>
        </w:rPr>
      </w:pPr>
      <w:r w:rsidRPr="001343F2">
        <w:rPr>
          <w:rFonts w:ascii="Times New Roman" w:hAnsi="Times New Roman" w:cs="Times New Roman"/>
          <w:b/>
          <w:bCs/>
          <w:lang w:val="en-US"/>
        </w:rPr>
        <w:lastRenderedPageBreak/>
        <w:t>S4 Measurement methodologies meteorological data</w:t>
      </w:r>
    </w:p>
    <w:p w14:paraId="275019E0" w14:textId="71AAD324" w:rsidR="009A6748" w:rsidRDefault="008823C1" w:rsidP="009A6748">
      <w:pPr>
        <w:spacing w:after="0"/>
        <w:rPr>
          <w:rFonts w:ascii="Times New Roman" w:hAnsi="Times New Roman" w:cs="Times New Roman"/>
          <w:lang w:val="en-US"/>
        </w:rPr>
      </w:pPr>
      <w:r>
        <w:rPr>
          <w:rFonts w:ascii="Times New Roman" w:hAnsi="Times New Roman" w:cs="Times New Roman"/>
          <w:lang w:val="en-US"/>
        </w:rPr>
        <w:t xml:space="preserve">Hail data was </w:t>
      </w:r>
      <w:r w:rsidR="009F03F8">
        <w:rPr>
          <w:rFonts w:ascii="Times New Roman" w:hAnsi="Times New Roman" w:cs="Times New Roman"/>
          <w:lang w:val="en-US"/>
        </w:rPr>
        <w:t xml:space="preserve">provided by Wouters et al. (2019). </w:t>
      </w:r>
      <w:r>
        <w:rPr>
          <w:rFonts w:ascii="Times New Roman" w:hAnsi="Times New Roman" w:cs="Times New Roman"/>
          <w:lang w:val="en-US"/>
        </w:rPr>
        <w:t>Wind and precipitation</w:t>
      </w:r>
      <w:r w:rsidR="009A6748">
        <w:rPr>
          <w:rFonts w:ascii="Times New Roman" w:hAnsi="Times New Roman" w:cs="Times New Roman"/>
          <w:lang w:val="en-US"/>
        </w:rPr>
        <w:t xml:space="preserve"> data was retrieved from the Royal Netherlands Meteorological Institute (KNMI), which is the Dutch national weather service. The meteorological variables of interest are: </w:t>
      </w:r>
      <w:r w:rsidR="00DC43C9">
        <w:rPr>
          <w:rFonts w:ascii="Times New Roman" w:hAnsi="Times New Roman" w:cs="Times New Roman"/>
          <w:lang w:val="en-US"/>
        </w:rPr>
        <w:t>the maxim</w:t>
      </w:r>
      <w:r w:rsidR="00853B48">
        <w:rPr>
          <w:rFonts w:ascii="Times New Roman" w:hAnsi="Times New Roman" w:cs="Times New Roman"/>
          <w:lang w:val="en-US"/>
        </w:rPr>
        <w:t xml:space="preserve">um expected hailstone size (MEHS), </w:t>
      </w:r>
      <w:r w:rsidR="009A6748">
        <w:rPr>
          <w:rFonts w:ascii="Times New Roman" w:hAnsi="Times New Roman" w:cs="Times New Roman"/>
          <w:lang w:val="en-US"/>
        </w:rPr>
        <w:t xml:space="preserve">the daily maximum 3-second wind gust in a 10-minute period at 10 m height and the daily maximum one-hour cumulative precipitation and the daily 24-hour cumulative precipitation. </w:t>
      </w:r>
    </w:p>
    <w:p w14:paraId="46FD7F17" w14:textId="77777777" w:rsidR="009A6748" w:rsidRDefault="009A6748" w:rsidP="009A6748">
      <w:pPr>
        <w:spacing w:after="0"/>
        <w:rPr>
          <w:rFonts w:ascii="Times New Roman" w:hAnsi="Times New Roman" w:cs="Times New Roman"/>
          <w:lang w:val="en-US"/>
        </w:rPr>
      </w:pPr>
    </w:p>
    <w:p w14:paraId="390AD1A3" w14:textId="6C9A3F90" w:rsidR="0097222D" w:rsidRDefault="00944214" w:rsidP="009A6748">
      <w:pPr>
        <w:spacing w:after="0"/>
        <w:rPr>
          <w:rFonts w:ascii="Times New Roman" w:hAnsi="Times New Roman" w:cs="Times New Roman"/>
          <w:lang w:val="en-US"/>
        </w:rPr>
      </w:pPr>
      <w:r>
        <w:rPr>
          <w:rFonts w:ascii="Times New Roman" w:hAnsi="Times New Roman" w:cs="Times New Roman"/>
          <w:lang w:val="en-US"/>
        </w:rPr>
        <w:t>MEHS</w:t>
      </w:r>
    </w:p>
    <w:p w14:paraId="1A1592E6" w14:textId="24D7768A" w:rsidR="00C01ADB" w:rsidRPr="00D75A2B" w:rsidRDefault="00302BAC" w:rsidP="00C01ADB">
      <w:pPr>
        <w:spacing w:after="0"/>
        <w:rPr>
          <w:rFonts w:ascii="Times New Roman" w:hAnsi="Times New Roman" w:cs="Times New Roman"/>
          <w:lang w:val="en-US"/>
        </w:rPr>
      </w:pPr>
      <w:r>
        <w:rPr>
          <w:rFonts w:ascii="Times New Roman" w:hAnsi="Times New Roman" w:cs="Times New Roman"/>
          <w:lang w:val="en-US"/>
        </w:rPr>
        <w:t xml:space="preserve">The </w:t>
      </w:r>
      <w:r w:rsidR="000861DB">
        <w:rPr>
          <w:rFonts w:ascii="Times New Roman" w:hAnsi="Times New Roman" w:cs="Times New Roman"/>
          <w:lang w:val="en-US"/>
        </w:rPr>
        <w:t xml:space="preserve">daily </w:t>
      </w:r>
      <w:r>
        <w:rPr>
          <w:rFonts w:ascii="Times New Roman" w:hAnsi="Times New Roman" w:cs="Times New Roman"/>
          <w:lang w:val="en-US"/>
        </w:rPr>
        <w:t xml:space="preserve">MEHS </w:t>
      </w:r>
      <w:r w:rsidR="00FC051A">
        <w:rPr>
          <w:rFonts w:ascii="Times New Roman" w:hAnsi="Times New Roman" w:cs="Times New Roman"/>
          <w:lang w:val="en-US"/>
        </w:rPr>
        <w:t>measurements are radar-based</w:t>
      </w:r>
      <w:r w:rsidR="003D5D53">
        <w:rPr>
          <w:rFonts w:ascii="Times New Roman" w:hAnsi="Times New Roman" w:cs="Times New Roman"/>
          <w:lang w:val="en-US"/>
        </w:rPr>
        <w:t>,</w:t>
      </w:r>
      <w:r w:rsidR="00D43D46">
        <w:rPr>
          <w:rFonts w:ascii="Times New Roman" w:hAnsi="Times New Roman" w:cs="Times New Roman"/>
          <w:lang w:val="en-US"/>
        </w:rPr>
        <w:t xml:space="preserve"> calculated according to the hail detection algorithm proposed by Witt et al. (1998)</w:t>
      </w:r>
      <w:r w:rsidR="003D5D53">
        <w:rPr>
          <w:rFonts w:ascii="Times New Roman" w:hAnsi="Times New Roman" w:cs="Times New Roman"/>
          <w:lang w:val="en-US"/>
        </w:rPr>
        <w:t xml:space="preserve"> and provided</w:t>
      </w:r>
      <w:r w:rsidR="008932D7" w:rsidRPr="008932D7">
        <w:rPr>
          <w:rFonts w:ascii="Times New Roman" w:hAnsi="Times New Roman" w:cs="Times New Roman"/>
          <w:lang w:val="en-US"/>
        </w:rPr>
        <w:t xml:space="preserve"> </w:t>
      </w:r>
      <w:r w:rsidR="008932D7">
        <w:rPr>
          <w:rFonts w:ascii="Times New Roman" w:hAnsi="Times New Roman" w:cs="Times New Roman"/>
          <w:lang w:val="en-US"/>
        </w:rPr>
        <w:t xml:space="preserve">at </w:t>
      </w:r>
      <w:r w:rsidR="008932D7" w:rsidRPr="00D75A2B">
        <w:rPr>
          <w:rFonts w:ascii="Times New Roman" w:hAnsi="Times New Roman" w:cs="Times New Roman"/>
          <w:lang w:val="en-US"/>
        </w:rPr>
        <w:t xml:space="preserve">a </w:t>
      </w:r>
      <w:r w:rsidR="008932D7">
        <w:rPr>
          <w:rFonts w:ascii="Times New Roman" w:hAnsi="Times New Roman" w:cs="Times New Roman"/>
          <w:lang w:val="en-US"/>
        </w:rPr>
        <w:t>horizontal resolution of 1</w:t>
      </w:r>
      <w:r w:rsidR="008932D7" w:rsidRPr="00D75A2B">
        <w:rPr>
          <w:rFonts w:ascii="Times New Roman" w:hAnsi="Times New Roman" w:cs="Times New Roman"/>
          <w:lang w:val="en-US"/>
        </w:rPr>
        <w:t xml:space="preserve"> km</w:t>
      </w:r>
      <w:r w:rsidR="008932D7">
        <w:rPr>
          <w:rFonts w:ascii="Times New Roman" w:hAnsi="Times New Roman" w:cs="Times New Roman"/>
          <w:lang w:val="en-US"/>
        </w:rPr>
        <w:t>.</w:t>
      </w:r>
      <w:r w:rsidR="00D43D46">
        <w:rPr>
          <w:rFonts w:ascii="Times New Roman" w:hAnsi="Times New Roman" w:cs="Times New Roman"/>
          <w:lang w:val="en-US"/>
        </w:rPr>
        <w:t xml:space="preserve"> </w:t>
      </w:r>
      <w:r w:rsidR="000B4783">
        <w:rPr>
          <w:rFonts w:ascii="Times New Roman" w:hAnsi="Times New Roman" w:cs="Times New Roman"/>
          <w:lang w:val="en-US"/>
        </w:rPr>
        <w:t>To that end</w:t>
      </w:r>
      <w:r w:rsidR="00D12833">
        <w:rPr>
          <w:rFonts w:ascii="Times New Roman" w:hAnsi="Times New Roman" w:cs="Times New Roman"/>
          <w:lang w:val="en-US"/>
        </w:rPr>
        <w:t xml:space="preserve">, a severe hail index (SHI) was </w:t>
      </w:r>
      <w:r w:rsidR="00EB0BA9">
        <w:rPr>
          <w:rFonts w:ascii="Times New Roman" w:hAnsi="Times New Roman" w:cs="Times New Roman"/>
          <w:lang w:val="en-US"/>
        </w:rPr>
        <w:t>constructed</w:t>
      </w:r>
      <w:r w:rsidR="00D12833">
        <w:rPr>
          <w:rFonts w:ascii="Times New Roman" w:hAnsi="Times New Roman" w:cs="Times New Roman"/>
          <w:lang w:val="en-US"/>
        </w:rPr>
        <w:t xml:space="preserve"> </w:t>
      </w:r>
      <w:r w:rsidR="00EB0BA9">
        <w:rPr>
          <w:rFonts w:ascii="Times New Roman" w:hAnsi="Times New Roman" w:cs="Times New Roman"/>
          <w:lang w:val="en-US"/>
        </w:rPr>
        <w:t>which serve</w:t>
      </w:r>
      <w:r w:rsidR="00F431B3">
        <w:rPr>
          <w:rFonts w:ascii="Times New Roman" w:hAnsi="Times New Roman" w:cs="Times New Roman"/>
          <w:lang w:val="en-US"/>
        </w:rPr>
        <w:t>s</w:t>
      </w:r>
      <w:r w:rsidR="00EB0BA9">
        <w:rPr>
          <w:rFonts w:ascii="Times New Roman" w:hAnsi="Times New Roman" w:cs="Times New Roman"/>
          <w:lang w:val="en-US"/>
        </w:rPr>
        <w:t xml:space="preserve"> as the main predictor of the MEHS. </w:t>
      </w:r>
      <w:r w:rsidR="003D5D53">
        <w:rPr>
          <w:rFonts w:ascii="Times New Roman" w:hAnsi="Times New Roman" w:cs="Times New Roman"/>
          <w:lang w:val="en-US"/>
        </w:rPr>
        <w:t xml:space="preserve">The SHI is a thermally weighted </w:t>
      </w:r>
      <w:r w:rsidR="00A46286">
        <w:rPr>
          <w:rFonts w:ascii="Times New Roman" w:hAnsi="Times New Roman" w:cs="Times New Roman"/>
          <w:lang w:val="en-US"/>
        </w:rPr>
        <w:t>vertical integration of the reflectivity profile of a SCS</w:t>
      </w:r>
      <w:r w:rsidR="00BA5336">
        <w:rPr>
          <w:rFonts w:ascii="Times New Roman" w:hAnsi="Times New Roman" w:cs="Times New Roman"/>
          <w:lang w:val="en-US"/>
        </w:rPr>
        <w:t xml:space="preserve">, which in turn </w:t>
      </w:r>
      <w:r w:rsidR="00B43BAB">
        <w:rPr>
          <w:rFonts w:ascii="Times New Roman" w:hAnsi="Times New Roman" w:cs="Times New Roman"/>
          <w:lang w:val="en-US"/>
        </w:rPr>
        <w:t>depends on the kinetic energy of hail</w:t>
      </w:r>
      <w:r w:rsidR="00F64434">
        <w:rPr>
          <w:rFonts w:ascii="Times New Roman" w:hAnsi="Times New Roman" w:cs="Times New Roman"/>
          <w:lang w:val="en-US"/>
        </w:rPr>
        <w:t xml:space="preserve">, the height of the storm, </w:t>
      </w:r>
      <w:r w:rsidR="00D82C35" w:rsidRPr="00D82C35">
        <w:rPr>
          <w:rFonts w:ascii="Times New Roman" w:hAnsi="Times New Roman" w:cs="Times New Roman"/>
          <w:lang w:val="en-US"/>
        </w:rPr>
        <w:t xml:space="preserve">the height of the environmental melting level </w:t>
      </w:r>
      <w:r w:rsidR="00D82C35">
        <w:rPr>
          <w:rFonts w:ascii="Times New Roman" w:hAnsi="Times New Roman" w:cs="Times New Roman"/>
          <w:lang w:val="en-US"/>
        </w:rPr>
        <w:t>and</w:t>
      </w:r>
      <w:r w:rsidR="00C7435D">
        <w:rPr>
          <w:rFonts w:ascii="Times New Roman" w:hAnsi="Times New Roman" w:cs="Times New Roman"/>
          <w:lang w:val="en-US"/>
        </w:rPr>
        <w:t xml:space="preserve"> </w:t>
      </w:r>
      <w:r w:rsidR="00146950">
        <w:rPr>
          <w:rFonts w:ascii="Times New Roman" w:hAnsi="Times New Roman" w:cs="Times New Roman"/>
          <w:lang w:val="en-US"/>
        </w:rPr>
        <w:t xml:space="preserve">the height </w:t>
      </w:r>
      <w:r w:rsidR="00D82C35">
        <w:rPr>
          <w:rFonts w:ascii="Times New Roman" w:hAnsi="Times New Roman" w:cs="Times New Roman"/>
          <w:lang w:val="en-US"/>
        </w:rPr>
        <w:t xml:space="preserve">of </w:t>
      </w:r>
      <w:r w:rsidR="007B5632" w:rsidRPr="007B5632">
        <w:rPr>
          <w:rFonts w:ascii="Times New Roman" w:hAnsi="Times New Roman" w:cs="Times New Roman"/>
          <w:lang w:val="en-US"/>
        </w:rPr>
        <w:t>the -20°C environmental temperature</w:t>
      </w:r>
      <w:r w:rsidR="00C7435D">
        <w:rPr>
          <w:rFonts w:ascii="Times New Roman" w:hAnsi="Times New Roman" w:cs="Times New Roman"/>
          <w:lang w:val="en-US"/>
        </w:rPr>
        <w:t xml:space="preserve">. </w:t>
      </w:r>
      <w:r w:rsidR="00A96AAD">
        <w:rPr>
          <w:rFonts w:ascii="Times New Roman" w:hAnsi="Times New Roman" w:cs="Times New Roman"/>
          <w:lang w:val="en-US"/>
        </w:rPr>
        <w:t xml:space="preserve">The kinetic energy </w:t>
      </w:r>
      <w:r w:rsidR="007D4247">
        <w:rPr>
          <w:rFonts w:ascii="Times New Roman" w:hAnsi="Times New Roman" w:cs="Times New Roman"/>
          <w:lang w:val="en-US"/>
        </w:rPr>
        <w:t xml:space="preserve">is calculated </w:t>
      </w:r>
      <w:r w:rsidR="00864B17">
        <w:rPr>
          <w:rFonts w:ascii="Times New Roman" w:hAnsi="Times New Roman" w:cs="Times New Roman"/>
          <w:lang w:val="en-US"/>
        </w:rPr>
        <w:t xml:space="preserve">using radar reflectivity data and according to </w:t>
      </w:r>
      <w:r w:rsidR="00093993">
        <w:rPr>
          <w:rFonts w:ascii="Times New Roman" w:hAnsi="Times New Roman" w:cs="Times New Roman"/>
          <w:lang w:val="en-US"/>
        </w:rPr>
        <w:t xml:space="preserve">Waldvogel et al. (1978). </w:t>
      </w:r>
      <w:r w:rsidR="00DE17F3">
        <w:rPr>
          <w:rFonts w:ascii="Times New Roman" w:hAnsi="Times New Roman" w:cs="Times New Roman"/>
          <w:lang w:val="en-US"/>
        </w:rPr>
        <w:t xml:space="preserve">The </w:t>
      </w:r>
      <w:r w:rsidR="00167846">
        <w:rPr>
          <w:rFonts w:ascii="Times New Roman" w:hAnsi="Times New Roman" w:cs="Times New Roman"/>
          <w:lang w:val="en-US"/>
        </w:rPr>
        <w:t>(</w:t>
      </w:r>
      <w:r w:rsidR="00DE17F3">
        <w:rPr>
          <w:rFonts w:ascii="Times New Roman" w:hAnsi="Times New Roman" w:cs="Times New Roman"/>
          <w:lang w:val="en-US"/>
        </w:rPr>
        <w:t>environmental temperature</w:t>
      </w:r>
      <w:r w:rsidR="00167846">
        <w:rPr>
          <w:rFonts w:ascii="Times New Roman" w:hAnsi="Times New Roman" w:cs="Times New Roman"/>
          <w:lang w:val="en-US"/>
        </w:rPr>
        <w:t xml:space="preserve">) heights </w:t>
      </w:r>
      <w:r w:rsidR="00364C30">
        <w:rPr>
          <w:rFonts w:ascii="Times New Roman" w:hAnsi="Times New Roman" w:cs="Times New Roman"/>
          <w:lang w:val="en-US"/>
        </w:rPr>
        <w:t xml:space="preserve">are produced by the numerical weather prediction model </w:t>
      </w:r>
      <w:r w:rsidR="00F45EFB" w:rsidRPr="00F45EFB">
        <w:rPr>
          <w:rFonts w:ascii="Times New Roman" w:hAnsi="Times New Roman" w:cs="Times New Roman"/>
          <w:lang w:val="en-US"/>
        </w:rPr>
        <w:t xml:space="preserve">High-Resolution Limited Area Model </w:t>
      </w:r>
      <w:r w:rsidR="00F45EFB">
        <w:rPr>
          <w:rFonts w:ascii="Times New Roman" w:hAnsi="Times New Roman" w:cs="Times New Roman"/>
          <w:lang w:val="en-US"/>
        </w:rPr>
        <w:t>(</w:t>
      </w:r>
      <w:proofErr w:type="spellStart"/>
      <w:r w:rsidR="00F45EFB">
        <w:rPr>
          <w:rFonts w:ascii="Times New Roman" w:hAnsi="Times New Roman" w:cs="Times New Roman"/>
          <w:lang w:val="en-US"/>
        </w:rPr>
        <w:t>HiRLAM</w:t>
      </w:r>
      <w:proofErr w:type="spellEnd"/>
      <w:r w:rsidR="00F45EFB">
        <w:rPr>
          <w:rFonts w:ascii="Times New Roman" w:hAnsi="Times New Roman" w:cs="Times New Roman"/>
          <w:lang w:val="en-US"/>
        </w:rPr>
        <w:t>)</w:t>
      </w:r>
      <w:r w:rsidR="006F0AE3">
        <w:rPr>
          <w:rFonts w:ascii="Times New Roman" w:hAnsi="Times New Roman" w:cs="Times New Roman"/>
          <w:lang w:val="en-US"/>
        </w:rPr>
        <w:t xml:space="preserve">. </w:t>
      </w:r>
      <w:r w:rsidR="00C01ADB">
        <w:rPr>
          <w:rFonts w:ascii="Times New Roman" w:hAnsi="Times New Roman" w:cs="Times New Roman"/>
          <w:lang w:val="en-US"/>
        </w:rPr>
        <w:t>For more information on the weather radars</w:t>
      </w:r>
      <w:r w:rsidR="00DF0020">
        <w:rPr>
          <w:rFonts w:ascii="Times New Roman" w:hAnsi="Times New Roman" w:cs="Times New Roman"/>
          <w:lang w:val="en-US"/>
        </w:rPr>
        <w:t xml:space="preserve">, </w:t>
      </w:r>
      <w:proofErr w:type="spellStart"/>
      <w:r w:rsidR="00DF0020">
        <w:rPr>
          <w:rFonts w:ascii="Times New Roman" w:hAnsi="Times New Roman" w:cs="Times New Roman"/>
          <w:lang w:val="en-US"/>
        </w:rPr>
        <w:t>HiRLAM</w:t>
      </w:r>
      <w:proofErr w:type="spellEnd"/>
      <w:r w:rsidR="00DF0020">
        <w:rPr>
          <w:rFonts w:ascii="Times New Roman" w:hAnsi="Times New Roman" w:cs="Times New Roman"/>
          <w:lang w:val="en-US"/>
        </w:rPr>
        <w:t xml:space="preserve"> and the MEHS modelling procedure, </w:t>
      </w:r>
      <w:r w:rsidR="00C01ADB">
        <w:rPr>
          <w:rFonts w:ascii="Times New Roman" w:hAnsi="Times New Roman" w:cs="Times New Roman"/>
          <w:lang w:val="en-US"/>
        </w:rPr>
        <w:t xml:space="preserve">the reader is referred to section </w:t>
      </w:r>
      <w:r w:rsidR="00AA3537">
        <w:rPr>
          <w:rFonts w:ascii="Times New Roman" w:hAnsi="Times New Roman" w:cs="Times New Roman"/>
          <w:lang w:val="en-US"/>
        </w:rPr>
        <w:t>3.1</w:t>
      </w:r>
      <w:r w:rsidR="00C01ADB">
        <w:rPr>
          <w:rFonts w:ascii="Times New Roman" w:hAnsi="Times New Roman" w:cs="Times New Roman"/>
          <w:lang w:val="en-US"/>
        </w:rPr>
        <w:t xml:space="preserve"> in </w:t>
      </w:r>
      <w:r w:rsidR="00AA3537">
        <w:rPr>
          <w:rFonts w:ascii="Times New Roman" w:hAnsi="Times New Roman" w:cs="Times New Roman"/>
          <w:lang w:val="en-US"/>
        </w:rPr>
        <w:t>Wouters</w:t>
      </w:r>
      <w:r w:rsidR="00C01ADB">
        <w:rPr>
          <w:rFonts w:ascii="Times New Roman" w:hAnsi="Times New Roman" w:cs="Times New Roman"/>
          <w:lang w:val="en-US"/>
        </w:rPr>
        <w:t xml:space="preserve"> et al. (201</w:t>
      </w:r>
      <w:r w:rsidR="00AA3537">
        <w:rPr>
          <w:rFonts w:ascii="Times New Roman" w:hAnsi="Times New Roman" w:cs="Times New Roman"/>
          <w:lang w:val="en-US"/>
        </w:rPr>
        <w:t>9</w:t>
      </w:r>
      <w:r w:rsidR="00C01ADB">
        <w:rPr>
          <w:rFonts w:ascii="Times New Roman" w:hAnsi="Times New Roman" w:cs="Times New Roman"/>
          <w:lang w:val="en-US"/>
        </w:rPr>
        <w:t>).</w:t>
      </w:r>
    </w:p>
    <w:p w14:paraId="6D2196E3" w14:textId="77777777" w:rsidR="0097222D" w:rsidRDefault="0097222D" w:rsidP="009A6748">
      <w:pPr>
        <w:spacing w:after="0"/>
        <w:rPr>
          <w:rFonts w:ascii="Times New Roman" w:hAnsi="Times New Roman" w:cs="Times New Roman"/>
          <w:lang w:val="en-US"/>
        </w:rPr>
      </w:pPr>
    </w:p>
    <w:p w14:paraId="06017199" w14:textId="77777777" w:rsidR="009A6748" w:rsidRDefault="009A6748" w:rsidP="009A6748">
      <w:pPr>
        <w:spacing w:after="0"/>
        <w:rPr>
          <w:rFonts w:ascii="Times New Roman" w:hAnsi="Times New Roman" w:cs="Times New Roman"/>
          <w:lang w:val="en-US"/>
        </w:rPr>
      </w:pPr>
      <w:r>
        <w:rPr>
          <w:rFonts w:ascii="Times New Roman" w:hAnsi="Times New Roman" w:cs="Times New Roman"/>
          <w:lang w:val="en-US"/>
        </w:rPr>
        <w:t>Wind gusts</w:t>
      </w:r>
    </w:p>
    <w:p w14:paraId="006F9EB4" w14:textId="77777777" w:rsidR="009A6748" w:rsidRDefault="009A6748" w:rsidP="009A6748">
      <w:pPr>
        <w:spacing w:after="0"/>
        <w:rPr>
          <w:rFonts w:ascii="Times New Roman" w:hAnsi="Times New Roman" w:cs="Times New Roman"/>
          <w:lang w:val="en-US"/>
        </w:rPr>
      </w:pPr>
      <w:r>
        <w:rPr>
          <w:rFonts w:ascii="Times New Roman" w:hAnsi="Times New Roman" w:cs="Times New Roman"/>
          <w:lang w:val="en-US"/>
        </w:rPr>
        <w:t>The aforementioned wind gust metric was derived from t</w:t>
      </w:r>
      <w:r w:rsidRPr="00FA18AD">
        <w:rPr>
          <w:rFonts w:ascii="Times New Roman" w:hAnsi="Times New Roman" w:cs="Times New Roman"/>
          <w:lang w:val="en-US"/>
        </w:rPr>
        <w:t>he Dutch Offshore Wind Atlas (DOWA)</w:t>
      </w:r>
      <w:r>
        <w:rPr>
          <w:rFonts w:ascii="Times New Roman" w:hAnsi="Times New Roman" w:cs="Times New Roman"/>
          <w:lang w:val="en-US"/>
        </w:rPr>
        <w:t xml:space="preserve"> and </w:t>
      </w:r>
      <w:r w:rsidRPr="00A75132">
        <w:rPr>
          <w:rFonts w:ascii="Times New Roman" w:hAnsi="Times New Roman" w:cs="Times New Roman"/>
          <w:lang w:val="en-US"/>
        </w:rPr>
        <w:t>Winds of the North Sea in 2050 (WINS50)</w:t>
      </w:r>
      <w:r>
        <w:rPr>
          <w:rFonts w:ascii="Times New Roman" w:hAnsi="Times New Roman" w:cs="Times New Roman"/>
          <w:lang w:val="en-US"/>
        </w:rPr>
        <w:t xml:space="preserve"> datasets (</w:t>
      </w:r>
      <w:proofErr w:type="spellStart"/>
      <w:r w:rsidRPr="000C6084">
        <w:rPr>
          <w:rFonts w:ascii="Times New Roman" w:hAnsi="Times New Roman" w:cs="Times New Roman"/>
          <w:lang w:val="en-US"/>
        </w:rPr>
        <w:t>Koninklijk</w:t>
      </w:r>
      <w:proofErr w:type="spellEnd"/>
      <w:r w:rsidRPr="000C6084">
        <w:rPr>
          <w:rFonts w:ascii="Times New Roman" w:hAnsi="Times New Roman" w:cs="Times New Roman"/>
          <w:lang w:val="en-US"/>
        </w:rPr>
        <w:t xml:space="preserve"> </w:t>
      </w:r>
      <w:proofErr w:type="spellStart"/>
      <w:r w:rsidRPr="000C6084">
        <w:rPr>
          <w:rFonts w:ascii="Times New Roman" w:hAnsi="Times New Roman" w:cs="Times New Roman"/>
          <w:lang w:val="en-US"/>
        </w:rPr>
        <w:t>Nederlands</w:t>
      </w:r>
      <w:proofErr w:type="spellEnd"/>
      <w:r w:rsidRPr="000C6084">
        <w:rPr>
          <w:rFonts w:ascii="Times New Roman" w:hAnsi="Times New Roman" w:cs="Times New Roman"/>
          <w:lang w:val="en-US"/>
        </w:rPr>
        <w:t xml:space="preserve"> </w:t>
      </w:r>
      <w:proofErr w:type="spellStart"/>
      <w:r w:rsidRPr="000C6084">
        <w:rPr>
          <w:rFonts w:ascii="Times New Roman" w:hAnsi="Times New Roman" w:cs="Times New Roman"/>
          <w:lang w:val="en-US"/>
        </w:rPr>
        <w:t>Meteorologisch</w:t>
      </w:r>
      <w:proofErr w:type="spellEnd"/>
      <w:r w:rsidRPr="000C6084">
        <w:rPr>
          <w:rFonts w:ascii="Times New Roman" w:hAnsi="Times New Roman" w:cs="Times New Roman"/>
          <w:lang w:val="en-US"/>
        </w:rPr>
        <w:t xml:space="preserve"> </w:t>
      </w:r>
      <w:proofErr w:type="spellStart"/>
      <w:r w:rsidRPr="000C6084">
        <w:rPr>
          <w:rFonts w:ascii="Times New Roman" w:hAnsi="Times New Roman" w:cs="Times New Roman"/>
          <w:lang w:val="en-US"/>
        </w:rPr>
        <w:t>Instituut</w:t>
      </w:r>
      <w:proofErr w:type="spellEnd"/>
      <w:r>
        <w:rPr>
          <w:rFonts w:ascii="Times New Roman" w:hAnsi="Times New Roman" w:cs="Times New Roman"/>
          <w:lang w:val="en-US"/>
        </w:rPr>
        <w:t xml:space="preserve"> [KNMI], 2018; KNMI, 2019; KNMI, 2022). These are regional reanalysis based wind climatology datasets containing time series of hourly information on the wind speed, wind direction, temperature, pressure and relative humidity </w:t>
      </w:r>
      <w:r w:rsidRPr="00D75A2B">
        <w:rPr>
          <w:rFonts w:ascii="Times New Roman" w:hAnsi="Times New Roman" w:cs="Times New Roman"/>
          <w:lang w:val="en-US"/>
        </w:rPr>
        <w:t xml:space="preserve">at </w:t>
      </w:r>
      <w:r>
        <w:rPr>
          <w:rFonts w:ascii="Times New Roman" w:hAnsi="Times New Roman" w:cs="Times New Roman"/>
          <w:lang w:val="en-US"/>
        </w:rPr>
        <w:t xml:space="preserve">10 m to 600 m and for </w:t>
      </w:r>
      <w:r w:rsidRPr="00D75A2B">
        <w:rPr>
          <w:rFonts w:ascii="Times New Roman" w:hAnsi="Times New Roman" w:cs="Times New Roman"/>
          <w:lang w:val="en-US"/>
        </w:rPr>
        <w:t xml:space="preserve">a </w:t>
      </w:r>
      <w:r>
        <w:rPr>
          <w:rFonts w:ascii="Times New Roman" w:hAnsi="Times New Roman" w:cs="Times New Roman"/>
          <w:lang w:val="en-US"/>
        </w:rPr>
        <w:t>horizontal resolution of 2.5</w:t>
      </w:r>
      <w:r w:rsidRPr="00D75A2B">
        <w:rPr>
          <w:rFonts w:ascii="Times New Roman" w:hAnsi="Times New Roman" w:cs="Times New Roman"/>
          <w:lang w:val="en-US"/>
        </w:rPr>
        <w:t xml:space="preserve"> km</w:t>
      </w:r>
      <w:r>
        <w:rPr>
          <w:rFonts w:ascii="Times New Roman" w:hAnsi="Times New Roman" w:cs="Times New Roman"/>
          <w:lang w:val="en-US"/>
        </w:rPr>
        <w:t xml:space="preserve">. The reanalysis is based on the numerical weather prediction model </w:t>
      </w:r>
      <w:r w:rsidRPr="00C50374">
        <w:rPr>
          <w:rFonts w:ascii="Times New Roman" w:hAnsi="Times New Roman" w:cs="Times New Roman"/>
          <w:lang w:val="en-US"/>
        </w:rPr>
        <w:t xml:space="preserve">HARMONIE-AROME </w:t>
      </w:r>
      <w:r>
        <w:rPr>
          <w:rFonts w:ascii="Times New Roman" w:hAnsi="Times New Roman" w:cs="Times New Roman"/>
          <w:lang w:val="en-US"/>
        </w:rPr>
        <w:t xml:space="preserve">which is </w:t>
      </w:r>
      <w:r w:rsidRPr="00C50374">
        <w:rPr>
          <w:rFonts w:ascii="Times New Roman" w:hAnsi="Times New Roman" w:cs="Times New Roman"/>
          <w:lang w:val="en-US"/>
        </w:rPr>
        <w:t xml:space="preserve">nested in the </w:t>
      </w:r>
      <w:r w:rsidRPr="00EC2BE1">
        <w:rPr>
          <w:rFonts w:ascii="Times New Roman" w:hAnsi="Times New Roman" w:cs="Times New Roman"/>
          <w:lang w:val="en-US"/>
        </w:rPr>
        <w:t xml:space="preserve">European Centre for Medium-Range Weather Forecasts </w:t>
      </w:r>
      <w:r>
        <w:rPr>
          <w:rFonts w:ascii="Times New Roman" w:hAnsi="Times New Roman" w:cs="Times New Roman"/>
          <w:lang w:val="en-US"/>
        </w:rPr>
        <w:t>(</w:t>
      </w:r>
      <w:r w:rsidRPr="00C50374">
        <w:rPr>
          <w:rFonts w:ascii="Times New Roman" w:hAnsi="Times New Roman" w:cs="Times New Roman"/>
          <w:lang w:val="en-US"/>
        </w:rPr>
        <w:t>ECMWF</w:t>
      </w:r>
      <w:r>
        <w:rPr>
          <w:rFonts w:ascii="Times New Roman" w:hAnsi="Times New Roman" w:cs="Times New Roman"/>
          <w:lang w:val="en-US"/>
        </w:rPr>
        <w:t>)</w:t>
      </w:r>
      <w:r w:rsidRPr="00C50374">
        <w:rPr>
          <w:rFonts w:ascii="Times New Roman" w:hAnsi="Times New Roman" w:cs="Times New Roman"/>
          <w:lang w:val="en-US"/>
        </w:rPr>
        <w:t xml:space="preserve"> reanalysis ERA5</w:t>
      </w:r>
      <w:r>
        <w:rPr>
          <w:rFonts w:ascii="Times New Roman" w:hAnsi="Times New Roman" w:cs="Times New Roman"/>
          <w:lang w:val="en-US"/>
        </w:rPr>
        <w:t xml:space="preserve">. The daily maximum 3-second wind gust in a 10-minute period at 10 m height is approximated by the hourly average wind speed at 140 m as per derivation from van den Brink (2019) who validated this relationship with empirical observations. For more information on the numerical weather prediction model </w:t>
      </w:r>
      <w:r w:rsidRPr="00C50374">
        <w:rPr>
          <w:rFonts w:ascii="Times New Roman" w:hAnsi="Times New Roman" w:cs="Times New Roman"/>
          <w:lang w:val="en-US"/>
        </w:rPr>
        <w:t>HARMONIE-AROME</w:t>
      </w:r>
      <w:r>
        <w:rPr>
          <w:rFonts w:ascii="Times New Roman" w:hAnsi="Times New Roman" w:cs="Times New Roman"/>
          <w:lang w:val="en-US"/>
        </w:rPr>
        <w:t xml:space="preserve">, the reader is referred to the websites of both wind climatology datasets: </w:t>
      </w:r>
    </w:p>
    <w:p w14:paraId="552801A2" w14:textId="77777777" w:rsidR="009A6748" w:rsidRPr="00C0627E" w:rsidRDefault="009A6748" w:rsidP="009A6748">
      <w:pPr>
        <w:spacing w:after="0"/>
        <w:rPr>
          <w:rFonts w:ascii="Times New Roman" w:hAnsi="Times New Roman" w:cs="Times New Roman"/>
          <w:lang w:val="en-US"/>
        </w:rPr>
      </w:pPr>
      <w:r w:rsidRPr="00C0627E">
        <w:rPr>
          <w:rFonts w:ascii="Times New Roman" w:hAnsi="Times New Roman" w:cs="Times New Roman"/>
          <w:lang w:val="en-US"/>
        </w:rPr>
        <w:t xml:space="preserve">https://www.dutchoffshorewindatlas.nl/ </w:t>
      </w:r>
    </w:p>
    <w:p w14:paraId="7AD37E10" w14:textId="77777777" w:rsidR="009A6748" w:rsidRPr="004D2D62" w:rsidRDefault="009A6748" w:rsidP="009A6748">
      <w:pPr>
        <w:spacing w:after="0"/>
        <w:rPr>
          <w:rFonts w:ascii="Times New Roman" w:hAnsi="Times New Roman" w:cs="Times New Roman"/>
          <w:lang w:val="en-US"/>
        </w:rPr>
      </w:pPr>
      <w:hyperlink r:id="rId6" w:history="1">
        <w:r w:rsidRPr="004D2D62">
          <w:rPr>
            <w:rStyle w:val="Hyperlink"/>
            <w:rFonts w:ascii="Times New Roman" w:hAnsi="Times New Roman" w:cs="Times New Roman"/>
            <w:lang w:val="en-US"/>
          </w:rPr>
          <w:t>https://www.wins50.nl/</w:t>
        </w:r>
      </w:hyperlink>
    </w:p>
    <w:p w14:paraId="1E982BCB" w14:textId="77777777" w:rsidR="009A6748" w:rsidRDefault="009A6748" w:rsidP="009A6748">
      <w:pPr>
        <w:spacing w:after="0"/>
        <w:rPr>
          <w:rFonts w:ascii="Times New Roman" w:hAnsi="Times New Roman" w:cs="Times New Roman"/>
          <w:lang w:val="en-US"/>
        </w:rPr>
      </w:pPr>
    </w:p>
    <w:p w14:paraId="4ED4C783" w14:textId="77777777" w:rsidR="009A6748" w:rsidRDefault="009A6748" w:rsidP="009A6748">
      <w:pPr>
        <w:spacing w:after="0"/>
        <w:rPr>
          <w:rFonts w:ascii="Times New Roman" w:hAnsi="Times New Roman" w:cs="Times New Roman"/>
          <w:lang w:val="en-US"/>
        </w:rPr>
      </w:pPr>
      <w:r>
        <w:rPr>
          <w:rFonts w:ascii="Times New Roman" w:hAnsi="Times New Roman" w:cs="Times New Roman"/>
          <w:lang w:val="en-US"/>
        </w:rPr>
        <w:t>Precipitation</w:t>
      </w:r>
    </w:p>
    <w:p w14:paraId="53F6D257" w14:textId="00BB7861" w:rsidR="009A6748" w:rsidRPr="00D75A2B" w:rsidRDefault="009A6748" w:rsidP="009A6748">
      <w:pPr>
        <w:spacing w:after="0"/>
        <w:rPr>
          <w:rFonts w:ascii="Times New Roman" w:hAnsi="Times New Roman" w:cs="Times New Roman"/>
          <w:lang w:val="en-US"/>
        </w:rPr>
      </w:pPr>
      <w:r>
        <w:rPr>
          <w:rFonts w:ascii="Times New Roman" w:hAnsi="Times New Roman" w:cs="Times New Roman"/>
          <w:lang w:val="en-US"/>
        </w:rPr>
        <w:t>The aforementioned precipitation metrics were derived from a climatological</w:t>
      </w:r>
      <w:r w:rsidRPr="00D75A2B">
        <w:rPr>
          <w:rFonts w:ascii="Times New Roman" w:hAnsi="Times New Roman" w:cs="Times New Roman"/>
          <w:lang w:val="en-US"/>
        </w:rPr>
        <w:t xml:space="preserve"> radar rainfall dataset </w:t>
      </w:r>
      <w:r>
        <w:rPr>
          <w:rFonts w:ascii="Times New Roman" w:hAnsi="Times New Roman" w:cs="Times New Roman"/>
          <w:lang w:val="en-US"/>
        </w:rPr>
        <w:t>containing time series of</w:t>
      </w:r>
      <w:r w:rsidRPr="00D75A2B">
        <w:rPr>
          <w:rFonts w:ascii="Times New Roman" w:hAnsi="Times New Roman" w:cs="Times New Roman"/>
          <w:lang w:val="en-US"/>
        </w:rPr>
        <w:t xml:space="preserve"> </w:t>
      </w:r>
      <w:r>
        <w:rPr>
          <w:rFonts w:ascii="Times New Roman" w:hAnsi="Times New Roman" w:cs="Times New Roman"/>
          <w:lang w:val="en-US"/>
        </w:rPr>
        <w:t>one</w:t>
      </w:r>
      <w:r w:rsidRPr="00D75A2B">
        <w:rPr>
          <w:rFonts w:ascii="Times New Roman" w:hAnsi="Times New Roman" w:cs="Times New Roman"/>
          <w:lang w:val="en-US"/>
        </w:rPr>
        <w:t xml:space="preserve"> hour precipitation depths at a </w:t>
      </w:r>
      <w:r>
        <w:rPr>
          <w:rFonts w:ascii="Times New Roman" w:hAnsi="Times New Roman" w:cs="Times New Roman"/>
          <w:lang w:val="en-US"/>
        </w:rPr>
        <w:t xml:space="preserve">horizontal resolution of </w:t>
      </w:r>
      <w:r w:rsidRPr="00D75A2B">
        <w:rPr>
          <w:rFonts w:ascii="Times New Roman" w:hAnsi="Times New Roman" w:cs="Times New Roman"/>
          <w:lang w:val="en-US"/>
        </w:rPr>
        <w:t>1 km, which have been adjusted employing validated and complete rain gauge data from KNMI rain gauge networks</w:t>
      </w:r>
      <w:r>
        <w:rPr>
          <w:rFonts w:ascii="Times New Roman" w:hAnsi="Times New Roman" w:cs="Times New Roman"/>
          <w:lang w:val="en-US"/>
        </w:rPr>
        <w:t xml:space="preserve"> (KNMI, 2017). The rainfall dataset covers the entire land surface of the Netherlands and is updated on a monthly basis. The daily maximum one-hour cumulative precipitation equals the maximum one</w:t>
      </w:r>
      <w:r w:rsidRPr="00D75A2B">
        <w:rPr>
          <w:rFonts w:ascii="Times New Roman" w:hAnsi="Times New Roman" w:cs="Times New Roman"/>
          <w:lang w:val="en-US"/>
        </w:rPr>
        <w:t xml:space="preserve"> hour precipitation depth</w:t>
      </w:r>
      <w:r w:rsidR="009B3D74">
        <w:rPr>
          <w:rFonts w:ascii="Times New Roman" w:hAnsi="Times New Roman" w:cs="Times New Roman"/>
          <w:lang w:val="en-US"/>
        </w:rPr>
        <w:t>,</w:t>
      </w:r>
      <w:r>
        <w:rPr>
          <w:rFonts w:ascii="Times New Roman" w:hAnsi="Times New Roman" w:cs="Times New Roman"/>
          <w:lang w:val="en-US"/>
        </w:rPr>
        <w:t xml:space="preserve"> </w:t>
      </w:r>
      <w:r w:rsidR="0054601D">
        <w:rPr>
          <w:rFonts w:ascii="Times New Roman" w:hAnsi="Times New Roman" w:cs="Times New Roman"/>
          <w:lang w:val="en-US"/>
        </w:rPr>
        <w:t>measured between each full hour</w:t>
      </w:r>
      <w:r w:rsidR="009B3D74">
        <w:rPr>
          <w:rFonts w:ascii="Times New Roman" w:hAnsi="Times New Roman" w:cs="Times New Roman"/>
          <w:lang w:val="en-US"/>
        </w:rPr>
        <w:t>,</w:t>
      </w:r>
      <w:r>
        <w:rPr>
          <w:rFonts w:ascii="Times New Roman" w:hAnsi="Times New Roman" w:cs="Times New Roman"/>
          <w:lang w:val="en-US"/>
        </w:rPr>
        <w:t xml:space="preserve"> over 24 hours between 00:00 </w:t>
      </w:r>
      <w:r w:rsidR="00E0665A">
        <w:rPr>
          <w:rFonts w:ascii="Times New Roman" w:hAnsi="Times New Roman" w:cs="Times New Roman"/>
          <w:lang w:val="en-US"/>
        </w:rPr>
        <w:t xml:space="preserve">AM </w:t>
      </w:r>
      <w:r>
        <w:rPr>
          <w:rFonts w:ascii="Times New Roman" w:hAnsi="Times New Roman" w:cs="Times New Roman"/>
          <w:lang w:val="en-US"/>
        </w:rPr>
        <w:t xml:space="preserve">and </w:t>
      </w:r>
      <w:r w:rsidR="00C93575">
        <w:rPr>
          <w:rFonts w:ascii="Times New Roman" w:hAnsi="Times New Roman" w:cs="Times New Roman"/>
          <w:lang w:val="en-US"/>
        </w:rPr>
        <w:t xml:space="preserve">23:59 </w:t>
      </w:r>
      <w:r w:rsidR="00E0665A">
        <w:rPr>
          <w:rFonts w:ascii="Times New Roman" w:hAnsi="Times New Roman" w:cs="Times New Roman"/>
          <w:lang w:val="en-US"/>
        </w:rPr>
        <w:t xml:space="preserve">PM </w:t>
      </w:r>
      <w:r>
        <w:rPr>
          <w:rFonts w:ascii="Times New Roman" w:hAnsi="Times New Roman" w:cs="Times New Roman"/>
          <w:lang w:val="en-US"/>
        </w:rPr>
        <w:t>UTC. The daily 24-hour cumulative precipitation equals the sum of these one</w:t>
      </w:r>
      <w:r w:rsidRPr="00D75A2B">
        <w:rPr>
          <w:rFonts w:ascii="Times New Roman" w:hAnsi="Times New Roman" w:cs="Times New Roman"/>
          <w:lang w:val="en-US"/>
        </w:rPr>
        <w:t xml:space="preserve"> hour precipitation depth</w:t>
      </w:r>
      <w:r>
        <w:rPr>
          <w:rFonts w:ascii="Times New Roman" w:hAnsi="Times New Roman" w:cs="Times New Roman"/>
          <w:lang w:val="en-US"/>
        </w:rPr>
        <w:t>s. For more information on the weather radars, the rain gauge network and the derivation of the one</w:t>
      </w:r>
      <w:r w:rsidRPr="00D75A2B">
        <w:rPr>
          <w:rFonts w:ascii="Times New Roman" w:hAnsi="Times New Roman" w:cs="Times New Roman"/>
          <w:lang w:val="en-US"/>
        </w:rPr>
        <w:t xml:space="preserve"> hour precipitation depths</w:t>
      </w:r>
      <w:r>
        <w:rPr>
          <w:rFonts w:ascii="Times New Roman" w:hAnsi="Times New Roman" w:cs="Times New Roman"/>
          <w:lang w:val="en-US"/>
        </w:rPr>
        <w:t xml:space="preserve"> from these data sources, the reader is referred to section 2.3 in Overeem et al. (2011).</w:t>
      </w:r>
    </w:p>
    <w:p w14:paraId="04C83D6D" w14:textId="4F9C1DAD" w:rsidR="00FC6743" w:rsidRPr="009A3C59" w:rsidRDefault="00FC6743">
      <w:pPr>
        <w:rPr>
          <w:b/>
          <w:bCs/>
          <w:lang w:val="en-US"/>
        </w:rPr>
        <w:sectPr w:rsidR="00FC6743" w:rsidRPr="009A3C59" w:rsidSect="00604E1F">
          <w:footerReference w:type="default" r:id="rId7"/>
          <w:pgSz w:w="11906" w:h="16838"/>
          <w:pgMar w:top="1417" w:right="1417" w:bottom="1417" w:left="1417" w:header="708" w:footer="708" w:gutter="0"/>
          <w:cols w:space="708"/>
          <w:docGrid w:linePitch="360"/>
        </w:sectPr>
      </w:pPr>
    </w:p>
    <w:p w14:paraId="1090B144" w14:textId="401AA49F" w:rsidR="00052B24" w:rsidRPr="00443F1E" w:rsidRDefault="00AA305B" w:rsidP="00052B24">
      <w:pPr>
        <w:spacing w:after="0"/>
        <w:rPr>
          <w:rFonts w:ascii="Times New Roman" w:hAnsi="Times New Roman" w:cs="Times New Roman"/>
          <w:lang w:val="en-US"/>
        </w:rPr>
      </w:pPr>
      <w:r w:rsidRPr="000D20EF">
        <w:rPr>
          <w:rFonts w:ascii="Times New Roman" w:hAnsi="Times New Roman" w:cs="Times New Roman"/>
          <w:lang w:val="en-US"/>
        </w:rPr>
        <w:lastRenderedPageBreak/>
        <w:t>Figure  S</w:t>
      </w:r>
      <w:r w:rsidR="00007083">
        <w:rPr>
          <w:rFonts w:ascii="Times New Roman" w:hAnsi="Times New Roman" w:cs="Times New Roman"/>
          <w:lang w:val="en-US"/>
        </w:rPr>
        <w:t>1</w:t>
      </w:r>
    </w:p>
    <w:p w14:paraId="4DA2EB87" w14:textId="4529432A" w:rsidR="00056F99" w:rsidRPr="00056F99" w:rsidRDefault="00056F99" w:rsidP="00056F99">
      <w:pPr>
        <w:spacing w:after="0"/>
        <w:rPr>
          <w:rFonts w:ascii="Times New Roman" w:eastAsia="Times New Roman" w:hAnsi="Times New Roman" w:cs="Times New Roman"/>
          <w:sz w:val="24"/>
          <w:szCs w:val="24"/>
          <w:lang w:eastAsia="nl-NL"/>
        </w:rPr>
      </w:pPr>
      <w:r w:rsidRPr="00056F99">
        <w:rPr>
          <w:rFonts w:ascii="Times New Roman" w:eastAsia="Times New Roman" w:hAnsi="Times New Roman" w:cs="Times New Roman"/>
          <w:noProof/>
          <w:sz w:val="24"/>
          <w:szCs w:val="24"/>
          <w:lang w:eastAsia="nl-NL"/>
        </w:rPr>
        <w:drawing>
          <wp:inline distT="0" distB="0" distL="0" distR="0" wp14:anchorId="0E257269" wp14:editId="5839FF97">
            <wp:extent cx="8892000" cy="4443460"/>
            <wp:effectExtent l="0" t="0" r="4445" b="0"/>
            <wp:docPr id="2084538674" name="Afbeelding 1" descr="Afbeelding met teks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38674" name="Afbeelding 1" descr="Afbeelding met tekst, schermopname&#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2000" cy="4443460"/>
                    </a:xfrm>
                    <a:prstGeom prst="rect">
                      <a:avLst/>
                    </a:prstGeom>
                    <a:noFill/>
                    <a:ln>
                      <a:noFill/>
                    </a:ln>
                  </pic:spPr>
                </pic:pic>
              </a:graphicData>
            </a:graphic>
          </wp:inline>
        </w:drawing>
      </w:r>
    </w:p>
    <w:p w14:paraId="1B5616FA" w14:textId="48DFAF93" w:rsidR="00700177" w:rsidRDefault="00443F1E" w:rsidP="00FC6743">
      <w:pPr>
        <w:spacing w:after="0"/>
        <w:rPr>
          <w:rFonts w:ascii="Times New Roman" w:hAnsi="Times New Roman" w:cs="Times New Roman"/>
          <w:sz w:val="20"/>
          <w:szCs w:val="20"/>
          <w:lang w:val="en-US"/>
        </w:rPr>
      </w:pPr>
      <w:r w:rsidRPr="006107B1">
        <w:rPr>
          <w:rFonts w:ascii="Times New Roman" w:hAnsi="Times New Roman" w:cs="Times New Roman"/>
          <w:sz w:val="20"/>
          <w:szCs w:val="20"/>
          <w:highlight w:val="yellow"/>
          <w:lang w:val="en-US"/>
        </w:rPr>
        <w:t xml:space="preserve">This figure shows the observed damage ratio values against the fitted values (i.e. the expected damage ratio estimates) of the </w:t>
      </w:r>
      <w:r w:rsidRPr="006107B1">
        <w:rPr>
          <w:rFonts w:ascii="Times New Roman" w:hAnsi="Times New Roman" w:cs="Times New Roman"/>
          <w:i/>
          <w:iCs/>
          <w:sz w:val="20"/>
          <w:szCs w:val="20"/>
          <w:highlight w:val="yellow"/>
          <w:lang w:val="en-US"/>
        </w:rPr>
        <w:t>compound vulnerability function</w:t>
      </w:r>
      <w:r w:rsidRPr="006107B1">
        <w:rPr>
          <w:rFonts w:ascii="Times New Roman" w:hAnsi="Times New Roman" w:cs="Times New Roman"/>
          <w:sz w:val="20"/>
          <w:szCs w:val="20"/>
          <w:highlight w:val="yellow"/>
          <w:lang w:val="en-US"/>
        </w:rPr>
        <w:t>. The dashed green line represents the diagonal reference line, which is designed to help identify the agreement between the observed damage ratio values and the expected damage ratio estimates. The red line is a smooth fit to the observed damage ratio values, reflecting their moving average. The expected damage ratio estimates correspond to the observed mean damage ratios when the red line overlaps with the dashed green reference line. The smooth fit is slightly higher than the reference line at higher fitted values, indicating that the model has a tendency to underestimate mean damage ratios at higher fitted values. Nonetheless, the figure shows that the model accurately predicts mean damage ratios as the observed mean damage ratios and the expected damage ratio</w:t>
      </w:r>
      <w:r w:rsidR="00C922BD">
        <w:rPr>
          <w:rFonts w:ascii="Times New Roman" w:hAnsi="Times New Roman" w:cs="Times New Roman"/>
          <w:sz w:val="20"/>
          <w:szCs w:val="20"/>
          <w:highlight w:val="yellow"/>
          <w:lang w:val="en-US"/>
        </w:rPr>
        <w:t xml:space="preserve"> estimate</w:t>
      </w:r>
      <w:r w:rsidRPr="006107B1">
        <w:rPr>
          <w:rFonts w:ascii="Times New Roman" w:hAnsi="Times New Roman" w:cs="Times New Roman"/>
          <w:sz w:val="20"/>
          <w:szCs w:val="20"/>
          <w:highlight w:val="yellow"/>
          <w:lang w:val="en-US"/>
        </w:rPr>
        <w:t>s mostly coincide. However, the figure also highlights that the</w:t>
      </w:r>
      <w:r w:rsidR="001A653D">
        <w:rPr>
          <w:rFonts w:ascii="Times New Roman" w:hAnsi="Times New Roman" w:cs="Times New Roman"/>
          <w:sz w:val="20"/>
          <w:szCs w:val="20"/>
          <w:highlight w:val="yellow"/>
          <w:lang w:val="en-US"/>
        </w:rPr>
        <w:t xml:space="preserve"> model</w:t>
      </w:r>
      <w:r w:rsidRPr="006107B1">
        <w:rPr>
          <w:rFonts w:ascii="Times New Roman" w:hAnsi="Times New Roman" w:cs="Times New Roman"/>
          <w:sz w:val="20"/>
          <w:szCs w:val="20"/>
          <w:highlight w:val="yellow"/>
          <w:lang w:val="en-US"/>
        </w:rPr>
        <w:t xml:space="preserve"> is unable to accurately predict the damage ratio for individual residential buildings as the variation in observed damage ratio values (per fitted value) is large.</w:t>
      </w:r>
      <w:r w:rsidRPr="00443F1E">
        <w:rPr>
          <w:rFonts w:ascii="Times New Roman" w:hAnsi="Times New Roman" w:cs="Times New Roman"/>
          <w:sz w:val="20"/>
          <w:szCs w:val="20"/>
          <w:lang w:val="en-US"/>
        </w:rPr>
        <w:t xml:space="preserve"> </w:t>
      </w:r>
    </w:p>
    <w:p w14:paraId="30671EE2" w14:textId="459F1D0E" w:rsidR="00B317D0" w:rsidRPr="00850A9D" w:rsidRDefault="00B317D0" w:rsidP="00FC6743">
      <w:pPr>
        <w:spacing w:after="0"/>
        <w:rPr>
          <w:rFonts w:ascii="Times New Roman" w:hAnsi="Times New Roman" w:cs="Times New Roman"/>
          <w:sz w:val="20"/>
          <w:szCs w:val="20"/>
          <w:lang w:val="en-US"/>
        </w:rPr>
      </w:pPr>
      <w:r w:rsidRPr="000D20EF">
        <w:rPr>
          <w:rFonts w:ascii="Times New Roman" w:hAnsi="Times New Roman" w:cs="Times New Roman"/>
          <w:lang w:val="en-US"/>
        </w:rPr>
        <w:lastRenderedPageBreak/>
        <w:t>Figure  S</w:t>
      </w:r>
      <w:r w:rsidR="00007083">
        <w:rPr>
          <w:rFonts w:ascii="Times New Roman" w:hAnsi="Times New Roman" w:cs="Times New Roman"/>
          <w:lang w:val="en-US"/>
        </w:rPr>
        <w:t>2</w:t>
      </w:r>
    </w:p>
    <w:p w14:paraId="07F38ED4" w14:textId="56D1F354" w:rsidR="00BF16CA" w:rsidRPr="00BF16CA" w:rsidRDefault="00BF16CA" w:rsidP="00BF16CA">
      <w:pPr>
        <w:spacing w:after="0"/>
        <w:rPr>
          <w:rFonts w:ascii="Times New Roman" w:hAnsi="Times New Roman" w:cs="Times New Roman"/>
        </w:rPr>
      </w:pPr>
      <w:r w:rsidRPr="00BF16CA">
        <w:rPr>
          <w:rFonts w:ascii="Times New Roman" w:hAnsi="Times New Roman" w:cs="Times New Roman"/>
          <w:noProof/>
        </w:rPr>
        <w:drawing>
          <wp:inline distT="0" distB="0" distL="0" distR="0" wp14:anchorId="06B5CFDA" wp14:editId="042D1350">
            <wp:extent cx="8891270" cy="4443095"/>
            <wp:effectExtent l="0" t="0" r="5080" b="0"/>
            <wp:docPr id="1244448641" name="Afbeelding 2" descr="Afbeelding met teks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48641" name="Afbeelding 2" descr="Afbeelding met tekst, schermopname&#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1270" cy="4443095"/>
                    </a:xfrm>
                    <a:prstGeom prst="rect">
                      <a:avLst/>
                    </a:prstGeom>
                    <a:noFill/>
                    <a:ln>
                      <a:noFill/>
                    </a:ln>
                  </pic:spPr>
                </pic:pic>
              </a:graphicData>
            </a:graphic>
          </wp:inline>
        </w:drawing>
      </w:r>
    </w:p>
    <w:p w14:paraId="3FECC0A6" w14:textId="6382364D" w:rsidR="00700177" w:rsidRDefault="00E279D2" w:rsidP="00FC6743">
      <w:pPr>
        <w:spacing w:after="0"/>
        <w:rPr>
          <w:rFonts w:ascii="Times New Roman" w:hAnsi="Times New Roman" w:cs="Times New Roman"/>
          <w:sz w:val="18"/>
          <w:szCs w:val="18"/>
          <w:lang w:val="en-US"/>
        </w:rPr>
      </w:pPr>
      <w:r w:rsidRPr="00850A9D">
        <w:rPr>
          <w:rFonts w:ascii="Times New Roman" w:hAnsi="Times New Roman" w:cs="Times New Roman"/>
          <w:sz w:val="20"/>
          <w:szCs w:val="20"/>
          <w:lang w:val="en-US"/>
        </w:rPr>
        <w:t xml:space="preserve">This figure shows the </w:t>
      </w:r>
      <w:r w:rsidRPr="004669AE">
        <w:rPr>
          <w:rFonts w:ascii="Times New Roman" w:hAnsi="Times New Roman" w:cs="Times New Roman"/>
          <w:sz w:val="20"/>
          <w:szCs w:val="20"/>
          <w:lang w:val="en-US"/>
        </w:rPr>
        <w:t xml:space="preserve">Pearson residuals against the fitted values (i.e. the expected damage ratio estimates) of the </w:t>
      </w:r>
      <w:r w:rsidRPr="004669AE">
        <w:rPr>
          <w:rFonts w:ascii="Times New Roman" w:hAnsi="Times New Roman" w:cs="Times New Roman"/>
          <w:i/>
          <w:iCs/>
          <w:sz w:val="20"/>
          <w:szCs w:val="20"/>
          <w:lang w:val="en-US"/>
        </w:rPr>
        <w:t>compound vulnerability function</w:t>
      </w:r>
      <w:r w:rsidRPr="004669AE">
        <w:rPr>
          <w:rFonts w:ascii="Times New Roman" w:hAnsi="Times New Roman" w:cs="Times New Roman"/>
          <w:sz w:val="20"/>
          <w:szCs w:val="20"/>
          <w:lang w:val="en-US"/>
        </w:rPr>
        <w:t xml:space="preserve">. </w:t>
      </w:r>
      <w:r w:rsidR="005D692D" w:rsidRPr="006107B1">
        <w:rPr>
          <w:rFonts w:ascii="Times New Roman" w:hAnsi="Times New Roman" w:cs="Times New Roman"/>
          <w:sz w:val="20"/>
          <w:szCs w:val="20"/>
          <w:highlight w:val="yellow"/>
          <w:lang w:val="en-US"/>
        </w:rPr>
        <w:t xml:space="preserve">The dashed green line represents </w:t>
      </w:r>
      <w:r w:rsidR="00944EA3">
        <w:rPr>
          <w:rFonts w:ascii="Times New Roman" w:hAnsi="Times New Roman" w:cs="Times New Roman"/>
          <w:sz w:val="20"/>
          <w:szCs w:val="20"/>
          <w:highlight w:val="yellow"/>
          <w:lang w:val="en-US"/>
        </w:rPr>
        <w:t>a</w:t>
      </w:r>
      <w:r w:rsidR="005D692D" w:rsidRPr="006107B1">
        <w:rPr>
          <w:rFonts w:ascii="Times New Roman" w:hAnsi="Times New Roman" w:cs="Times New Roman"/>
          <w:sz w:val="20"/>
          <w:szCs w:val="20"/>
          <w:highlight w:val="yellow"/>
          <w:lang w:val="en-US"/>
        </w:rPr>
        <w:t xml:space="preserve"> reference line</w:t>
      </w:r>
      <w:r w:rsidR="00944EA3">
        <w:rPr>
          <w:rFonts w:ascii="Times New Roman" w:hAnsi="Times New Roman" w:cs="Times New Roman"/>
          <w:sz w:val="20"/>
          <w:szCs w:val="20"/>
          <w:highlight w:val="yellow"/>
          <w:lang w:val="en-US"/>
        </w:rPr>
        <w:t xml:space="preserve"> </w:t>
      </w:r>
      <w:r w:rsidR="00C2085E">
        <w:rPr>
          <w:rFonts w:ascii="Times New Roman" w:hAnsi="Times New Roman" w:cs="Times New Roman"/>
          <w:sz w:val="20"/>
          <w:szCs w:val="20"/>
          <w:highlight w:val="yellow"/>
          <w:lang w:val="en-US"/>
        </w:rPr>
        <w:t xml:space="preserve">at Pearson residuals </w:t>
      </w:r>
      <w:r w:rsidR="0009159D">
        <w:rPr>
          <w:rFonts w:ascii="Times New Roman" w:hAnsi="Times New Roman" w:cs="Times New Roman"/>
          <w:sz w:val="20"/>
          <w:szCs w:val="20"/>
          <w:highlight w:val="yellow"/>
          <w:lang w:val="en-US"/>
        </w:rPr>
        <w:t>equaling zero</w:t>
      </w:r>
      <w:r w:rsidR="002B329C" w:rsidRPr="004669AE">
        <w:rPr>
          <w:rFonts w:ascii="Times New Roman" w:hAnsi="Times New Roman" w:cs="Times New Roman"/>
          <w:sz w:val="20"/>
          <w:szCs w:val="20"/>
          <w:lang w:val="en-US"/>
        </w:rPr>
        <w:t>,</w:t>
      </w:r>
      <w:r w:rsidR="002B329C" w:rsidRPr="00850A9D">
        <w:rPr>
          <w:rFonts w:ascii="Times New Roman" w:hAnsi="Times New Roman" w:cs="Times New Roman"/>
          <w:sz w:val="20"/>
          <w:szCs w:val="20"/>
          <w:lang w:val="en-US"/>
        </w:rPr>
        <w:t xml:space="preserve"> and is designed to help identify any trend more easily.</w:t>
      </w:r>
      <w:r w:rsidR="00046BD5" w:rsidRPr="002B329C">
        <w:rPr>
          <w:rFonts w:ascii="Times New Roman" w:hAnsi="Times New Roman" w:cs="Times New Roman"/>
          <w:sz w:val="20"/>
          <w:szCs w:val="20"/>
          <w:lang w:val="en-US"/>
        </w:rPr>
        <w:t xml:space="preserve"> </w:t>
      </w:r>
      <w:r w:rsidRPr="004669AE">
        <w:rPr>
          <w:rFonts w:ascii="Times New Roman" w:hAnsi="Times New Roman" w:cs="Times New Roman"/>
          <w:sz w:val="20"/>
          <w:szCs w:val="20"/>
          <w:lang w:val="en-US"/>
        </w:rPr>
        <w:t xml:space="preserve">The red line </w:t>
      </w:r>
      <w:r w:rsidR="00AF7999">
        <w:rPr>
          <w:rFonts w:ascii="Times New Roman" w:hAnsi="Times New Roman" w:cs="Times New Roman"/>
          <w:sz w:val="20"/>
          <w:szCs w:val="20"/>
          <w:lang w:val="en-US"/>
        </w:rPr>
        <w:t>is</w:t>
      </w:r>
      <w:r w:rsidRPr="004669AE">
        <w:rPr>
          <w:rFonts w:ascii="Times New Roman" w:hAnsi="Times New Roman" w:cs="Times New Roman"/>
          <w:sz w:val="20"/>
          <w:szCs w:val="20"/>
          <w:lang w:val="en-US"/>
        </w:rPr>
        <w:t xml:space="preserve"> a smooth fit to </w:t>
      </w:r>
      <w:r w:rsidR="006554C8">
        <w:rPr>
          <w:rFonts w:ascii="Times New Roman" w:hAnsi="Times New Roman" w:cs="Times New Roman"/>
          <w:sz w:val="20"/>
          <w:szCs w:val="20"/>
          <w:lang w:val="en-US"/>
        </w:rPr>
        <w:t>the Pearson</w:t>
      </w:r>
      <w:r w:rsidRPr="004669AE">
        <w:rPr>
          <w:rFonts w:ascii="Times New Roman" w:hAnsi="Times New Roman" w:cs="Times New Roman"/>
          <w:sz w:val="20"/>
          <w:szCs w:val="20"/>
          <w:lang w:val="en-US"/>
        </w:rPr>
        <w:t xml:space="preserve"> residuals, </w:t>
      </w:r>
      <w:r w:rsidR="004669AE" w:rsidRPr="004669AE">
        <w:rPr>
          <w:rFonts w:ascii="Times New Roman" w:hAnsi="Times New Roman" w:cs="Times New Roman"/>
          <w:sz w:val="20"/>
          <w:szCs w:val="20"/>
          <w:lang w:val="en-US"/>
        </w:rPr>
        <w:t>reflecting their moving average</w:t>
      </w:r>
      <w:r w:rsidR="006554C8">
        <w:rPr>
          <w:rFonts w:ascii="Times New Roman" w:hAnsi="Times New Roman" w:cs="Times New Roman"/>
          <w:sz w:val="20"/>
          <w:szCs w:val="20"/>
          <w:lang w:val="en-US"/>
        </w:rPr>
        <w:t xml:space="preserve">. </w:t>
      </w:r>
      <w:r w:rsidRPr="00850A9D">
        <w:rPr>
          <w:rFonts w:ascii="Times New Roman" w:hAnsi="Times New Roman" w:cs="Times New Roman"/>
          <w:sz w:val="20"/>
          <w:szCs w:val="20"/>
          <w:lang w:val="en-US"/>
        </w:rPr>
        <w:t>Apart from a slight increase in the smooth fit for higher fitted values, the figure shows no significant patterns in the relationship between the Pearson residuals and the fitted values.</w:t>
      </w:r>
      <w:r w:rsidR="005C4E87">
        <w:rPr>
          <w:rFonts w:ascii="Times New Roman" w:hAnsi="Times New Roman" w:cs="Times New Roman"/>
          <w:sz w:val="20"/>
          <w:szCs w:val="20"/>
          <w:lang w:val="en-US"/>
        </w:rPr>
        <w:t xml:space="preserve"> A</w:t>
      </w:r>
      <w:r w:rsidRPr="00850A9D">
        <w:rPr>
          <w:rFonts w:ascii="Times New Roman" w:hAnsi="Times New Roman" w:cs="Times New Roman"/>
          <w:sz w:val="20"/>
          <w:szCs w:val="20"/>
          <w:lang w:val="en-US"/>
        </w:rPr>
        <w:t>lthough the model has a tendency to underestimate damage ratios more at higher fitted values, it adequately captures the relationship between the dependent variable and regressors.</w:t>
      </w:r>
      <w:r w:rsidR="00F5159B">
        <w:rPr>
          <w:rFonts w:ascii="Times New Roman" w:hAnsi="Times New Roman" w:cs="Times New Roman"/>
          <w:sz w:val="20"/>
          <w:szCs w:val="20"/>
          <w:lang w:val="en-US"/>
        </w:rPr>
        <w:t xml:space="preserve"> </w:t>
      </w:r>
      <w:r w:rsidR="00F45650" w:rsidRPr="00A17EAF">
        <w:rPr>
          <w:rFonts w:ascii="Times New Roman" w:hAnsi="Times New Roman" w:cs="Times New Roman"/>
          <w:sz w:val="20"/>
          <w:szCs w:val="20"/>
          <w:highlight w:val="yellow"/>
          <w:lang w:val="en-US"/>
        </w:rPr>
        <w:t xml:space="preserve">Given </w:t>
      </w:r>
      <w:r w:rsidR="00FA19DF" w:rsidRPr="00A17EAF">
        <w:rPr>
          <w:rFonts w:ascii="Times New Roman" w:hAnsi="Times New Roman" w:cs="Times New Roman"/>
          <w:sz w:val="20"/>
          <w:szCs w:val="20"/>
          <w:highlight w:val="yellow"/>
          <w:lang w:val="en-US"/>
        </w:rPr>
        <w:t xml:space="preserve">the near zero smooth fit </w:t>
      </w:r>
      <w:r w:rsidR="004D4A4C">
        <w:rPr>
          <w:rFonts w:ascii="Times New Roman" w:hAnsi="Times New Roman" w:cs="Times New Roman"/>
          <w:sz w:val="20"/>
          <w:szCs w:val="20"/>
          <w:highlight w:val="yellow"/>
          <w:lang w:val="en-US"/>
        </w:rPr>
        <w:t>to</w:t>
      </w:r>
      <w:r w:rsidR="00FA19DF" w:rsidRPr="00A17EAF">
        <w:rPr>
          <w:rFonts w:ascii="Times New Roman" w:hAnsi="Times New Roman" w:cs="Times New Roman"/>
          <w:sz w:val="20"/>
          <w:szCs w:val="20"/>
          <w:highlight w:val="yellow"/>
          <w:lang w:val="en-US"/>
        </w:rPr>
        <w:t xml:space="preserve"> the Pearson residuals,</w:t>
      </w:r>
      <w:r w:rsidR="006E0BCE" w:rsidRPr="00A17EAF">
        <w:rPr>
          <w:rFonts w:ascii="Times New Roman" w:hAnsi="Times New Roman" w:cs="Times New Roman"/>
          <w:sz w:val="20"/>
          <w:szCs w:val="20"/>
          <w:highlight w:val="yellow"/>
          <w:lang w:val="en-US"/>
        </w:rPr>
        <w:t xml:space="preserve"> </w:t>
      </w:r>
      <w:r w:rsidR="008346C4" w:rsidRPr="00A17EAF">
        <w:rPr>
          <w:rFonts w:ascii="Times New Roman" w:hAnsi="Times New Roman" w:cs="Times New Roman"/>
          <w:sz w:val="20"/>
          <w:szCs w:val="20"/>
          <w:highlight w:val="yellow"/>
          <w:lang w:val="en-US"/>
        </w:rPr>
        <w:t>t</w:t>
      </w:r>
      <w:r w:rsidR="00B14763" w:rsidRPr="00A17EAF">
        <w:rPr>
          <w:rFonts w:ascii="Times New Roman" w:hAnsi="Times New Roman" w:cs="Times New Roman"/>
          <w:sz w:val="20"/>
          <w:szCs w:val="20"/>
          <w:highlight w:val="yellow"/>
          <w:lang w:val="en-US"/>
        </w:rPr>
        <w:t>he figure shows that the model accurately predicts mean damage ratios</w:t>
      </w:r>
      <w:r w:rsidR="006E0BCE" w:rsidRPr="00A17EAF">
        <w:rPr>
          <w:rFonts w:ascii="Times New Roman" w:hAnsi="Times New Roman" w:cs="Times New Roman"/>
          <w:sz w:val="20"/>
          <w:szCs w:val="20"/>
          <w:highlight w:val="yellow"/>
          <w:lang w:val="en-US"/>
        </w:rPr>
        <w:t xml:space="preserve">. </w:t>
      </w:r>
      <w:r w:rsidR="004E42EE" w:rsidRPr="00A17EAF">
        <w:rPr>
          <w:rFonts w:ascii="Times New Roman" w:hAnsi="Times New Roman" w:cs="Times New Roman"/>
          <w:sz w:val="20"/>
          <w:szCs w:val="20"/>
          <w:highlight w:val="yellow"/>
          <w:lang w:val="en-US"/>
        </w:rPr>
        <w:t xml:space="preserve">Nonetheless, the variation in Pearson residuals (per fitted value) is large, </w:t>
      </w:r>
      <w:r w:rsidR="00B14763" w:rsidRPr="00A17EAF">
        <w:rPr>
          <w:rFonts w:ascii="Times New Roman" w:hAnsi="Times New Roman" w:cs="Times New Roman"/>
          <w:sz w:val="20"/>
          <w:szCs w:val="20"/>
          <w:highlight w:val="yellow"/>
          <w:lang w:val="en-US"/>
        </w:rPr>
        <w:t>highlight</w:t>
      </w:r>
      <w:r w:rsidR="00203C4C" w:rsidRPr="00A17EAF">
        <w:rPr>
          <w:rFonts w:ascii="Times New Roman" w:hAnsi="Times New Roman" w:cs="Times New Roman"/>
          <w:sz w:val="20"/>
          <w:szCs w:val="20"/>
          <w:highlight w:val="yellow"/>
          <w:lang w:val="en-US"/>
        </w:rPr>
        <w:t xml:space="preserve">ing that the model </w:t>
      </w:r>
      <w:r w:rsidR="00B14763" w:rsidRPr="00A17EAF">
        <w:rPr>
          <w:rFonts w:ascii="Times New Roman" w:hAnsi="Times New Roman" w:cs="Times New Roman"/>
          <w:sz w:val="20"/>
          <w:szCs w:val="20"/>
          <w:highlight w:val="yellow"/>
          <w:lang w:val="en-US"/>
        </w:rPr>
        <w:t>is unable to accurately predict the damage ratio for individual residential buildings.</w:t>
      </w:r>
    </w:p>
    <w:p w14:paraId="7F188AE8" w14:textId="6F004C53" w:rsidR="00B317D0" w:rsidRPr="00700177" w:rsidRDefault="00B317D0" w:rsidP="00FC6743">
      <w:pPr>
        <w:spacing w:after="0"/>
        <w:rPr>
          <w:rFonts w:ascii="Times New Roman" w:hAnsi="Times New Roman" w:cs="Times New Roman"/>
          <w:sz w:val="18"/>
          <w:szCs w:val="18"/>
          <w:lang w:val="en-US"/>
        </w:rPr>
      </w:pPr>
      <w:r w:rsidRPr="000D20EF">
        <w:rPr>
          <w:rFonts w:ascii="Times New Roman" w:hAnsi="Times New Roman" w:cs="Times New Roman"/>
          <w:lang w:val="en-US"/>
        </w:rPr>
        <w:lastRenderedPageBreak/>
        <w:t>Figure  S</w:t>
      </w:r>
      <w:r w:rsidR="00007083">
        <w:rPr>
          <w:rFonts w:ascii="Times New Roman" w:hAnsi="Times New Roman" w:cs="Times New Roman"/>
          <w:lang w:val="en-US"/>
        </w:rPr>
        <w:t>3</w:t>
      </w:r>
    </w:p>
    <w:p w14:paraId="02256054" w14:textId="2AE20D79" w:rsidR="00D17AA6" w:rsidRPr="00D17AA6" w:rsidRDefault="00D17AA6" w:rsidP="00D17AA6">
      <w:pPr>
        <w:spacing w:after="0"/>
        <w:rPr>
          <w:rFonts w:ascii="Times New Roman" w:hAnsi="Times New Roman" w:cs="Times New Roman"/>
        </w:rPr>
      </w:pPr>
      <w:r w:rsidRPr="00D17AA6">
        <w:rPr>
          <w:rFonts w:ascii="Times New Roman" w:hAnsi="Times New Roman" w:cs="Times New Roman"/>
          <w:noProof/>
        </w:rPr>
        <w:drawing>
          <wp:inline distT="0" distB="0" distL="0" distR="0" wp14:anchorId="13280A72" wp14:editId="09723D1F">
            <wp:extent cx="8891270" cy="4443095"/>
            <wp:effectExtent l="0" t="0" r="5080" b="0"/>
            <wp:docPr id="1326479223" name="Afbeelding 3" descr="Afbeelding met teks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479223" name="Afbeelding 3" descr="Afbeelding met tekst, schermopname&#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1270" cy="4443095"/>
                    </a:xfrm>
                    <a:prstGeom prst="rect">
                      <a:avLst/>
                    </a:prstGeom>
                    <a:noFill/>
                    <a:ln>
                      <a:noFill/>
                    </a:ln>
                  </pic:spPr>
                </pic:pic>
              </a:graphicData>
            </a:graphic>
          </wp:inline>
        </w:drawing>
      </w:r>
    </w:p>
    <w:p w14:paraId="2BE2C60F" w14:textId="3B992CC1" w:rsidR="00E279D2" w:rsidRPr="006D5ADD" w:rsidRDefault="00E279D2" w:rsidP="00FC6743">
      <w:pPr>
        <w:spacing w:after="0"/>
        <w:rPr>
          <w:rFonts w:ascii="Times New Roman" w:hAnsi="Times New Roman" w:cs="Times New Roman"/>
          <w:lang w:val="en-US"/>
        </w:rPr>
      </w:pPr>
      <w:r w:rsidRPr="00850A9D">
        <w:rPr>
          <w:rFonts w:ascii="Times New Roman" w:hAnsi="Times New Roman" w:cs="Times New Roman"/>
          <w:sz w:val="20"/>
          <w:szCs w:val="20"/>
          <w:lang w:val="en-US"/>
        </w:rPr>
        <w:t xml:space="preserve">This figure shows the Pearson residuals against the indices of the observations of the </w:t>
      </w:r>
      <w:r w:rsidRPr="00850A9D">
        <w:rPr>
          <w:rFonts w:ascii="Times New Roman" w:hAnsi="Times New Roman" w:cs="Times New Roman"/>
          <w:i/>
          <w:iCs/>
          <w:sz w:val="20"/>
          <w:szCs w:val="20"/>
          <w:lang w:val="en-US"/>
        </w:rPr>
        <w:t>compound vulnerability function</w:t>
      </w:r>
      <w:r w:rsidRPr="00850A9D">
        <w:rPr>
          <w:rFonts w:ascii="Times New Roman" w:hAnsi="Times New Roman" w:cs="Times New Roman"/>
          <w:sz w:val="20"/>
          <w:szCs w:val="20"/>
          <w:lang w:val="en-US"/>
        </w:rPr>
        <w:t xml:space="preserve">. </w:t>
      </w:r>
      <w:r w:rsidR="00755384" w:rsidRPr="006107B1">
        <w:rPr>
          <w:rFonts w:ascii="Times New Roman" w:hAnsi="Times New Roman" w:cs="Times New Roman"/>
          <w:sz w:val="20"/>
          <w:szCs w:val="20"/>
          <w:highlight w:val="yellow"/>
          <w:lang w:val="en-US"/>
        </w:rPr>
        <w:t xml:space="preserve">The dashed green line represents </w:t>
      </w:r>
      <w:r w:rsidR="00755384">
        <w:rPr>
          <w:rFonts w:ascii="Times New Roman" w:hAnsi="Times New Roman" w:cs="Times New Roman"/>
          <w:sz w:val="20"/>
          <w:szCs w:val="20"/>
          <w:highlight w:val="yellow"/>
          <w:lang w:val="en-US"/>
        </w:rPr>
        <w:t>a</w:t>
      </w:r>
      <w:r w:rsidR="00755384" w:rsidRPr="006107B1">
        <w:rPr>
          <w:rFonts w:ascii="Times New Roman" w:hAnsi="Times New Roman" w:cs="Times New Roman"/>
          <w:sz w:val="20"/>
          <w:szCs w:val="20"/>
          <w:highlight w:val="yellow"/>
          <w:lang w:val="en-US"/>
        </w:rPr>
        <w:t xml:space="preserve"> reference line</w:t>
      </w:r>
      <w:r w:rsidR="00755384">
        <w:rPr>
          <w:rFonts w:ascii="Times New Roman" w:hAnsi="Times New Roman" w:cs="Times New Roman"/>
          <w:sz w:val="20"/>
          <w:szCs w:val="20"/>
          <w:highlight w:val="yellow"/>
          <w:lang w:val="en-US"/>
        </w:rPr>
        <w:t xml:space="preserve"> at Pearson residuals equaling zero</w:t>
      </w:r>
      <w:r w:rsidR="00755384" w:rsidRPr="004669AE">
        <w:rPr>
          <w:rFonts w:ascii="Times New Roman" w:hAnsi="Times New Roman" w:cs="Times New Roman"/>
          <w:sz w:val="20"/>
          <w:szCs w:val="20"/>
          <w:lang w:val="en-US"/>
        </w:rPr>
        <w:t>,</w:t>
      </w:r>
      <w:r w:rsidR="00755384" w:rsidRPr="00850A9D">
        <w:rPr>
          <w:rFonts w:ascii="Times New Roman" w:hAnsi="Times New Roman" w:cs="Times New Roman"/>
          <w:sz w:val="20"/>
          <w:szCs w:val="20"/>
          <w:lang w:val="en-US"/>
        </w:rPr>
        <w:t xml:space="preserve"> and is designed to help identify any trend more easily.</w:t>
      </w:r>
      <w:r w:rsidR="00755384" w:rsidRPr="002B329C">
        <w:rPr>
          <w:rFonts w:ascii="Times New Roman" w:hAnsi="Times New Roman" w:cs="Times New Roman"/>
          <w:sz w:val="20"/>
          <w:szCs w:val="20"/>
          <w:lang w:val="en-US"/>
        </w:rPr>
        <w:t xml:space="preserve"> </w:t>
      </w:r>
      <w:r w:rsidR="00755384" w:rsidRPr="004669AE">
        <w:rPr>
          <w:rFonts w:ascii="Times New Roman" w:hAnsi="Times New Roman" w:cs="Times New Roman"/>
          <w:sz w:val="20"/>
          <w:szCs w:val="20"/>
          <w:lang w:val="en-US"/>
        </w:rPr>
        <w:t xml:space="preserve">The red line </w:t>
      </w:r>
      <w:r w:rsidR="00755384">
        <w:rPr>
          <w:rFonts w:ascii="Times New Roman" w:hAnsi="Times New Roman" w:cs="Times New Roman"/>
          <w:sz w:val="20"/>
          <w:szCs w:val="20"/>
          <w:lang w:val="en-US"/>
        </w:rPr>
        <w:t>is</w:t>
      </w:r>
      <w:r w:rsidR="00755384" w:rsidRPr="004669AE">
        <w:rPr>
          <w:rFonts w:ascii="Times New Roman" w:hAnsi="Times New Roman" w:cs="Times New Roman"/>
          <w:sz w:val="20"/>
          <w:szCs w:val="20"/>
          <w:lang w:val="en-US"/>
        </w:rPr>
        <w:t xml:space="preserve"> a smooth fit to </w:t>
      </w:r>
      <w:r w:rsidR="00755384">
        <w:rPr>
          <w:rFonts w:ascii="Times New Roman" w:hAnsi="Times New Roman" w:cs="Times New Roman"/>
          <w:sz w:val="20"/>
          <w:szCs w:val="20"/>
          <w:lang w:val="en-US"/>
        </w:rPr>
        <w:t>the Pearson</w:t>
      </w:r>
      <w:r w:rsidR="00755384" w:rsidRPr="004669AE">
        <w:rPr>
          <w:rFonts w:ascii="Times New Roman" w:hAnsi="Times New Roman" w:cs="Times New Roman"/>
          <w:sz w:val="20"/>
          <w:szCs w:val="20"/>
          <w:lang w:val="en-US"/>
        </w:rPr>
        <w:t xml:space="preserve"> residuals, reflecting their moving average</w:t>
      </w:r>
      <w:r w:rsidR="00755384">
        <w:rPr>
          <w:rFonts w:ascii="Times New Roman" w:hAnsi="Times New Roman" w:cs="Times New Roman"/>
          <w:sz w:val="20"/>
          <w:szCs w:val="20"/>
          <w:lang w:val="en-US"/>
        </w:rPr>
        <w:t xml:space="preserve">. </w:t>
      </w:r>
      <w:r w:rsidRPr="00850A9D">
        <w:rPr>
          <w:rFonts w:ascii="Times New Roman" w:hAnsi="Times New Roman" w:cs="Times New Roman"/>
          <w:sz w:val="20"/>
          <w:szCs w:val="20"/>
          <w:lang w:val="en-US"/>
        </w:rPr>
        <w:t>The figure shows no signs of a pattern in the relationship between the Pearson residuals and indices of the observations, which implies that the model adequately captures the relationship between the dependent variable and regressors.</w:t>
      </w:r>
    </w:p>
    <w:p w14:paraId="453D1674" w14:textId="77777777" w:rsidR="00700177" w:rsidRDefault="00700177" w:rsidP="00FC6743">
      <w:pPr>
        <w:spacing w:after="0"/>
        <w:rPr>
          <w:rFonts w:ascii="Times New Roman" w:hAnsi="Times New Roman" w:cs="Times New Roman"/>
          <w:lang w:val="en-US"/>
        </w:rPr>
      </w:pPr>
    </w:p>
    <w:p w14:paraId="5CF2A253" w14:textId="77777777" w:rsidR="00700177" w:rsidRDefault="00700177" w:rsidP="00FC6743">
      <w:pPr>
        <w:spacing w:after="0"/>
        <w:rPr>
          <w:rFonts w:ascii="Times New Roman" w:hAnsi="Times New Roman" w:cs="Times New Roman"/>
          <w:lang w:val="en-US"/>
        </w:rPr>
      </w:pPr>
    </w:p>
    <w:p w14:paraId="6B95D912" w14:textId="4B8105B4" w:rsidR="00B317D0" w:rsidRDefault="00B317D0" w:rsidP="00FC6743">
      <w:pPr>
        <w:spacing w:after="0"/>
        <w:rPr>
          <w:rFonts w:ascii="Times New Roman" w:hAnsi="Times New Roman" w:cs="Times New Roman"/>
          <w:lang w:val="en-US"/>
        </w:rPr>
      </w:pPr>
      <w:r w:rsidRPr="000D20EF">
        <w:rPr>
          <w:rFonts w:ascii="Times New Roman" w:hAnsi="Times New Roman" w:cs="Times New Roman"/>
          <w:lang w:val="en-US"/>
        </w:rPr>
        <w:lastRenderedPageBreak/>
        <w:t>Figure  S</w:t>
      </w:r>
      <w:r w:rsidR="00007083">
        <w:rPr>
          <w:rFonts w:ascii="Times New Roman" w:hAnsi="Times New Roman" w:cs="Times New Roman"/>
          <w:lang w:val="en-US"/>
        </w:rPr>
        <w:t>4</w:t>
      </w:r>
    </w:p>
    <w:p w14:paraId="0BAE06DE" w14:textId="5F7A90B8" w:rsidR="00FC6743" w:rsidRPr="00FC6743" w:rsidRDefault="00FC6743" w:rsidP="00FC6743">
      <w:pPr>
        <w:spacing w:after="0"/>
        <w:rPr>
          <w:rFonts w:ascii="Times New Roman" w:hAnsi="Times New Roman" w:cs="Times New Roman"/>
        </w:rPr>
      </w:pPr>
      <w:r w:rsidRPr="00FC6743">
        <w:rPr>
          <w:rFonts w:ascii="Times New Roman" w:hAnsi="Times New Roman" w:cs="Times New Roman"/>
          <w:noProof/>
        </w:rPr>
        <w:drawing>
          <wp:inline distT="0" distB="0" distL="0" distR="0" wp14:anchorId="751A43F5" wp14:editId="71A19914">
            <wp:extent cx="8891270" cy="4443095"/>
            <wp:effectExtent l="0" t="0" r="5080" b="0"/>
            <wp:docPr id="145607623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1270" cy="4443095"/>
                    </a:xfrm>
                    <a:prstGeom prst="rect">
                      <a:avLst/>
                    </a:prstGeom>
                    <a:noFill/>
                    <a:ln>
                      <a:noFill/>
                    </a:ln>
                  </pic:spPr>
                </pic:pic>
              </a:graphicData>
            </a:graphic>
          </wp:inline>
        </w:drawing>
      </w:r>
    </w:p>
    <w:p w14:paraId="507524BD" w14:textId="77777777" w:rsidR="00830051" w:rsidRPr="00830051" w:rsidRDefault="00830051" w:rsidP="00830051">
      <w:pPr>
        <w:spacing w:after="0"/>
        <w:rPr>
          <w:rFonts w:ascii="Times New Roman" w:hAnsi="Times New Roman" w:cs="Times New Roman"/>
          <w:sz w:val="20"/>
          <w:szCs w:val="20"/>
          <w:lang w:val="en-US"/>
        </w:rPr>
      </w:pPr>
      <w:r w:rsidRPr="00751F68">
        <w:rPr>
          <w:rFonts w:ascii="Times New Roman" w:hAnsi="Times New Roman" w:cs="Times New Roman"/>
          <w:sz w:val="20"/>
          <w:szCs w:val="20"/>
          <w:highlight w:val="yellow"/>
          <w:lang w:val="en-US"/>
        </w:rPr>
        <w:t>This figure shows the normal quantile-quantile plot of the compound vulnerability function where the residuals are quantile residuals as proposed by Dunn and Smyth (1996). With their approach, a model’s presumed non-normally distributed residuals can be mapped onto the standard normal distribution scale, such that they can be checked with familiar residuals diagnostics such as the normal quantile-quantile plot. The red line represents the diagonal reference line, and is designed to assess the adherence of the observed residuals to the theoretical quantiles. The figure highlights that the empirical damage ratio distribution has a heavier right tail than the theoretical damage ratio distribution, whereas its left tail is lighter than that of the theoretical damage ratio distribution. Note that the theoretical damage ratio distribution is the fitted beta distribution, which in this figure is also mapped onto the standard normal distribution scale.</w:t>
      </w:r>
      <w:r w:rsidRPr="00830051">
        <w:rPr>
          <w:rFonts w:ascii="Times New Roman" w:hAnsi="Times New Roman" w:cs="Times New Roman"/>
          <w:sz w:val="20"/>
          <w:szCs w:val="20"/>
          <w:lang w:val="en-US"/>
        </w:rPr>
        <w:t xml:space="preserve"> </w:t>
      </w:r>
    </w:p>
    <w:p w14:paraId="2F592D2E" w14:textId="77777777" w:rsidR="00700177" w:rsidRDefault="00700177" w:rsidP="00FC6743">
      <w:pPr>
        <w:spacing w:after="0"/>
        <w:rPr>
          <w:rFonts w:ascii="Times New Roman" w:hAnsi="Times New Roman" w:cs="Times New Roman"/>
          <w:lang w:val="en-US"/>
        </w:rPr>
      </w:pPr>
    </w:p>
    <w:p w14:paraId="7138E203" w14:textId="77777777" w:rsidR="00700177" w:rsidRDefault="00700177" w:rsidP="00FC6743">
      <w:pPr>
        <w:spacing w:after="0"/>
        <w:rPr>
          <w:rFonts w:ascii="Times New Roman" w:hAnsi="Times New Roman" w:cs="Times New Roman"/>
          <w:lang w:val="en-US"/>
        </w:rPr>
      </w:pPr>
    </w:p>
    <w:p w14:paraId="060667AD" w14:textId="23D7D463" w:rsidR="00B317D0" w:rsidRPr="00700177" w:rsidRDefault="00B317D0" w:rsidP="00FC6743">
      <w:pPr>
        <w:spacing w:after="0"/>
        <w:rPr>
          <w:rFonts w:ascii="Times New Roman" w:hAnsi="Times New Roman" w:cs="Times New Roman"/>
          <w:sz w:val="20"/>
          <w:szCs w:val="20"/>
          <w:lang w:val="en-US"/>
        </w:rPr>
      </w:pPr>
      <w:r w:rsidRPr="000D20EF">
        <w:rPr>
          <w:rFonts w:ascii="Times New Roman" w:hAnsi="Times New Roman" w:cs="Times New Roman"/>
          <w:lang w:val="en-US"/>
        </w:rPr>
        <w:t>Figure  S</w:t>
      </w:r>
      <w:r w:rsidR="00007083">
        <w:rPr>
          <w:rFonts w:ascii="Times New Roman" w:hAnsi="Times New Roman" w:cs="Times New Roman"/>
          <w:lang w:val="en-US"/>
        </w:rPr>
        <w:t>5</w:t>
      </w:r>
    </w:p>
    <w:p w14:paraId="0D31C19D" w14:textId="7E975487" w:rsidR="00FC6743" w:rsidRPr="00FC6743" w:rsidRDefault="00FC6743" w:rsidP="00FC6743">
      <w:pPr>
        <w:spacing w:after="0"/>
        <w:rPr>
          <w:rFonts w:ascii="Times New Roman" w:hAnsi="Times New Roman" w:cs="Times New Roman"/>
        </w:rPr>
      </w:pPr>
      <w:r w:rsidRPr="00FC6743">
        <w:rPr>
          <w:rFonts w:ascii="Times New Roman" w:hAnsi="Times New Roman" w:cs="Times New Roman"/>
          <w:noProof/>
        </w:rPr>
        <w:drawing>
          <wp:inline distT="0" distB="0" distL="0" distR="0" wp14:anchorId="23AF0A7A" wp14:editId="1A784981">
            <wp:extent cx="8224576" cy="4109939"/>
            <wp:effectExtent l="0" t="0" r="5080" b="5080"/>
            <wp:docPr id="351790927" name="Afbeelding 7" descr="Afbeelding met diagram, schermopname, schets,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90927" name="Afbeelding 7" descr="Afbeelding met diagram, schermopname, schets, Perceel&#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6522" cy="4125903"/>
                    </a:xfrm>
                    <a:prstGeom prst="rect">
                      <a:avLst/>
                    </a:prstGeom>
                    <a:noFill/>
                    <a:ln>
                      <a:noFill/>
                    </a:ln>
                  </pic:spPr>
                </pic:pic>
              </a:graphicData>
            </a:graphic>
          </wp:inline>
        </w:drawing>
      </w:r>
    </w:p>
    <w:p w14:paraId="1CF8CD83" w14:textId="77777777" w:rsidR="00525206" w:rsidRDefault="00FA4B38" w:rsidP="00FC6743">
      <w:pPr>
        <w:spacing w:after="0"/>
        <w:rPr>
          <w:rFonts w:ascii="Times New Roman" w:hAnsi="Times New Roman" w:cs="Times New Roman"/>
          <w:sz w:val="20"/>
          <w:szCs w:val="20"/>
          <w:lang w:val="en-US"/>
        </w:rPr>
      </w:pPr>
      <w:r w:rsidRPr="00751F68">
        <w:rPr>
          <w:rFonts w:ascii="Times New Roman" w:hAnsi="Times New Roman" w:cs="Times New Roman"/>
          <w:sz w:val="20"/>
          <w:szCs w:val="20"/>
          <w:highlight w:val="yellow"/>
          <w:lang w:val="en-US"/>
        </w:rPr>
        <w:t>This figure shows the density of the residuals of the compound vulnerability function, where the residuals are quantile residuals as proposed by Dunn and Smyth (1996). With their approach, a model’s presumed non-normally distributed residuals can be mapped onto the standard normal distribution scale, such that they can be checked with familiar residuals diagnostics such as the standard normal density plot. The red line represents the density of the standard normal distribution, and is designed to assess the adherence of the observed residuals to the theoretical distribution. Similar to the quantile-quantile plot, this figure indicates that the empirical damage ratio distribution has a heavier right tail than the theoretical damage ratio distribution, whereas its left tail is lighter than that of the theoretical damage ratio distribution. In addition, the figure also highlights discrepancies between the central regions of the empirical damage ratio distribution and the theoretical damage ratio distribution. In particular, it shows that the empirical damage ratio distribution has relatively less support for damage ratios slightly above its expectation, whereas it has relatively more support for damage ratios slightly below its expectation. Note that the theoretical damage ratio distribution is the fitted beta distribution, which in this figure is converted to the depicted standard normal distribution.</w:t>
      </w:r>
      <w:r w:rsidRPr="00FA4B38">
        <w:rPr>
          <w:rFonts w:ascii="Times New Roman" w:hAnsi="Times New Roman" w:cs="Times New Roman"/>
          <w:sz w:val="20"/>
          <w:szCs w:val="20"/>
          <w:lang w:val="en-US"/>
        </w:rPr>
        <w:t xml:space="preserve"> </w:t>
      </w:r>
    </w:p>
    <w:p w14:paraId="03561696" w14:textId="344B2441" w:rsidR="00DC31DA" w:rsidRPr="00C31B1C" w:rsidRDefault="00B317D0" w:rsidP="00DC31DA">
      <w:pPr>
        <w:spacing w:after="0"/>
        <w:rPr>
          <w:rFonts w:ascii="Times New Roman" w:hAnsi="Times New Roman" w:cs="Times New Roman"/>
          <w:lang w:val="en-US"/>
        </w:rPr>
      </w:pPr>
      <w:r w:rsidRPr="000D20EF">
        <w:rPr>
          <w:rFonts w:ascii="Times New Roman" w:hAnsi="Times New Roman" w:cs="Times New Roman"/>
          <w:lang w:val="en-US"/>
        </w:rPr>
        <w:lastRenderedPageBreak/>
        <w:t>Figure  S</w:t>
      </w:r>
      <w:r w:rsidR="00007083">
        <w:rPr>
          <w:rFonts w:ascii="Times New Roman" w:hAnsi="Times New Roman" w:cs="Times New Roman"/>
          <w:lang w:val="en-US"/>
        </w:rPr>
        <w:t>6</w:t>
      </w:r>
      <w:r w:rsidR="00DC31DA" w:rsidRPr="00DC31DA">
        <w:rPr>
          <w:rFonts w:ascii="Times New Roman" w:hAnsi="Times New Roman" w:cs="Times New Roman"/>
          <w:noProof/>
        </w:rPr>
        <w:drawing>
          <wp:inline distT="0" distB="0" distL="0" distR="0" wp14:anchorId="7242AF90" wp14:editId="30EFA50B">
            <wp:extent cx="8891270" cy="4443095"/>
            <wp:effectExtent l="0" t="0" r="5080" b="0"/>
            <wp:docPr id="1543015319" name="Afbeelding 8" descr="Afbeelding met watervoertui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15319" name="Afbeelding 8" descr="Afbeelding met watervoertuig, schermopname&#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1270" cy="4443095"/>
                    </a:xfrm>
                    <a:prstGeom prst="rect">
                      <a:avLst/>
                    </a:prstGeom>
                    <a:noFill/>
                    <a:ln>
                      <a:noFill/>
                    </a:ln>
                  </pic:spPr>
                </pic:pic>
              </a:graphicData>
            </a:graphic>
          </wp:inline>
        </w:drawing>
      </w:r>
    </w:p>
    <w:p w14:paraId="1628301D" w14:textId="5A79F4E0" w:rsidR="00A21336" w:rsidRPr="00850A9D" w:rsidRDefault="00E279D2" w:rsidP="00FC6743">
      <w:pPr>
        <w:spacing w:after="0"/>
        <w:rPr>
          <w:sz w:val="20"/>
          <w:szCs w:val="20"/>
          <w:lang w:val="en-US"/>
        </w:rPr>
      </w:pPr>
      <w:r w:rsidRPr="00850A9D">
        <w:rPr>
          <w:rFonts w:ascii="Times New Roman" w:hAnsi="Times New Roman" w:cs="Times New Roman"/>
          <w:sz w:val="20"/>
          <w:szCs w:val="20"/>
          <w:lang w:val="en-US"/>
        </w:rPr>
        <w:t xml:space="preserve">This figure shows the leverage values of all observations against their indices of the </w:t>
      </w:r>
      <w:r w:rsidRPr="00850A9D">
        <w:rPr>
          <w:rFonts w:ascii="Times New Roman" w:hAnsi="Times New Roman" w:cs="Times New Roman"/>
          <w:i/>
          <w:iCs/>
          <w:sz w:val="20"/>
          <w:szCs w:val="20"/>
          <w:lang w:val="en-US"/>
        </w:rPr>
        <w:t>compound vulnerability function</w:t>
      </w:r>
      <w:r w:rsidRPr="00850A9D">
        <w:rPr>
          <w:rFonts w:ascii="Times New Roman" w:hAnsi="Times New Roman" w:cs="Times New Roman"/>
          <w:sz w:val="20"/>
          <w:szCs w:val="20"/>
          <w:lang w:val="en-US"/>
        </w:rPr>
        <w:t>. The numbers in this figure correspond to the index values of the observations.</w:t>
      </w:r>
      <w:r w:rsidR="007A1962">
        <w:rPr>
          <w:rFonts w:ascii="Times New Roman" w:hAnsi="Times New Roman" w:cs="Times New Roman"/>
          <w:sz w:val="20"/>
          <w:szCs w:val="20"/>
          <w:lang w:val="en-US"/>
        </w:rPr>
        <w:t xml:space="preserve"> </w:t>
      </w:r>
      <w:r w:rsidRPr="00850A9D">
        <w:rPr>
          <w:rFonts w:ascii="Times New Roman" w:hAnsi="Times New Roman" w:cs="Times New Roman"/>
          <w:sz w:val="20"/>
          <w:szCs w:val="20"/>
          <w:lang w:val="en-US"/>
        </w:rPr>
        <w:t xml:space="preserve">This figure indicates that there are many high leverage observations. Nonetheless, a sensitivity analysis points out that they are not of influence as the regression parameters are at least robust to removing the top </w:t>
      </w:r>
      <w:r w:rsidR="00BD55A0" w:rsidRPr="00850A9D">
        <w:rPr>
          <w:rFonts w:ascii="Times New Roman" w:hAnsi="Times New Roman" w:cs="Times New Roman"/>
          <w:sz w:val="20"/>
          <w:szCs w:val="20"/>
          <w:lang w:val="en-US"/>
        </w:rPr>
        <w:t>1</w:t>
      </w:r>
      <w:r w:rsidRPr="00850A9D">
        <w:rPr>
          <w:rFonts w:ascii="Times New Roman" w:hAnsi="Times New Roman" w:cs="Times New Roman"/>
          <w:sz w:val="20"/>
          <w:szCs w:val="20"/>
          <w:lang w:val="en-US"/>
        </w:rPr>
        <w:t xml:space="preserve">% (~1000 observations) of observations, ranked according to their leverage. This finding suggests that the prediction errors which accompanied the high leverage observations were not large enough to make them influential. </w:t>
      </w:r>
    </w:p>
    <w:p w14:paraId="0E1BB13B" w14:textId="3F89209E" w:rsidR="002A67AC" w:rsidRDefault="002A67AC">
      <w:pPr>
        <w:rPr>
          <w:lang w:val="en-US"/>
        </w:rPr>
        <w:sectPr w:rsidR="002A67AC" w:rsidSect="002A67AC">
          <w:pgSz w:w="16838" w:h="11906" w:orient="landscape" w:code="9"/>
          <w:pgMar w:top="1418" w:right="1418" w:bottom="1418" w:left="1418" w:header="709" w:footer="709" w:gutter="0"/>
          <w:cols w:space="708"/>
          <w:docGrid w:linePitch="360"/>
        </w:sectPr>
      </w:pPr>
    </w:p>
    <w:p w14:paraId="21D30265" w14:textId="77777777" w:rsidR="00435540" w:rsidRDefault="00435540" w:rsidP="00435540">
      <w:pPr>
        <w:spacing w:after="0"/>
        <w:rPr>
          <w:rFonts w:ascii="Times New Roman" w:hAnsi="Times New Roman" w:cs="Times New Roman"/>
          <w:lang w:val="en-US"/>
        </w:rPr>
      </w:pPr>
      <w:r w:rsidRPr="001343F2">
        <w:rPr>
          <w:rFonts w:ascii="Times New Roman" w:hAnsi="Times New Roman" w:cs="Times New Roman"/>
          <w:b/>
          <w:bCs/>
          <w:lang w:val="en-US"/>
        </w:rPr>
        <w:lastRenderedPageBreak/>
        <w:t xml:space="preserve">S5 Damage ratio tables </w:t>
      </w:r>
    </w:p>
    <w:p w14:paraId="370FA107" w14:textId="77777777" w:rsidR="00435540" w:rsidRDefault="00435540" w:rsidP="00435540">
      <w:pPr>
        <w:spacing w:after="0"/>
        <w:rPr>
          <w:rFonts w:ascii="Times New Roman" w:hAnsi="Times New Roman" w:cs="Times New Roman"/>
          <w:lang w:val="en-US"/>
        </w:rPr>
      </w:pPr>
      <w:r>
        <w:rPr>
          <w:rFonts w:ascii="Times New Roman" w:eastAsiaTheme="minorEastAsia" w:hAnsi="Times New Roman" w:cs="Times New Roman"/>
          <w:lang w:val="en-US"/>
        </w:rPr>
        <w:t xml:space="preserve">To facilitate the usage of the vulnerability functions, the following </w:t>
      </w:r>
      <w:r>
        <w:rPr>
          <w:rFonts w:ascii="Times New Roman" w:hAnsi="Times New Roman" w:cs="Times New Roman"/>
          <w:lang w:val="en-US"/>
        </w:rPr>
        <w:t xml:space="preserve">tables provide the end-user with the damage ratio output from the </w:t>
      </w:r>
      <w:r>
        <w:rPr>
          <w:rFonts w:ascii="Times New Roman" w:hAnsi="Times New Roman" w:cs="Times New Roman"/>
          <w:i/>
          <w:iCs/>
          <w:lang w:val="en-US"/>
        </w:rPr>
        <w:t>compound vulnerability function</w:t>
      </w:r>
      <w:r>
        <w:rPr>
          <w:rFonts w:ascii="Times New Roman" w:hAnsi="Times New Roman" w:cs="Times New Roman"/>
          <w:lang w:val="en-US"/>
        </w:rPr>
        <w:t xml:space="preserve"> for an average residential building, which has a reconstruction value of €370,000.- denoted in 2024 price levels. The expected damage ratios (E[DR]) in percentages are reported for differing MEHS values in cm</w:t>
      </w:r>
      <w:r>
        <w:rPr>
          <w:rFonts w:ascii="Cambria Math" w:eastAsiaTheme="minorEastAsia" w:hAnsi="Cambria Math" w:cs="Times New Roman"/>
          <w:i/>
          <w:lang w:val="en-US"/>
        </w:rPr>
        <w:t xml:space="preserve"> </w:t>
      </w:r>
      <w:r>
        <w:rPr>
          <w:rFonts w:ascii="Cambria Math" w:eastAsiaTheme="minorEastAsia" w:hAnsi="Cambria Math" w:cs="Times New Roman"/>
          <w:iCs/>
          <w:lang w:val="en-US"/>
        </w:rPr>
        <w:t xml:space="preserve">and </w:t>
      </w:r>
      <w:r>
        <w:rPr>
          <w:rFonts w:ascii="Times New Roman" w:hAnsi="Times New Roman" w:cs="Times New Roman"/>
          <w:lang w:val="en-US"/>
        </w:rPr>
        <w:t xml:space="preserve">24-hour cumulative precipitation levels </w:t>
      </w:r>
      <w:r>
        <w:rPr>
          <w:rFonts w:ascii="Times New Roman" w:eastAsiaTheme="minorEastAsia" w:hAnsi="Times New Roman" w:cs="Times New Roman"/>
          <w:lang w:val="en-US"/>
        </w:rPr>
        <w:t xml:space="preserve">in mm. In addition, </w:t>
      </w:r>
      <w:r>
        <w:rPr>
          <w:rFonts w:ascii="Times New Roman" w:hAnsi="Times New Roman" w:cs="Times New Roman"/>
          <w:lang w:val="en-US"/>
        </w:rPr>
        <w:t xml:space="preserve">the </w:t>
      </w:r>
      <w:r>
        <w:rPr>
          <w:rFonts w:ascii="Times New Roman" w:eastAsiaTheme="minorEastAsia" w:hAnsi="Times New Roman" w:cs="Times New Roman"/>
          <w:lang w:val="en-US"/>
        </w:rPr>
        <w:t>1</w:t>
      </w:r>
      <w:r w:rsidRPr="003163C5">
        <w:rPr>
          <w:rFonts w:ascii="Times New Roman" w:eastAsiaTheme="minorEastAsia" w:hAnsi="Times New Roman" w:cs="Times New Roman"/>
          <w:vertAlign w:val="superscript"/>
          <w:lang w:val="en-US"/>
        </w:rPr>
        <w:t>st</w:t>
      </w:r>
      <w:r>
        <w:rPr>
          <w:rFonts w:ascii="Times New Roman" w:hAnsi="Times New Roman" w:cs="Times New Roman"/>
          <w:lang w:val="en-US"/>
        </w:rPr>
        <w:t>, 25</w:t>
      </w:r>
      <w:r w:rsidRPr="007D23D5">
        <w:rPr>
          <w:rFonts w:ascii="Times New Roman" w:hAnsi="Times New Roman" w:cs="Times New Roman"/>
          <w:vertAlign w:val="superscript"/>
          <w:lang w:val="en-US"/>
        </w:rPr>
        <w:t>th</w:t>
      </w:r>
      <w:r>
        <w:rPr>
          <w:rFonts w:ascii="Times New Roman" w:hAnsi="Times New Roman" w:cs="Times New Roman"/>
          <w:lang w:val="en-US"/>
        </w:rPr>
        <w:t>, 75</w:t>
      </w:r>
      <w:r w:rsidRPr="00D94F07">
        <w:rPr>
          <w:rFonts w:ascii="Times New Roman" w:hAnsi="Times New Roman" w:cs="Times New Roman"/>
          <w:vertAlign w:val="superscript"/>
          <w:lang w:val="en-US"/>
        </w:rPr>
        <w:t>th</w:t>
      </w:r>
      <w:r>
        <w:rPr>
          <w:rFonts w:ascii="Times New Roman" w:hAnsi="Times New Roman" w:cs="Times New Roman"/>
          <w:lang w:val="en-US"/>
        </w:rPr>
        <w:t xml:space="preserve"> and 99</w:t>
      </w:r>
      <w:r w:rsidRPr="00D94F07">
        <w:rPr>
          <w:rFonts w:ascii="Times New Roman" w:hAnsi="Times New Roman" w:cs="Times New Roman"/>
          <w:vertAlign w:val="superscript"/>
          <w:lang w:val="en-US"/>
        </w:rPr>
        <w:t>th</w:t>
      </w:r>
      <w:r>
        <w:rPr>
          <w:rFonts w:ascii="Times New Roman" w:hAnsi="Times New Roman" w:cs="Times New Roman"/>
          <w:lang w:val="en-US"/>
        </w:rPr>
        <w:t xml:space="preserve"> quantiles (Q) of the conditional beta distribution are also provided to describe the variance of the damage ratio estimates. Lastly, the </w:t>
      </w:r>
      <w:r>
        <w:rPr>
          <w:rFonts w:ascii="Times New Roman" w:eastAsiaTheme="minorEastAsia" w:hAnsi="Times New Roman" w:cs="Times New Roman"/>
          <w:lang w:val="en-US"/>
        </w:rPr>
        <w:t>75% and 99%</w:t>
      </w:r>
      <w:r>
        <w:rPr>
          <w:rFonts w:ascii="Times New Roman" w:hAnsi="Times New Roman" w:cs="Times New Roman"/>
          <w:lang w:val="en-US"/>
        </w:rPr>
        <w:t xml:space="preserve"> confidence interval (CI) for the expected damage ratio are also provided (and their quantiles) to describe the uncertainty in the expected damage ratio estimate.</w:t>
      </w:r>
    </w:p>
    <w:p w14:paraId="6DA15631" w14:textId="77777777" w:rsidR="00435540" w:rsidRDefault="00435540" w:rsidP="00435540">
      <w:pPr>
        <w:spacing w:after="0"/>
        <w:rPr>
          <w:rFonts w:ascii="Times New Roman" w:hAnsi="Times New Roman" w:cs="Times New Roman"/>
          <w:lang w:val="en-US"/>
        </w:rPr>
      </w:pPr>
    </w:p>
    <w:p w14:paraId="61748F08" w14:textId="77777777" w:rsidR="00435540" w:rsidRDefault="00435540" w:rsidP="00435540">
      <w:pPr>
        <w:spacing w:after="0"/>
        <w:rPr>
          <w:rFonts w:ascii="Times New Roman" w:hAnsi="Times New Roman" w:cs="Times New Roman"/>
          <w:lang w:val="en-US"/>
        </w:rPr>
      </w:pPr>
      <w:r>
        <w:rPr>
          <w:rFonts w:ascii="Times New Roman" w:hAnsi="Times New Roman" w:cs="Times New Roman"/>
          <w:lang w:val="en-US"/>
        </w:rPr>
        <w:t xml:space="preserve">With these damage ratios, the end-user can easily acquire the ground up damage, denoted in 2024 price levels, by multiplying the damage ratio with the related reconstruction value of €370,000.-. The output from the </w:t>
      </w:r>
      <w:r>
        <w:rPr>
          <w:rFonts w:ascii="Times New Roman" w:hAnsi="Times New Roman" w:cs="Times New Roman"/>
          <w:i/>
          <w:iCs/>
          <w:lang w:val="en-US"/>
        </w:rPr>
        <w:t xml:space="preserve">univariate vulnerability function </w:t>
      </w:r>
      <w:r>
        <w:rPr>
          <w:rFonts w:ascii="Times New Roman" w:hAnsi="Times New Roman" w:cs="Times New Roman"/>
          <w:lang w:val="en-US"/>
        </w:rPr>
        <w:t xml:space="preserve">roughly coincides with the output from the </w:t>
      </w:r>
      <w:r>
        <w:rPr>
          <w:rFonts w:ascii="Times New Roman" w:hAnsi="Times New Roman" w:cs="Times New Roman"/>
          <w:i/>
          <w:iCs/>
          <w:lang w:val="en-US"/>
        </w:rPr>
        <w:t>compound vulnerability function</w:t>
      </w:r>
      <w:r>
        <w:rPr>
          <w:rFonts w:ascii="Times New Roman" w:hAnsi="Times New Roman" w:cs="Times New Roman"/>
          <w:lang w:val="en-US"/>
        </w:rPr>
        <w:t xml:space="preserve"> measured at a 24-hour cumulative precipitation levels of 0 mm, multiplied by 1.10.</w:t>
      </w:r>
    </w:p>
    <w:p w14:paraId="4FA02236" w14:textId="77777777" w:rsidR="00435540" w:rsidRDefault="00435540" w:rsidP="00435540">
      <w:pPr>
        <w:spacing w:after="0"/>
        <w:rPr>
          <w:rFonts w:ascii="Times New Roman" w:hAnsi="Times New Roman" w:cs="Times New Roman"/>
          <w:lang w:val="en-US"/>
        </w:rPr>
      </w:pPr>
    </w:p>
    <w:p w14:paraId="4D4D5891" w14:textId="77777777" w:rsidR="00435540" w:rsidRPr="00D35659" w:rsidRDefault="00435540" w:rsidP="00435540">
      <w:pPr>
        <w:spacing w:after="0"/>
        <w:rPr>
          <w:rFonts w:ascii="Times New Roman" w:hAnsi="Times New Roman" w:cs="Times New Roman"/>
          <w:b/>
          <w:bCs/>
          <w:lang w:val="en-US"/>
        </w:rPr>
      </w:pPr>
      <w:r w:rsidRPr="00D35659">
        <w:rPr>
          <w:rFonts w:ascii="Times New Roman" w:hAnsi="Times New Roman" w:cs="Times New Roman"/>
          <w:b/>
          <w:bCs/>
          <w:lang w:val="en-US"/>
        </w:rPr>
        <w:t>24-hour cumulative precipitation levels of 0 mm</w:t>
      </w:r>
    </w:p>
    <w:p w14:paraId="2B4BA28C" w14:textId="77777777" w:rsidR="00435540" w:rsidRPr="00D35659" w:rsidRDefault="00435540" w:rsidP="00435540">
      <w:pPr>
        <w:spacing w:after="0"/>
        <w:rPr>
          <w:rFonts w:ascii="Times New Roman" w:hAnsi="Times New Roman" w:cs="Times New Roman"/>
          <w:b/>
          <w:bCs/>
          <w:lang w:val="en-US"/>
        </w:rPr>
      </w:pPr>
    </w:p>
    <w:p w14:paraId="0FA78F9B"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Table S3</w:t>
      </w:r>
    </w:p>
    <w:tbl>
      <w:tblPr>
        <w:tblStyle w:val="Tabelraster"/>
        <w:tblpPr w:leftFromText="141" w:rightFromText="141" w:vertAnchor="text" w:tblpY="1"/>
        <w:tblOverlap w:val="never"/>
        <w:tblW w:w="0" w:type="auto"/>
        <w:tblLook w:val="04A0" w:firstRow="1" w:lastRow="0" w:firstColumn="1" w:lastColumn="0" w:noHBand="0" w:noVBand="1"/>
      </w:tblPr>
      <w:tblGrid>
        <w:gridCol w:w="1006"/>
        <w:gridCol w:w="1054"/>
        <w:gridCol w:w="1054"/>
        <w:gridCol w:w="1054"/>
        <w:gridCol w:w="1054"/>
        <w:gridCol w:w="1054"/>
      </w:tblGrid>
      <w:tr w:rsidR="00435540" w:rsidRPr="00D35659" w14:paraId="6CBFB3B0" w14:textId="77777777" w:rsidTr="003A799A">
        <w:tc>
          <w:tcPr>
            <w:tcW w:w="1006" w:type="dxa"/>
          </w:tcPr>
          <w:p w14:paraId="2A3CF05F"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MEHS</w:t>
            </w:r>
          </w:p>
        </w:tc>
        <w:tc>
          <w:tcPr>
            <w:tcW w:w="1054" w:type="dxa"/>
          </w:tcPr>
          <w:p w14:paraId="7EDE35CA"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2DC278F3" w14:textId="77777777" w:rsidR="00435540" w:rsidRPr="00D35659" w:rsidRDefault="00435540" w:rsidP="003A799A">
            <w:pPr>
              <w:rPr>
                <w:rFonts w:ascii="Times New Roman" w:eastAsiaTheme="minorEastAsia" w:hAnsi="Times New Roman" w:cs="Times New Roman"/>
                <w:lang w:val="en-US"/>
              </w:rPr>
            </w:pPr>
          </w:p>
        </w:tc>
        <w:tc>
          <w:tcPr>
            <w:tcW w:w="1054" w:type="dxa"/>
          </w:tcPr>
          <w:p w14:paraId="18A6D1C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1054" w:type="dxa"/>
          </w:tcPr>
          <w:p w14:paraId="52CA8E6B"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E[DR]</w:t>
            </w:r>
          </w:p>
        </w:tc>
        <w:tc>
          <w:tcPr>
            <w:tcW w:w="1054" w:type="dxa"/>
          </w:tcPr>
          <w:p w14:paraId="3FC67184"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3AFDBC34" w14:textId="77777777" w:rsidR="00435540" w:rsidRPr="00D35659" w:rsidRDefault="00435540" w:rsidP="003A799A">
            <w:pPr>
              <w:rPr>
                <w:rFonts w:ascii="Times New Roman" w:eastAsiaTheme="minorEastAsia" w:hAnsi="Times New Roman" w:cs="Times New Roman"/>
                <w:lang w:val="en-US"/>
              </w:rPr>
            </w:pPr>
          </w:p>
        </w:tc>
        <w:tc>
          <w:tcPr>
            <w:tcW w:w="1054" w:type="dxa"/>
          </w:tcPr>
          <w:p w14:paraId="3329FC45"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w:t>
            </w:r>
          </w:p>
        </w:tc>
      </w:tr>
      <w:tr w:rsidR="00435540" w:rsidRPr="00D35659" w14:paraId="44D471CD" w14:textId="77777777" w:rsidTr="003A799A">
        <w:tc>
          <w:tcPr>
            <w:tcW w:w="1006" w:type="dxa"/>
          </w:tcPr>
          <w:p w14:paraId="115D51DD"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 cm</w:t>
            </w:r>
          </w:p>
        </w:tc>
        <w:tc>
          <w:tcPr>
            <w:tcW w:w="1054" w:type="dxa"/>
            <w:vAlign w:val="bottom"/>
          </w:tcPr>
          <w:p w14:paraId="441A468E" w14:textId="7745D77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007</w:t>
            </w:r>
          </w:p>
        </w:tc>
        <w:tc>
          <w:tcPr>
            <w:tcW w:w="1054" w:type="dxa"/>
            <w:vAlign w:val="bottom"/>
          </w:tcPr>
          <w:p w14:paraId="3F118310" w14:textId="507E6BF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198</w:t>
            </w:r>
          </w:p>
        </w:tc>
        <w:tc>
          <w:tcPr>
            <w:tcW w:w="1054" w:type="dxa"/>
            <w:vAlign w:val="bottom"/>
          </w:tcPr>
          <w:p w14:paraId="1DDDCF9C" w14:textId="52714DD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679</w:t>
            </w:r>
          </w:p>
        </w:tc>
        <w:tc>
          <w:tcPr>
            <w:tcW w:w="1054" w:type="dxa"/>
            <w:vAlign w:val="bottom"/>
          </w:tcPr>
          <w:p w14:paraId="6172627F" w14:textId="0D46F1E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943</w:t>
            </w:r>
          </w:p>
        </w:tc>
        <w:tc>
          <w:tcPr>
            <w:tcW w:w="1054" w:type="dxa"/>
            <w:vAlign w:val="bottom"/>
          </w:tcPr>
          <w:p w14:paraId="7C397F45" w14:textId="3BE1D61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085</w:t>
            </w:r>
          </w:p>
        </w:tc>
      </w:tr>
      <w:tr w:rsidR="00435540" w:rsidRPr="00D35659" w14:paraId="14D7AC11" w14:textId="77777777" w:rsidTr="003A799A">
        <w:tc>
          <w:tcPr>
            <w:tcW w:w="1006" w:type="dxa"/>
          </w:tcPr>
          <w:p w14:paraId="251EA981"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 cm</w:t>
            </w:r>
          </w:p>
        </w:tc>
        <w:tc>
          <w:tcPr>
            <w:tcW w:w="1054" w:type="dxa"/>
            <w:vAlign w:val="bottom"/>
          </w:tcPr>
          <w:p w14:paraId="24598026" w14:textId="28177A1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009</w:t>
            </w:r>
          </w:p>
        </w:tc>
        <w:tc>
          <w:tcPr>
            <w:tcW w:w="1054" w:type="dxa"/>
            <w:vAlign w:val="bottom"/>
          </w:tcPr>
          <w:p w14:paraId="1895F3D2" w14:textId="0C225BF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215</w:t>
            </w:r>
          </w:p>
        </w:tc>
        <w:tc>
          <w:tcPr>
            <w:tcW w:w="1054" w:type="dxa"/>
            <w:vAlign w:val="bottom"/>
          </w:tcPr>
          <w:p w14:paraId="4BB773BD" w14:textId="1E7DCCC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708</w:t>
            </w:r>
          </w:p>
        </w:tc>
        <w:tc>
          <w:tcPr>
            <w:tcW w:w="1054" w:type="dxa"/>
            <w:vAlign w:val="bottom"/>
          </w:tcPr>
          <w:p w14:paraId="57DFF931" w14:textId="26F912A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983</w:t>
            </w:r>
          </w:p>
        </w:tc>
        <w:tc>
          <w:tcPr>
            <w:tcW w:w="1054" w:type="dxa"/>
            <w:vAlign w:val="bottom"/>
          </w:tcPr>
          <w:p w14:paraId="4667BD58" w14:textId="1CA0D08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149</w:t>
            </w:r>
          </w:p>
        </w:tc>
      </w:tr>
      <w:tr w:rsidR="00435540" w:rsidRPr="00D35659" w14:paraId="4ACCEE4F" w14:textId="77777777" w:rsidTr="003A799A">
        <w:tc>
          <w:tcPr>
            <w:tcW w:w="1006" w:type="dxa"/>
          </w:tcPr>
          <w:p w14:paraId="30F0CC83"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3 cm</w:t>
            </w:r>
          </w:p>
        </w:tc>
        <w:tc>
          <w:tcPr>
            <w:tcW w:w="1054" w:type="dxa"/>
            <w:vAlign w:val="bottom"/>
          </w:tcPr>
          <w:p w14:paraId="20E28A3E" w14:textId="17F7335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010</w:t>
            </w:r>
          </w:p>
        </w:tc>
        <w:tc>
          <w:tcPr>
            <w:tcW w:w="1054" w:type="dxa"/>
            <w:vAlign w:val="bottom"/>
          </w:tcPr>
          <w:p w14:paraId="2DDE3F65" w14:textId="39127B0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229</w:t>
            </w:r>
          </w:p>
        </w:tc>
        <w:tc>
          <w:tcPr>
            <w:tcW w:w="1054" w:type="dxa"/>
            <w:vAlign w:val="bottom"/>
          </w:tcPr>
          <w:p w14:paraId="4232DB7C" w14:textId="23E91C3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731</w:t>
            </w:r>
          </w:p>
        </w:tc>
        <w:tc>
          <w:tcPr>
            <w:tcW w:w="1054" w:type="dxa"/>
            <w:vAlign w:val="bottom"/>
          </w:tcPr>
          <w:p w14:paraId="341AFD10" w14:textId="422C49E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014</w:t>
            </w:r>
          </w:p>
        </w:tc>
        <w:tc>
          <w:tcPr>
            <w:tcW w:w="1054" w:type="dxa"/>
            <w:vAlign w:val="bottom"/>
          </w:tcPr>
          <w:p w14:paraId="0A6B2090" w14:textId="0A4B00B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199</w:t>
            </w:r>
          </w:p>
        </w:tc>
      </w:tr>
      <w:tr w:rsidR="00435540" w:rsidRPr="00D35659" w14:paraId="799A4B48" w14:textId="77777777" w:rsidTr="003A799A">
        <w:tc>
          <w:tcPr>
            <w:tcW w:w="1006" w:type="dxa"/>
          </w:tcPr>
          <w:p w14:paraId="32DF16CE"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4 cm</w:t>
            </w:r>
          </w:p>
        </w:tc>
        <w:tc>
          <w:tcPr>
            <w:tcW w:w="1054" w:type="dxa"/>
            <w:vAlign w:val="bottom"/>
          </w:tcPr>
          <w:p w14:paraId="337AA8F7" w14:textId="6110EDD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012</w:t>
            </w:r>
          </w:p>
        </w:tc>
        <w:tc>
          <w:tcPr>
            <w:tcW w:w="1054" w:type="dxa"/>
            <w:vAlign w:val="bottom"/>
          </w:tcPr>
          <w:p w14:paraId="03B0D431" w14:textId="6608CFC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241</w:t>
            </w:r>
          </w:p>
        </w:tc>
        <w:tc>
          <w:tcPr>
            <w:tcW w:w="1054" w:type="dxa"/>
            <w:vAlign w:val="bottom"/>
          </w:tcPr>
          <w:p w14:paraId="31C901B7" w14:textId="0C54559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750</w:t>
            </w:r>
          </w:p>
        </w:tc>
        <w:tc>
          <w:tcPr>
            <w:tcW w:w="1054" w:type="dxa"/>
            <w:vAlign w:val="bottom"/>
          </w:tcPr>
          <w:p w14:paraId="07539FE0" w14:textId="3B23EE7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041</w:t>
            </w:r>
          </w:p>
        </w:tc>
        <w:tc>
          <w:tcPr>
            <w:tcW w:w="1054" w:type="dxa"/>
            <w:vAlign w:val="bottom"/>
          </w:tcPr>
          <w:p w14:paraId="2E291869" w14:textId="01C9208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242</w:t>
            </w:r>
          </w:p>
        </w:tc>
      </w:tr>
      <w:tr w:rsidR="00435540" w:rsidRPr="00D35659" w14:paraId="4E418BA9" w14:textId="77777777" w:rsidTr="003A799A">
        <w:tc>
          <w:tcPr>
            <w:tcW w:w="1006" w:type="dxa"/>
          </w:tcPr>
          <w:p w14:paraId="2F4712E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5 cm</w:t>
            </w:r>
          </w:p>
        </w:tc>
        <w:tc>
          <w:tcPr>
            <w:tcW w:w="1054" w:type="dxa"/>
            <w:vAlign w:val="bottom"/>
          </w:tcPr>
          <w:p w14:paraId="54ABEFD1" w14:textId="460DFCA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013</w:t>
            </w:r>
          </w:p>
        </w:tc>
        <w:tc>
          <w:tcPr>
            <w:tcW w:w="1054" w:type="dxa"/>
            <w:vAlign w:val="bottom"/>
          </w:tcPr>
          <w:p w14:paraId="631C19F6" w14:textId="77590A9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252</w:t>
            </w:r>
          </w:p>
        </w:tc>
        <w:tc>
          <w:tcPr>
            <w:tcW w:w="1054" w:type="dxa"/>
            <w:vAlign w:val="bottom"/>
          </w:tcPr>
          <w:p w14:paraId="481CE7EE" w14:textId="4E954E1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768</w:t>
            </w:r>
          </w:p>
        </w:tc>
        <w:tc>
          <w:tcPr>
            <w:tcW w:w="1054" w:type="dxa"/>
            <w:vAlign w:val="bottom"/>
          </w:tcPr>
          <w:p w14:paraId="17FA6F14" w14:textId="12873BF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065</w:t>
            </w:r>
          </w:p>
        </w:tc>
        <w:tc>
          <w:tcPr>
            <w:tcW w:w="1054" w:type="dxa"/>
            <w:vAlign w:val="bottom"/>
          </w:tcPr>
          <w:p w14:paraId="7D840F07" w14:textId="1BA44DC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281</w:t>
            </w:r>
          </w:p>
        </w:tc>
      </w:tr>
      <w:tr w:rsidR="00435540" w:rsidRPr="00D35659" w14:paraId="07218029" w14:textId="77777777" w:rsidTr="003A799A">
        <w:tc>
          <w:tcPr>
            <w:tcW w:w="1006" w:type="dxa"/>
          </w:tcPr>
          <w:p w14:paraId="43979FA5"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6 cm</w:t>
            </w:r>
          </w:p>
        </w:tc>
        <w:tc>
          <w:tcPr>
            <w:tcW w:w="1054" w:type="dxa"/>
            <w:vAlign w:val="bottom"/>
          </w:tcPr>
          <w:p w14:paraId="2AD46132" w14:textId="1B03470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014</w:t>
            </w:r>
          </w:p>
        </w:tc>
        <w:tc>
          <w:tcPr>
            <w:tcW w:w="1054" w:type="dxa"/>
            <w:vAlign w:val="bottom"/>
          </w:tcPr>
          <w:p w14:paraId="30A1965A" w14:textId="254AA40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263</w:t>
            </w:r>
          </w:p>
        </w:tc>
        <w:tc>
          <w:tcPr>
            <w:tcW w:w="1054" w:type="dxa"/>
            <w:vAlign w:val="bottom"/>
          </w:tcPr>
          <w:p w14:paraId="4211D6B5" w14:textId="391E2B4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785</w:t>
            </w:r>
          </w:p>
        </w:tc>
        <w:tc>
          <w:tcPr>
            <w:tcW w:w="1054" w:type="dxa"/>
            <w:vAlign w:val="bottom"/>
          </w:tcPr>
          <w:p w14:paraId="4166B9B1" w14:textId="1A0D87B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087</w:t>
            </w:r>
          </w:p>
        </w:tc>
        <w:tc>
          <w:tcPr>
            <w:tcW w:w="1054" w:type="dxa"/>
            <w:vAlign w:val="bottom"/>
          </w:tcPr>
          <w:p w14:paraId="1CEE9046" w14:textId="1F990F3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316</w:t>
            </w:r>
          </w:p>
        </w:tc>
      </w:tr>
      <w:tr w:rsidR="00435540" w:rsidRPr="00D35659" w14:paraId="73DA9734" w14:textId="77777777" w:rsidTr="003A799A">
        <w:tc>
          <w:tcPr>
            <w:tcW w:w="1006" w:type="dxa"/>
          </w:tcPr>
          <w:p w14:paraId="2B3E573F"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 cm</w:t>
            </w:r>
          </w:p>
        </w:tc>
        <w:tc>
          <w:tcPr>
            <w:tcW w:w="1054" w:type="dxa"/>
            <w:vAlign w:val="bottom"/>
          </w:tcPr>
          <w:p w14:paraId="11A5E820" w14:textId="3BF9F9B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015</w:t>
            </w:r>
          </w:p>
        </w:tc>
        <w:tc>
          <w:tcPr>
            <w:tcW w:w="1054" w:type="dxa"/>
            <w:vAlign w:val="bottom"/>
          </w:tcPr>
          <w:p w14:paraId="24C6DE1B" w14:textId="04EC6CA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272</w:t>
            </w:r>
          </w:p>
        </w:tc>
        <w:tc>
          <w:tcPr>
            <w:tcW w:w="1054" w:type="dxa"/>
            <w:vAlign w:val="bottom"/>
          </w:tcPr>
          <w:p w14:paraId="7C437A69" w14:textId="354EBF0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800</w:t>
            </w:r>
          </w:p>
        </w:tc>
        <w:tc>
          <w:tcPr>
            <w:tcW w:w="1054" w:type="dxa"/>
            <w:vAlign w:val="bottom"/>
          </w:tcPr>
          <w:p w14:paraId="43BC0EB9" w14:textId="61F9CA9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108</w:t>
            </w:r>
          </w:p>
        </w:tc>
        <w:tc>
          <w:tcPr>
            <w:tcW w:w="1054" w:type="dxa"/>
            <w:vAlign w:val="bottom"/>
          </w:tcPr>
          <w:p w14:paraId="208D9D5C" w14:textId="78B67DF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349</w:t>
            </w:r>
          </w:p>
        </w:tc>
      </w:tr>
      <w:tr w:rsidR="00435540" w:rsidRPr="00D35659" w14:paraId="0500D950" w14:textId="77777777" w:rsidTr="003A799A">
        <w:tc>
          <w:tcPr>
            <w:tcW w:w="1006" w:type="dxa"/>
          </w:tcPr>
          <w:p w14:paraId="23E79C5B"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8 cm</w:t>
            </w:r>
          </w:p>
        </w:tc>
        <w:tc>
          <w:tcPr>
            <w:tcW w:w="1054" w:type="dxa"/>
            <w:vAlign w:val="bottom"/>
          </w:tcPr>
          <w:p w14:paraId="07660948" w14:textId="380F637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017</w:t>
            </w:r>
          </w:p>
        </w:tc>
        <w:tc>
          <w:tcPr>
            <w:tcW w:w="1054" w:type="dxa"/>
            <w:vAlign w:val="bottom"/>
          </w:tcPr>
          <w:p w14:paraId="707EC7CD" w14:textId="2E8EBF3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282</w:t>
            </w:r>
          </w:p>
        </w:tc>
        <w:tc>
          <w:tcPr>
            <w:tcW w:w="1054" w:type="dxa"/>
            <w:vAlign w:val="bottom"/>
          </w:tcPr>
          <w:p w14:paraId="4AC3E999" w14:textId="644AF89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815</w:t>
            </w:r>
          </w:p>
        </w:tc>
        <w:tc>
          <w:tcPr>
            <w:tcW w:w="1054" w:type="dxa"/>
            <w:vAlign w:val="bottom"/>
          </w:tcPr>
          <w:p w14:paraId="58E58299" w14:textId="395DACF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128</w:t>
            </w:r>
          </w:p>
        </w:tc>
        <w:tc>
          <w:tcPr>
            <w:tcW w:w="1054" w:type="dxa"/>
            <w:vAlign w:val="bottom"/>
          </w:tcPr>
          <w:p w14:paraId="77D0169F" w14:textId="62A2B7C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380</w:t>
            </w:r>
          </w:p>
        </w:tc>
      </w:tr>
    </w:tbl>
    <w:p w14:paraId="0C9D75CF" w14:textId="77777777" w:rsidR="00435540" w:rsidRPr="00D35659" w:rsidRDefault="00435540" w:rsidP="00435540">
      <w:pPr>
        <w:spacing w:after="0"/>
        <w:jc w:val="both"/>
        <w:rPr>
          <w:rFonts w:ascii="Times New Roman" w:hAnsi="Times New Roman" w:cs="Times New Roman"/>
          <w:lang w:val="en-US"/>
        </w:rPr>
      </w:pPr>
      <w:r w:rsidRPr="00D35659">
        <w:rPr>
          <w:rFonts w:ascii="Times New Roman" w:hAnsi="Times New Roman" w:cs="Times New Roman"/>
          <w:lang w:val="en-US"/>
        </w:rPr>
        <w:br w:type="textWrapping" w:clear="all"/>
        <w:t xml:space="preserve">Expected damage ratios (%) and their </w:t>
      </w: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hAnsi="Times New Roman" w:cs="Times New Roman"/>
          <w:lang w:val="en-US"/>
        </w:rPr>
        <w:t>, 25</w:t>
      </w:r>
      <w:r w:rsidRPr="00D35659">
        <w:rPr>
          <w:rFonts w:ascii="Times New Roman" w:hAnsi="Times New Roman" w:cs="Times New Roman"/>
          <w:vertAlign w:val="superscript"/>
          <w:lang w:val="en-US"/>
        </w:rPr>
        <w:t>th</w:t>
      </w:r>
      <w:r w:rsidRPr="00D35659">
        <w:rPr>
          <w:rFonts w:ascii="Times New Roman" w:hAnsi="Times New Roman" w:cs="Times New Roman"/>
          <w:lang w:val="en-US"/>
        </w:rPr>
        <w:t>, 75</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and 99</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quantiles.</w:t>
      </w:r>
    </w:p>
    <w:p w14:paraId="0FBD2BF7" w14:textId="77777777" w:rsidR="00435540" w:rsidRPr="00D35659" w:rsidRDefault="00435540" w:rsidP="00435540">
      <w:pPr>
        <w:spacing w:after="0"/>
        <w:jc w:val="both"/>
        <w:rPr>
          <w:rFonts w:ascii="Times New Roman" w:hAnsi="Times New Roman" w:cs="Times New Roman"/>
          <w:lang w:val="en-US"/>
        </w:rPr>
      </w:pPr>
    </w:p>
    <w:p w14:paraId="674C6B2F"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Table S4</w:t>
      </w:r>
    </w:p>
    <w:tbl>
      <w:tblPr>
        <w:tblStyle w:val="Tabelraster"/>
        <w:tblW w:w="0" w:type="auto"/>
        <w:tblLook w:val="04A0" w:firstRow="1" w:lastRow="0" w:firstColumn="1" w:lastColumn="0" w:noHBand="0" w:noVBand="1"/>
      </w:tblPr>
      <w:tblGrid>
        <w:gridCol w:w="1000"/>
        <w:gridCol w:w="720"/>
        <w:gridCol w:w="720"/>
        <w:gridCol w:w="720"/>
        <w:gridCol w:w="720"/>
        <w:gridCol w:w="720"/>
        <w:gridCol w:w="222"/>
        <w:gridCol w:w="847"/>
        <w:gridCol w:w="847"/>
        <w:gridCol w:w="848"/>
        <w:gridCol w:w="848"/>
        <w:gridCol w:w="848"/>
      </w:tblGrid>
      <w:tr w:rsidR="00435540" w:rsidRPr="00D35659" w14:paraId="05D32B87" w14:textId="77777777" w:rsidTr="003A799A">
        <w:tc>
          <w:tcPr>
            <w:tcW w:w="1002" w:type="dxa"/>
          </w:tcPr>
          <w:p w14:paraId="79B8DCB6"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Wind gust speed</w:t>
            </w:r>
          </w:p>
        </w:tc>
        <w:tc>
          <w:tcPr>
            <w:tcW w:w="720" w:type="dxa"/>
          </w:tcPr>
          <w:p w14:paraId="43F82EDF"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232B0B7D" w14:textId="77777777" w:rsidR="00435540" w:rsidRPr="00D35659" w:rsidRDefault="00435540" w:rsidP="003A799A">
            <w:pPr>
              <w:rPr>
                <w:rFonts w:ascii="Times New Roman" w:eastAsiaTheme="minorEastAsia" w:hAnsi="Times New Roman" w:cs="Times New Roman"/>
                <w:lang w:val="en-US"/>
              </w:rPr>
            </w:pPr>
          </w:p>
        </w:tc>
        <w:tc>
          <w:tcPr>
            <w:tcW w:w="720" w:type="dxa"/>
          </w:tcPr>
          <w:p w14:paraId="45647228"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720" w:type="dxa"/>
          </w:tcPr>
          <w:p w14:paraId="397C47C4"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75% lower CI</w:t>
            </w:r>
          </w:p>
        </w:tc>
        <w:tc>
          <w:tcPr>
            <w:tcW w:w="720" w:type="dxa"/>
          </w:tcPr>
          <w:p w14:paraId="6FD9FEDF"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19139498" w14:textId="77777777" w:rsidR="00435540" w:rsidRPr="00D35659" w:rsidRDefault="00435540" w:rsidP="003A799A">
            <w:pPr>
              <w:rPr>
                <w:rFonts w:ascii="Times New Roman" w:eastAsiaTheme="minorEastAsia" w:hAnsi="Times New Roman" w:cs="Times New Roman"/>
                <w:lang w:val="en-US"/>
              </w:rPr>
            </w:pPr>
          </w:p>
        </w:tc>
        <w:tc>
          <w:tcPr>
            <w:tcW w:w="720" w:type="dxa"/>
          </w:tcPr>
          <w:p w14:paraId="1F384E22"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222" w:type="dxa"/>
            <w:vMerge w:val="restart"/>
          </w:tcPr>
          <w:p w14:paraId="4E1A29B2" w14:textId="77777777" w:rsidR="00435540" w:rsidRPr="00D35659" w:rsidRDefault="00435540" w:rsidP="003A799A">
            <w:pPr>
              <w:rPr>
                <w:rFonts w:ascii="Times New Roman" w:eastAsiaTheme="minorEastAsia" w:hAnsi="Times New Roman" w:cs="Times New Roman"/>
                <w:lang w:val="en-US"/>
              </w:rPr>
            </w:pPr>
          </w:p>
        </w:tc>
        <w:tc>
          <w:tcPr>
            <w:tcW w:w="847" w:type="dxa"/>
          </w:tcPr>
          <w:p w14:paraId="5CBE661B"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0F600EDA" w14:textId="77777777" w:rsidR="00435540" w:rsidRPr="00D35659" w:rsidRDefault="00435540" w:rsidP="003A799A">
            <w:pPr>
              <w:rPr>
                <w:rFonts w:ascii="Times New Roman" w:eastAsiaTheme="minorEastAsia" w:hAnsi="Times New Roman" w:cs="Times New Roman"/>
                <w:lang w:val="en-US"/>
              </w:rPr>
            </w:pPr>
          </w:p>
        </w:tc>
        <w:tc>
          <w:tcPr>
            <w:tcW w:w="847" w:type="dxa"/>
          </w:tcPr>
          <w:p w14:paraId="73266A0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848" w:type="dxa"/>
          </w:tcPr>
          <w:p w14:paraId="23BE8E86"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75% upper CI</w:t>
            </w:r>
          </w:p>
        </w:tc>
        <w:tc>
          <w:tcPr>
            <w:tcW w:w="848" w:type="dxa"/>
          </w:tcPr>
          <w:p w14:paraId="606E6772"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0683662C" w14:textId="77777777" w:rsidR="00435540" w:rsidRPr="00D35659" w:rsidRDefault="00435540" w:rsidP="003A799A">
            <w:pPr>
              <w:rPr>
                <w:rFonts w:ascii="Times New Roman" w:eastAsiaTheme="minorEastAsia" w:hAnsi="Times New Roman" w:cs="Times New Roman"/>
                <w:lang w:val="en-US"/>
              </w:rPr>
            </w:pPr>
          </w:p>
        </w:tc>
        <w:tc>
          <w:tcPr>
            <w:tcW w:w="848" w:type="dxa"/>
          </w:tcPr>
          <w:p w14:paraId="79F34CB8"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r>
      <w:tr w:rsidR="00435540" w:rsidRPr="00D35659" w14:paraId="269708D0" w14:textId="77777777" w:rsidTr="003A799A">
        <w:tc>
          <w:tcPr>
            <w:tcW w:w="1002" w:type="dxa"/>
          </w:tcPr>
          <w:p w14:paraId="1139971D"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 cm</w:t>
            </w:r>
          </w:p>
        </w:tc>
        <w:tc>
          <w:tcPr>
            <w:tcW w:w="720" w:type="dxa"/>
            <w:vAlign w:val="bottom"/>
          </w:tcPr>
          <w:p w14:paraId="6966E86F" w14:textId="56BE1DF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007</w:t>
            </w:r>
          </w:p>
        </w:tc>
        <w:tc>
          <w:tcPr>
            <w:tcW w:w="720" w:type="dxa"/>
            <w:vAlign w:val="bottom"/>
          </w:tcPr>
          <w:p w14:paraId="2BEFCD4E" w14:textId="571B521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195</w:t>
            </w:r>
          </w:p>
        </w:tc>
        <w:tc>
          <w:tcPr>
            <w:tcW w:w="720" w:type="dxa"/>
            <w:vAlign w:val="bottom"/>
          </w:tcPr>
          <w:p w14:paraId="29A40127" w14:textId="0D8974F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674</w:t>
            </w:r>
          </w:p>
        </w:tc>
        <w:tc>
          <w:tcPr>
            <w:tcW w:w="720" w:type="dxa"/>
            <w:vAlign w:val="bottom"/>
          </w:tcPr>
          <w:p w14:paraId="13CD0A84" w14:textId="230456B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936</w:t>
            </w:r>
          </w:p>
        </w:tc>
        <w:tc>
          <w:tcPr>
            <w:tcW w:w="720" w:type="dxa"/>
            <w:vAlign w:val="bottom"/>
          </w:tcPr>
          <w:p w14:paraId="3C191929" w14:textId="2441FBF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073</w:t>
            </w:r>
          </w:p>
        </w:tc>
        <w:tc>
          <w:tcPr>
            <w:tcW w:w="222" w:type="dxa"/>
            <w:vMerge/>
          </w:tcPr>
          <w:p w14:paraId="29E6FE02"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1DAB4A7A" w14:textId="287D9CC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007</w:t>
            </w:r>
          </w:p>
        </w:tc>
        <w:tc>
          <w:tcPr>
            <w:tcW w:w="847" w:type="dxa"/>
            <w:vAlign w:val="bottom"/>
          </w:tcPr>
          <w:p w14:paraId="4F54E331" w14:textId="67C7119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202</w:t>
            </w:r>
          </w:p>
        </w:tc>
        <w:tc>
          <w:tcPr>
            <w:tcW w:w="848" w:type="dxa"/>
            <w:vAlign w:val="bottom"/>
          </w:tcPr>
          <w:p w14:paraId="069CA379" w14:textId="68DBA0C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685</w:t>
            </w:r>
          </w:p>
        </w:tc>
        <w:tc>
          <w:tcPr>
            <w:tcW w:w="848" w:type="dxa"/>
            <w:vAlign w:val="bottom"/>
          </w:tcPr>
          <w:p w14:paraId="4238162C" w14:textId="1A96683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951</w:t>
            </w:r>
          </w:p>
        </w:tc>
        <w:tc>
          <w:tcPr>
            <w:tcW w:w="848" w:type="dxa"/>
            <w:vAlign w:val="bottom"/>
          </w:tcPr>
          <w:p w14:paraId="7CB77F2E" w14:textId="7D5FE9F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097</w:t>
            </w:r>
          </w:p>
        </w:tc>
      </w:tr>
      <w:tr w:rsidR="00435540" w:rsidRPr="00D35659" w14:paraId="06886D65" w14:textId="77777777" w:rsidTr="003A799A">
        <w:tc>
          <w:tcPr>
            <w:tcW w:w="1002" w:type="dxa"/>
          </w:tcPr>
          <w:p w14:paraId="0B39EC35"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 cm</w:t>
            </w:r>
          </w:p>
        </w:tc>
        <w:tc>
          <w:tcPr>
            <w:tcW w:w="720" w:type="dxa"/>
            <w:vAlign w:val="bottom"/>
          </w:tcPr>
          <w:p w14:paraId="48275C29" w14:textId="25E92BE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008</w:t>
            </w:r>
          </w:p>
        </w:tc>
        <w:tc>
          <w:tcPr>
            <w:tcW w:w="720" w:type="dxa"/>
            <w:vAlign w:val="bottom"/>
          </w:tcPr>
          <w:p w14:paraId="29075F7F" w14:textId="632BC68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212</w:t>
            </w:r>
          </w:p>
        </w:tc>
        <w:tc>
          <w:tcPr>
            <w:tcW w:w="720" w:type="dxa"/>
            <w:vAlign w:val="bottom"/>
          </w:tcPr>
          <w:p w14:paraId="1AE7535F" w14:textId="340B4C5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701</w:t>
            </w:r>
          </w:p>
        </w:tc>
        <w:tc>
          <w:tcPr>
            <w:tcW w:w="720" w:type="dxa"/>
            <w:vAlign w:val="bottom"/>
          </w:tcPr>
          <w:p w14:paraId="37761AE2" w14:textId="458AF6C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974</w:t>
            </w:r>
          </w:p>
        </w:tc>
        <w:tc>
          <w:tcPr>
            <w:tcW w:w="720" w:type="dxa"/>
            <w:vAlign w:val="bottom"/>
          </w:tcPr>
          <w:p w14:paraId="48F232DB" w14:textId="7C3AB42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135</w:t>
            </w:r>
          </w:p>
        </w:tc>
        <w:tc>
          <w:tcPr>
            <w:tcW w:w="222" w:type="dxa"/>
            <w:vMerge/>
          </w:tcPr>
          <w:p w14:paraId="0E95E4D6"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2778A116" w14:textId="5C6E767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009</w:t>
            </w:r>
          </w:p>
        </w:tc>
        <w:tc>
          <w:tcPr>
            <w:tcW w:w="847" w:type="dxa"/>
            <w:vAlign w:val="bottom"/>
          </w:tcPr>
          <w:p w14:paraId="59C89D6F" w14:textId="496A764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219</w:t>
            </w:r>
          </w:p>
        </w:tc>
        <w:tc>
          <w:tcPr>
            <w:tcW w:w="848" w:type="dxa"/>
            <w:vAlign w:val="bottom"/>
          </w:tcPr>
          <w:p w14:paraId="004CA05E" w14:textId="33A30D8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714</w:t>
            </w:r>
          </w:p>
        </w:tc>
        <w:tc>
          <w:tcPr>
            <w:tcW w:w="848" w:type="dxa"/>
            <w:vAlign w:val="bottom"/>
          </w:tcPr>
          <w:p w14:paraId="16B0DEFD" w14:textId="180F7A2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991</w:t>
            </w:r>
          </w:p>
        </w:tc>
        <w:tc>
          <w:tcPr>
            <w:tcW w:w="848" w:type="dxa"/>
            <w:vAlign w:val="bottom"/>
          </w:tcPr>
          <w:p w14:paraId="1A67432A" w14:textId="0C4EEB7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163</w:t>
            </w:r>
          </w:p>
        </w:tc>
      </w:tr>
      <w:tr w:rsidR="00435540" w:rsidRPr="00D35659" w14:paraId="3E4E3C4F" w14:textId="77777777" w:rsidTr="003A799A">
        <w:tc>
          <w:tcPr>
            <w:tcW w:w="1002" w:type="dxa"/>
          </w:tcPr>
          <w:p w14:paraId="3AD97E22"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3 cm</w:t>
            </w:r>
          </w:p>
        </w:tc>
        <w:tc>
          <w:tcPr>
            <w:tcW w:w="720" w:type="dxa"/>
            <w:vAlign w:val="bottom"/>
          </w:tcPr>
          <w:p w14:paraId="44C8C476" w14:textId="6726184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010</w:t>
            </w:r>
          </w:p>
        </w:tc>
        <w:tc>
          <w:tcPr>
            <w:tcW w:w="720" w:type="dxa"/>
            <w:vAlign w:val="bottom"/>
          </w:tcPr>
          <w:p w14:paraId="6525B450" w14:textId="18E46F0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225</w:t>
            </w:r>
          </w:p>
        </w:tc>
        <w:tc>
          <w:tcPr>
            <w:tcW w:w="720" w:type="dxa"/>
            <w:vAlign w:val="bottom"/>
          </w:tcPr>
          <w:p w14:paraId="72834BE8" w14:textId="6332147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723</w:t>
            </w:r>
          </w:p>
        </w:tc>
        <w:tc>
          <w:tcPr>
            <w:tcW w:w="720" w:type="dxa"/>
            <w:vAlign w:val="bottom"/>
          </w:tcPr>
          <w:p w14:paraId="3204043C" w14:textId="6C1C856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004</w:t>
            </w:r>
          </w:p>
        </w:tc>
        <w:tc>
          <w:tcPr>
            <w:tcW w:w="720" w:type="dxa"/>
            <w:vAlign w:val="bottom"/>
          </w:tcPr>
          <w:p w14:paraId="5F233C80" w14:textId="70C94E2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183</w:t>
            </w:r>
          </w:p>
        </w:tc>
        <w:tc>
          <w:tcPr>
            <w:tcW w:w="222" w:type="dxa"/>
            <w:vMerge/>
          </w:tcPr>
          <w:p w14:paraId="65D4D802"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316FB8F1" w14:textId="27F356B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011</w:t>
            </w:r>
          </w:p>
        </w:tc>
        <w:tc>
          <w:tcPr>
            <w:tcW w:w="847" w:type="dxa"/>
            <w:vAlign w:val="bottom"/>
          </w:tcPr>
          <w:p w14:paraId="2616C4D4" w14:textId="2B981D2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234</w:t>
            </w:r>
          </w:p>
        </w:tc>
        <w:tc>
          <w:tcPr>
            <w:tcW w:w="848" w:type="dxa"/>
            <w:vAlign w:val="bottom"/>
          </w:tcPr>
          <w:p w14:paraId="5289B33C" w14:textId="4B44D47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738</w:t>
            </w:r>
          </w:p>
        </w:tc>
        <w:tc>
          <w:tcPr>
            <w:tcW w:w="848" w:type="dxa"/>
            <w:vAlign w:val="bottom"/>
          </w:tcPr>
          <w:p w14:paraId="07ADE3CF" w14:textId="7EC7B63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024</w:t>
            </w:r>
          </w:p>
        </w:tc>
        <w:tc>
          <w:tcPr>
            <w:tcW w:w="848" w:type="dxa"/>
            <w:vAlign w:val="bottom"/>
          </w:tcPr>
          <w:p w14:paraId="35093BF7" w14:textId="55AB763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214</w:t>
            </w:r>
          </w:p>
        </w:tc>
      </w:tr>
      <w:tr w:rsidR="00435540" w:rsidRPr="00D35659" w14:paraId="142A522F" w14:textId="77777777" w:rsidTr="003A799A">
        <w:tc>
          <w:tcPr>
            <w:tcW w:w="1002" w:type="dxa"/>
          </w:tcPr>
          <w:p w14:paraId="5A6C8AC6"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4 cm</w:t>
            </w:r>
          </w:p>
        </w:tc>
        <w:tc>
          <w:tcPr>
            <w:tcW w:w="720" w:type="dxa"/>
            <w:vAlign w:val="bottom"/>
          </w:tcPr>
          <w:p w14:paraId="1114B33C" w14:textId="0E441ED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011</w:t>
            </w:r>
          </w:p>
        </w:tc>
        <w:tc>
          <w:tcPr>
            <w:tcW w:w="720" w:type="dxa"/>
            <w:vAlign w:val="bottom"/>
          </w:tcPr>
          <w:p w14:paraId="622CCE73" w14:textId="34B38D0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237</w:t>
            </w:r>
          </w:p>
        </w:tc>
        <w:tc>
          <w:tcPr>
            <w:tcW w:w="720" w:type="dxa"/>
            <w:vAlign w:val="bottom"/>
          </w:tcPr>
          <w:p w14:paraId="6BF900D2" w14:textId="2FCF897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743</w:t>
            </w:r>
          </w:p>
        </w:tc>
        <w:tc>
          <w:tcPr>
            <w:tcW w:w="720" w:type="dxa"/>
            <w:vAlign w:val="bottom"/>
          </w:tcPr>
          <w:p w14:paraId="4AA15979" w14:textId="04596B3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030</w:t>
            </w:r>
          </w:p>
        </w:tc>
        <w:tc>
          <w:tcPr>
            <w:tcW w:w="720" w:type="dxa"/>
            <w:vAlign w:val="bottom"/>
          </w:tcPr>
          <w:p w14:paraId="2AF24110" w14:textId="6645D1B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225</w:t>
            </w:r>
          </w:p>
        </w:tc>
        <w:tc>
          <w:tcPr>
            <w:tcW w:w="222" w:type="dxa"/>
            <w:vMerge/>
          </w:tcPr>
          <w:p w14:paraId="2AB6CEF1"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422DBC02" w14:textId="605E6B4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012</w:t>
            </w:r>
          </w:p>
        </w:tc>
        <w:tc>
          <w:tcPr>
            <w:tcW w:w="847" w:type="dxa"/>
            <w:vAlign w:val="bottom"/>
          </w:tcPr>
          <w:p w14:paraId="6F926500" w14:textId="18EB3CC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246</w:t>
            </w:r>
          </w:p>
        </w:tc>
        <w:tc>
          <w:tcPr>
            <w:tcW w:w="848" w:type="dxa"/>
            <w:vAlign w:val="bottom"/>
          </w:tcPr>
          <w:p w14:paraId="5E39ADC1" w14:textId="6B363E3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758</w:t>
            </w:r>
          </w:p>
        </w:tc>
        <w:tc>
          <w:tcPr>
            <w:tcW w:w="848" w:type="dxa"/>
            <w:vAlign w:val="bottom"/>
          </w:tcPr>
          <w:p w14:paraId="65CBAF96" w14:textId="6C23A01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051</w:t>
            </w:r>
          </w:p>
        </w:tc>
        <w:tc>
          <w:tcPr>
            <w:tcW w:w="848" w:type="dxa"/>
            <w:vAlign w:val="bottom"/>
          </w:tcPr>
          <w:p w14:paraId="521BEB9A" w14:textId="4D9FFC1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259</w:t>
            </w:r>
          </w:p>
        </w:tc>
      </w:tr>
      <w:tr w:rsidR="00435540" w:rsidRPr="00D35659" w14:paraId="3453FF7D" w14:textId="77777777" w:rsidTr="003A799A">
        <w:tc>
          <w:tcPr>
            <w:tcW w:w="1002" w:type="dxa"/>
          </w:tcPr>
          <w:p w14:paraId="369F8361"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5 cm</w:t>
            </w:r>
          </w:p>
        </w:tc>
        <w:tc>
          <w:tcPr>
            <w:tcW w:w="720" w:type="dxa"/>
            <w:vAlign w:val="bottom"/>
          </w:tcPr>
          <w:p w14:paraId="208003D2" w14:textId="7D13C50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012</w:t>
            </w:r>
          </w:p>
        </w:tc>
        <w:tc>
          <w:tcPr>
            <w:tcW w:w="720" w:type="dxa"/>
            <w:vAlign w:val="bottom"/>
          </w:tcPr>
          <w:p w14:paraId="6A1F521F" w14:textId="348AF3D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247</w:t>
            </w:r>
          </w:p>
        </w:tc>
        <w:tc>
          <w:tcPr>
            <w:tcW w:w="720" w:type="dxa"/>
            <w:vAlign w:val="bottom"/>
          </w:tcPr>
          <w:p w14:paraId="4E9E705D" w14:textId="6BB0BE5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760</w:t>
            </w:r>
          </w:p>
        </w:tc>
        <w:tc>
          <w:tcPr>
            <w:tcW w:w="720" w:type="dxa"/>
            <w:vAlign w:val="bottom"/>
          </w:tcPr>
          <w:p w14:paraId="2F49785A" w14:textId="486B15F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053</w:t>
            </w:r>
          </w:p>
        </w:tc>
        <w:tc>
          <w:tcPr>
            <w:tcW w:w="720" w:type="dxa"/>
            <w:vAlign w:val="bottom"/>
          </w:tcPr>
          <w:p w14:paraId="309AE2FF" w14:textId="036FBC4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262</w:t>
            </w:r>
          </w:p>
        </w:tc>
        <w:tc>
          <w:tcPr>
            <w:tcW w:w="222" w:type="dxa"/>
            <w:vMerge/>
          </w:tcPr>
          <w:p w14:paraId="4103235C"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30704848" w14:textId="043B278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014</w:t>
            </w:r>
          </w:p>
        </w:tc>
        <w:tc>
          <w:tcPr>
            <w:tcW w:w="847" w:type="dxa"/>
            <w:vAlign w:val="bottom"/>
          </w:tcPr>
          <w:p w14:paraId="5E91AD0C" w14:textId="614B85E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258</w:t>
            </w:r>
          </w:p>
        </w:tc>
        <w:tc>
          <w:tcPr>
            <w:tcW w:w="848" w:type="dxa"/>
            <w:vAlign w:val="bottom"/>
          </w:tcPr>
          <w:p w14:paraId="15A89CB9" w14:textId="6CFDCD8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777</w:t>
            </w:r>
          </w:p>
        </w:tc>
        <w:tc>
          <w:tcPr>
            <w:tcW w:w="848" w:type="dxa"/>
            <w:vAlign w:val="bottom"/>
          </w:tcPr>
          <w:p w14:paraId="00912640" w14:textId="6E02599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077</w:t>
            </w:r>
          </w:p>
        </w:tc>
        <w:tc>
          <w:tcPr>
            <w:tcW w:w="848" w:type="dxa"/>
            <w:vAlign w:val="bottom"/>
          </w:tcPr>
          <w:p w14:paraId="5B750BD6" w14:textId="5129313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299</w:t>
            </w:r>
          </w:p>
        </w:tc>
      </w:tr>
      <w:tr w:rsidR="00435540" w:rsidRPr="00D35659" w14:paraId="70EBC513" w14:textId="77777777" w:rsidTr="003A799A">
        <w:tc>
          <w:tcPr>
            <w:tcW w:w="1002" w:type="dxa"/>
          </w:tcPr>
          <w:p w14:paraId="157D2F3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6 cm</w:t>
            </w:r>
          </w:p>
        </w:tc>
        <w:tc>
          <w:tcPr>
            <w:tcW w:w="720" w:type="dxa"/>
            <w:vAlign w:val="bottom"/>
          </w:tcPr>
          <w:p w14:paraId="7E87F091" w14:textId="43C7295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013</w:t>
            </w:r>
          </w:p>
        </w:tc>
        <w:tc>
          <w:tcPr>
            <w:tcW w:w="720" w:type="dxa"/>
            <w:vAlign w:val="bottom"/>
          </w:tcPr>
          <w:p w14:paraId="4024EA5B" w14:textId="256531D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257</w:t>
            </w:r>
          </w:p>
        </w:tc>
        <w:tc>
          <w:tcPr>
            <w:tcW w:w="720" w:type="dxa"/>
            <w:vAlign w:val="bottom"/>
          </w:tcPr>
          <w:p w14:paraId="633F6C50" w14:textId="66CC03A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776</w:t>
            </w:r>
          </w:p>
        </w:tc>
        <w:tc>
          <w:tcPr>
            <w:tcW w:w="720" w:type="dxa"/>
            <w:vAlign w:val="bottom"/>
          </w:tcPr>
          <w:p w14:paraId="132B2F4D" w14:textId="27E14F6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075</w:t>
            </w:r>
          </w:p>
        </w:tc>
        <w:tc>
          <w:tcPr>
            <w:tcW w:w="720" w:type="dxa"/>
            <w:vAlign w:val="bottom"/>
          </w:tcPr>
          <w:p w14:paraId="7AC26892" w14:textId="3AEF756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296</w:t>
            </w:r>
          </w:p>
        </w:tc>
        <w:tc>
          <w:tcPr>
            <w:tcW w:w="222" w:type="dxa"/>
            <w:vMerge/>
          </w:tcPr>
          <w:p w14:paraId="0F32B3CF"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2728CEF6" w14:textId="5ED967C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015</w:t>
            </w:r>
          </w:p>
        </w:tc>
        <w:tc>
          <w:tcPr>
            <w:tcW w:w="847" w:type="dxa"/>
            <w:vAlign w:val="bottom"/>
          </w:tcPr>
          <w:p w14:paraId="63988723" w14:textId="299C6B8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269</w:t>
            </w:r>
          </w:p>
        </w:tc>
        <w:tc>
          <w:tcPr>
            <w:tcW w:w="848" w:type="dxa"/>
            <w:vAlign w:val="bottom"/>
          </w:tcPr>
          <w:p w14:paraId="6D852666" w14:textId="5EBA0B9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794</w:t>
            </w:r>
          </w:p>
        </w:tc>
        <w:tc>
          <w:tcPr>
            <w:tcW w:w="848" w:type="dxa"/>
            <w:vAlign w:val="bottom"/>
          </w:tcPr>
          <w:p w14:paraId="281F0B58" w14:textId="19BA32B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100</w:t>
            </w:r>
          </w:p>
        </w:tc>
        <w:tc>
          <w:tcPr>
            <w:tcW w:w="848" w:type="dxa"/>
            <w:vAlign w:val="bottom"/>
          </w:tcPr>
          <w:p w14:paraId="4A030536" w14:textId="0D8FFFF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336</w:t>
            </w:r>
          </w:p>
        </w:tc>
      </w:tr>
      <w:tr w:rsidR="00435540" w:rsidRPr="00D35659" w14:paraId="79C45A22" w14:textId="77777777" w:rsidTr="003A799A">
        <w:tc>
          <w:tcPr>
            <w:tcW w:w="1002" w:type="dxa"/>
          </w:tcPr>
          <w:p w14:paraId="1FF46FA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 cm</w:t>
            </w:r>
          </w:p>
        </w:tc>
        <w:tc>
          <w:tcPr>
            <w:tcW w:w="720" w:type="dxa"/>
            <w:vAlign w:val="bottom"/>
          </w:tcPr>
          <w:p w14:paraId="7F6C15FB" w14:textId="3333894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015</w:t>
            </w:r>
          </w:p>
        </w:tc>
        <w:tc>
          <w:tcPr>
            <w:tcW w:w="720" w:type="dxa"/>
            <w:vAlign w:val="bottom"/>
          </w:tcPr>
          <w:p w14:paraId="709446DA" w14:textId="4E5F60D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266</w:t>
            </w:r>
          </w:p>
        </w:tc>
        <w:tc>
          <w:tcPr>
            <w:tcW w:w="720" w:type="dxa"/>
            <w:vAlign w:val="bottom"/>
          </w:tcPr>
          <w:p w14:paraId="036EFF07" w14:textId="187A50F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791</w:t>
            </w:r>
          </w:p>
        </w:tc>
        <w:tc>
          <w:tcPr>
            <w:tcW w:w="720" w:type="dxa"/>
            <w:vAlign w:val="bottom"/>
          </w:tcPr>
          <w:p w14:paraId="543A5D53" w14:textId="31F4628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095</w:t>
            </w:r>
          </w:p>
        </w:tc>
        <w:tc>
          <w:tcPr>
            <w:tcW w:w="720" w:type="dxa"/>
            <w:vAlign w:val="bottom"/>
          </w:tcPr>
          <w:p w14:paraId="5E1B1251" w14:textId="17A9E16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328</w:t>
            </w:r>
          </w:p>
        </w:tc>
        <w:tc>
          <w:tcPr>
            <w:tcW w:w="222" w:type="dxa"/>
            <w:vMerge/>
          </w:tcPr>
          <w:p w14:paraId="4F9A8D1C"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77244349" w14:textId="0F5FB42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016</w:t>
            </w:r>
          </w:p>
        </w:tc>
        <w:tc>
          <w:tcPr>
            <w:tcW w:w="847" w:type="dxa"/>
            <w:vAlign w:val="bottom"/>
          </w:tcPr>
          <w:p w14:paraId="453638BC" w14:textId="5689F9A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279</w:t>
            </w:r>
          </w:p>
        </w:tc>
        <w:tc>
          <w:tcPr>
            <w:tcW w:w="848" w:type="dxa"/>
            <w:vAlign w:val="bottom"/>
          </w:tcPr>
          <w:p w14:paraId="4C2B6FD2" w14:textId="4CF0817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810</w:t>
            </w:r>
          </w:p>
        </w:tc>
        <w:tc>
          <w:tcPr>
            <w:tcW w:w="848" w:type="dxa"/>
            <w:vAlign w:val="bottom"/>
          </w:tcPr>
          <w:p w14:paraId="396D97DE" w14:textId="3054528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122</w:t>
            </w:r>
          </w:p>
        </w:tc>
        <w:tc>
          <w:tcPr>
            <w:tcW w:w="848" w:type="dxa"/>
            <w:vAlign w:val="bottom"/>
          </w:tcPr>
          <w:p w14:paraId="3C67EB8D" w14:textId="4B1E14B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370</w:t>
            </w:r>
          </w:p>
        </w:tc>
      </w:tr>
      <w:tr w:rsidR="00435540" w:rsidRPr="00D35659" w14:paraId="202395B7" w14:textId="77777777" w:rsidTr="003A799A">
        <w:tc>
          <w:tcPr>
            <w:tcW w:w="1002" w:type="dxa"/>
          </w:tcPr>
          <w:p w14:paraId="7CC2C95A"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8 cm</w:t>
            </w:r>
          </w:p>
        </w:tc>
        <w:tc>
          <w:tcPr>
            <w:tcW w:w="720" w:type="dxa"/>
            <w:vAlign w:val="bottom"/>
          </w:tcPr>
          <w:p w14:paraId="57B37D67" w14:textId="01BED06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016</w:t>
            </w:r>
          </w:p>
        </w:tc>
        <w:tc>
          <w:tcPr>
            <w:tcW w:w="720" w:type="dxa"/>
            <w:vAlign w:val="bottom"/>
          </w:tcPr>
          <w:p w14:paraId="1BDEAE10" w14:textId="6D7318D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275</w:t>
            </w:r>
          </w:p>
        </w:tc>
        <w:tc>
          <w:tcPr>
            <w:tcW w:w="720" w:type="dxa"/>
            <w:vAlign w:val="bottom"/>
          </w:tcPr>
          <w:p w14:paraId="48C866E4" w14:textId="1ADECDA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805</w:t>
            </w:r>
          </w:p>
        </w:tc>
        <w:tc>
          <w:tcPr>
            <w:tcW w:w="720" w:type="dxa"/>
            <w:vAlign w:val="bottom"/>
          </w:tcPr>
          <w:p w14:paraId="4B2012D1" w14:textId="1B405D6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114</w:t>
            </w:r>
          </w:p>
        </w:tc>
        <w:tc>
          <w:tcPr>
            <w:tcW w:w="720" w:type="dxa"/>
            <w:vAlign w:val="bottom"/>
          </w:tcPr>
          <w:p w14:paraId="287EBB89" w14:textId="5FBC2D9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358</w:t>
            </w:r>
          </w:p>
        </w:tc>
        <w:tc>
          <w:tcPr>
            <w:tcW w:w="222" w:type="dxa"/>
            <w:vMerge/>
          </w:tcPr>
          <w:p w14:paraId="20ED47EB"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49ECD158" w14:textId="00D2B1C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018</w:t>
            </w:r>
          </w:p>
        </w:tc>
        <w:tc>
          <w:tcPr>
            <w:tcW w:w="847" w:type="dxa"/>
            <w:vAlign w:val="bottom"/>
          </w:tcPr>
          <w:p w14:paraId="1D28080B" w14:textId="300C704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289</w:t>
            </w:r>
          </w:p>
        </w:tc>
        <w:tc>
          <w:tcPr>
            <w:tcW w:w="848" w:type="dxa"/>
            <w:vAlign w:val="bottom"/>
          </w:tcPr>
          <w:p w14:paraId="23C95721" w14:textId="48DE647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826</w:t>
            </w:r>
          </w:p>
        </w:tc>
        <w:tc>
          <w:tcPr>
            <w:tcW w:w="848" w:type="dxa"/>
            <w:vAlign w:val="bottom"/>
          </w:tcPr>
          <w:p w14:paraId="7E204B40" w14:textId="7BE36B5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142</w:t>
            </w:r>
          </w:p>
        </w:tc>
        <w:tc>
          <w:tcPr>
            <w:tcW w:w="848" w:type="dxa"/>
            <w:vAlign w:val="bottom"/>
          </w:tcPr>
          <w:p w14:paraId="37F3D448" w14:textId="46BABB4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402</w:t>
            </w:r>
          </w:p>
        </w:tc>
      </w:tr>
    </w:tbl>
    <w:p w14:paraId="103352DE"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 xml:space="preserve">The 75% confidence intervals of the expected damage ratios (%) and their </w:t>
      </w: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hAnsi="Times New Roman" w:cs="Times New Roman"/>
          <w:lang w:val="en-US"/>
        </w:rPr>
        <w:t>, 25</w:t>
      </w:r>
      <w:r w:rsidRPr="00D35659">
        <w:rPr>
          <w:rFonts w:ascii="Times New Roman" w:hAnsi="Times New Roman" w:cs="Times New Roman"/>
          <w:vertAlign w:val="superscript"/>
          <w:lang w:val="en-US"/>
        </w:rPr>
        <w:t>th</w:t>
      </w:r>
      <w:r w:rsidRPr="00D35659">
        <w:rPr>
          <w:rFonts w:ascii="Times New Roman" w:hAnsi="Times New Roman" w:cs="Times New Roman"/>
          <w:lang w:val="en-US"/>
        </w:rPr>
        <w:t>, 75</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and 99</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quantiles.</w:t>
      </w:r>
    </w:p>
    <w:p w14:paraId="1BFEC9C5" w14:textId="77777777" w:rsidR="00435540" w:rsidRPr="00D35659" w:rsidRDefault="00435540" w:rsidP="00435540">
      <w:pPr>
        <w:spacing w:after="0"/>
        <w:rPr>
          <w:rFonts w:ascii="Times New Roman" w:hAnsi="Times New Roman" w:cs="Times New Roman"/>
          <w:lang w:val="en-US"/>
        </w:rPr>
      </w:pPr>
    </w:p>
    <w:p w14:paraId="188F4A1C" w14:textId="77777777" w:rsidR="00435540" w:rsidRPr="00D35659" w:rsidRDefault="00435540" w:rsidP="00435540">
      <w:pPr>
        <w:spacing w:after="0"/>
        <w:rPr>
          <w:rFonts w:ascii="Times New Roman" w:hAnsi="Times New Roman" w:cs="Times New Roman"/>
          <w:lang w:val="en-US"/>
        </w:rPr>
      </w:pPr>
    </w:p>
    <w:p w14:paraId="4C1AC8D9" w14:textId="77777777" w:rsidR="00435540" w:rsidRPr="00D35659" w:rsidRDefault="00435540" w:rsidP="00435540">
      <w:pPr>
        <w:spacing w:after="0"/>
        <w:rPr>
          <w:rFonts w:ascii="Times New Roman" w:hAnsi="Times New Roman" w:cs="Times New Roman"/>
          <w:lang w:val="en-US"/>
        </w:rPr>
      </w:pPr>
    </w:p>
    <w:p w14:paraId="3A97FAE8" w14:textId="77777777" w:rsidR="00435540" w:rsidRPr="00D35659" w:rsidRDefault="00435540" w:rsidP="00435540">
      <w:pPr>
        <w:spacing w:after="0"/>
        <w:rPr>
          <w:rFonts w:ascii="Times New Roman" w:hAnsi="Times New Roman" w:cs="Times New Roman"/>
          <w:lang w:val="en-US"/>
        </w:rPr>
      </w:pPr>
    </w:p>
    <w:p w14:paraId="73817A75" w14:textId="77777777" w:rsidR="00435540" w:rsidRPr="00D35659" w:rsidRDefault="00435540" w:rsidP="00435540">
      <w:pPr>
        <w:spacing w:after="0"/>
        <w:rPr>
          <w:rFonts w:ascii="Times New Roman" w:hAnsi="Times New Roman" w:cs="Times New Roman"/>
          <w:lang w:val="en-US"/>
        </w:rPr>
      </w:pPr>
    </w:p>
    <w:p w14:paraId="4943D516" w14:textId="77777777" w:rsidR="00435540" w:rsidRPr="00D35659" w:rsidRDefault="00435540" w:rsidP="00435540">
      <w:pPr>
        <w:spacing w:after="0"/>
        <w:rPr>
          <w:rFonts w:ascii="Times New Roman" w:hAnsi="Times New Roman" w:cs="Times New Roman"/>
          <w:lang w:val="en-US"/>
        </w:rPr>
      </w:pPr>
    </w:p>
    <w:p w14:paraId="4A528D20" w14:textId="77777777" w:rsidR="00435540" w:rsidRPr="00D35659" w:rsidRDefault="00435540" w:rsidP="00435540">
      <w:pPr>
        <w:spacing w:after="0"/>
        <w:rPr>
          <w:rFonts w:ascii="Times New Roman" w:hAnsi="Times New Roman" w:cs="Times New Roman"/>
          <w:lang w:val="en-US"/>
        </w:rPr>
      </w:pPr>
    </w:p>
    <w:p w14:paraId="5BFCE030" w14:textId="77777777" w:rsidR="00435540" w:rsidRPr="00D35659" w:rsidRDefault="00435540" w:rsidP="00435540">
      <w:pPr>
        <w:spacing w:after="0"/>
        <w:rPr>
          <w:rFonts w:ascii="Times New Roman" w:hAnsi="Times New Roman" w:cs="Times New Roman"/>
          <w:lang w:val="en-US"/>
        </w:rPr>
      </w:pPr>
    </w:p>
    <w:p w14:paraId="0F3169EE"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Table S5</w:t>
      </w:r>
    </w:p>
    <w:tbl>
      <w:tblPr>
        <w:tblStyle w:val="Tabelraster"/>
        <w:tblW w:w="0" w:type="auto"/>
        <w:tblLook w:val="04A0" w:firstRow="1" w:lastRow="0" w:firstColumn="1" w:lastColumn="0" w:noHBand="0" w:noVBand="1"/>
      </w:tblPr>
      <w:tblGrid>
        <w:gridCol w:w="858"/>
        <w:gridCol w:w="750"/>
        <w:gridCol w:w="796"/>
        <w:gridCol w:w="859"/>
        <w:gridCol w:w="796"/>
        <w:gridCol w:w="797"/>
        <w:gridCol w:w="604"/>
        <w:gridCol w:w="720"/>
        <w:gridCol w:w="720"/>
        <w:gridCol w:w="720"/>
        <w:gridCol w:w="720"/>
        <w:gridCol w:w="720"/>
      </w:tblGrid>
      <w:tr w:rsidR="00435540" w:rsidRPr="00D35659" w14:paraId="576FC7E1" w14:textId="77777777" w:rsidTr="003A799A">
        <w:tc>
          <w:tcPr>
            <w:tcW w:w="859" w:type="dxa"/>
          </w:tcPr>
          <w:p w14:paraId="75B996CA"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Wind gust speed</w:t>
            </w:r>
          </w:p>
        </w:tc>
        <w:tc>
          <w:tcPr>
            <w:tcW w:w="750" w:type="dxa"/>
          </w:tcPr>
          <w:p w14:paraId="6BDAC096"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421B286A" w14:textId="77777777" w:rsidR="00435540" w:rsidRPr="00D35659" w:rsidRDefault="00435540" w:rsidP="003A799A">
            <w:pPr>
              <w:rPr>
                <w:rFonts w:ascii="Times New Roman" w:eastAsiaTheme="minorEastAsia" w:hAnsi="Times New Roman" w:cs="Times New Roman"/>
                <w:lang w:val="en-US"/>
              </w:rPr>
            </w:pPr>
          </w:p>
        </w:tc>
        <w:tc>
          <w:tcPr>
            <w:tcW w:w="796" w:type="dxa"/>
          </w:tcPr>
          <w:p w14:paraId="26EA2FF8"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859" w:type="dxa"/>
          </w:tcPr>
          <w:p w14:paraId="013EFF2F"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99% lower CI</w:t>
            </w:r>
          </w:p>
        </w:tc>
        <w:tc>
          <w:tcPr>
            <w:tcW w:w="796" w:type="dxa"/>
          </w:tcPr>
          <w:p w14:paraId="68D0697D"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1E6BE231" w14:textId="77777777" w:rsidR="00435540" w:rsidRPr="00D35659" w:rsidRDefault="00435540" w:rsidP="003A799A">
            <w:pPr>
              <w:rPr>
                <w:rFonts w:ascii="Times New Roman" w:eastAsiaTheme="minorEastAsia" w:hAnsi="Times New Roman" w:cs="Times New Roman"/>
                <w:lang w:val="en-US"/>
              </w:rPr>
            </w:pPr>
          </w:p>
        </w:tc>
        <w:tc>
          <w:tcPr>
            <w:tcW w:w="797" w:type="dxa"/>
          </w:tcPr>
          <w:p w14:paraId="2BD12175"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605" w:type="dxa"/>
            <w:vMerge w:val="restart"/>
          </w:tcPr>
          <w:p w14:paraId="10FD4D10" w14:textId="77777777" w:rsidR="00435540" w:rsidRPr="00D35659" w:rsidRDefault="00435540" w:rsidP="003A799A">
            <w:pPr>
              <w:rPr>
                <w:rFonts w:ascii="Times New Roman" w:eastAsiaTheme="minorEastAsia" w:hAnsi="Times New Roman" w:cs="Times New Roman"/>
                <w:lang w:val="en-US"/>
              </w:rPr>
            </w:pPr>
          </w:p>
        </w:tc>
        <w:tc>
          <w:tcPr>
            <w:tcW w:w="720" w:type="dxa"/>
          </w:tcPr>
          <w:p w14:paraId="60822432"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7BB373A4" w14:textId="77777777" w:rsidR="00435540" w:rsidRPr="00D35659" w:rsidRDefault="00435540" w:rsidP="003A799A">
            <w:pPr>
              <w:rPr>
                <w:rFonts w:ascii="Times New Roman" w:eastAsiaTheme="minorEastAsia" w:hAnsi="Times New Roman" w:cs="Times New Roman"/>
                <w:lang w:val="en-US"/>
              </w:rPr>
            </w:pPr>
          </w:p>
        </w:tc>
        <w:tc>
          <w:tcPr>
            <w:tcW w:w="720" w:type="dxa"/>
          </w:tcPr>
          <w:p w14:paraId="2E6866D8"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720" w:type="dxa"/>
          </w:tcPr>
          <w:p w14:paraId="763E4781"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99% upper CI</w:t>
            </w:r>
          </w:p>
        </w:tc>
        <w:tc>
          <w:tcPr>
            <w:tcW w:w="720" w:type="dxa"/>
          </w:tcPr>
          <w:p w14:paraId="4E4A144D"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0AF9B24E" w14:textId="77777777" w:rsidR="00435540" w:rsidRPr="00D35659" w:rsidRDefault="00435540" w:rsidP="003A799A">
            <w:pPr>
              <w:rPr>
                <w:rFonts w:ascii="Times New Roman" w:eastAsiaTheme="minorEastAsia" w:hAnsi="Times New Roman" w:cs="Times New Roman"/>
                <w:lang w:val="en-US"/>
              </w:rPr>
            </w:pPr>
          </w:p>
        </w:tc>
        <w:tc>
          <w:tcPr>
            <w:tcW w:w="720" w:type="dxa"/>
          </w:tcPr>
          <w:p w14:paraId="283A1621"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r>
      <w:tr w:rsidR="00435540" w:rsidRPr="00D35659" w14:paraId="238B48A3" w14:textId="77777777" w:rsidTr="003A799A">
        <w:tc>
          <w:tcPr>
            <w:tcW w:w="859" w:type="dxa"/>
          </w:tcPr>
          <w:p w14:paraId="7653DF0C"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 cm</w:t>
            </w:r>
          </w:p>
        </w:tc>
        <w:tc>
          <w:tcPr>
            <w:tcW w:w="750" w:type="dxa"/>
            <w:vAlign w:val="bottom"/>
          </w:tcPr>
          <w:p w14:paraId="0AA0C72C" w14:textId="7EC1409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007</w:t>
            </w:r>
          </w:p>
        </w:tc>
        <w:tc>
          <w:tcPr>
            <w:tcW w:w="796" w:type="dxa"/>
            <w:vAlign w:val="bottom"/>
          </w:tcPr>
          <w:p w14:paraId="5505A78B" w14:textId="09E3064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191</w:t>
            </w:r>
          </w:p>
        </w:tc>
        <w:tc>
          <w:tcPr>
            <w:tcW w:w="859" w:type="dxa"/>
            <w:vAlign w:val="bottom"/>
          </w:tcPr>
          <w:p w14:paraId="54F9610D" w14:textId="5A39849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667</w:t>
            </w:r>
          </w:p>
        </w:tc>
        <w:tc>
          <w:tcPr>
            <w:tcW w:w="796" w:type="dxa"/>
            <w:vAlign w:val="bottom"/>
          </w:tcPr>
          <w:p w14:paraId="7E0D1C97" w14:textId="0944207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926</w:t>
            </w:r>
          </w:p>
        </w:tc>
        <w:tc>
          <w:tcPr>
            <w:tcW w:w="797" w:type="dxa"/>
            <w:vAlign w:val="bottom"/>
          </w:tcPr>
          <w:p w14:paraId="580ECA22" w14:textId="060CF64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057</w:t>
            </w:r>
          </w:p>
        </w:tc>
        <w:tc>
          <w:tcPr>
            <w:tcW w:w="605" w:type="dxa"/>
            <w:vMerge/>
          </w:tcPr>
          <w:p w14:paraId="4A6D6F2A"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634E7EEA" w14:textId="2CA4457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008</w:t>
            </w:r>
          </w:p>
        </w:tc>
        <w:tc>
          <w:tcPr>
            <w:tcW w:w="720" w:type="dxa"/>
            <w:vAlign w:val="bottom"/>
          </w:tcPr>
          <w:p w14:paraId="5567BCFC" w14:textId="6736511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206</w:t>
            </w:r>
          </w:p>
        </w:tc>
        <w:tc>
          <w:tcPr>
            <w:tcW w:w="720" w:type="dxa"/>
            <w:vAlign w:val="bottom"/>
          </w:tcPr>
          <w:p w14:paraId="07C9F18F" w14:textId="5CAF092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691</w:t>
            </w:r>
          </w:p>
        </w:tc>
        <w:tc>
          <w:tcPr>
            <w:tcW w:w="720" w:type="dxa"/>
            <w:vAlign w:val="bottom"/>
          </w:tcPr>
          <w:p w14:paraId="69449E8A" w14:textId="6DA755C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960</w:t>
            </w:r>
          </w:p>
        </w:tc>
        <w:tc>
          <w:tcPr>
            <w:tcW w:w="720" w:type="dxa"/>
            <w:vAlign w:val="bottom"/>
          </w:tcPr>
          <w:p w14:paraId="0882F8B1" w14:textId="5C20646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113</w:t>
            </w:r>
          </w:p>
        </w:tc>
      </w:tr>
      <w:tr w:rsidR="00435540" w:rsidRPr="00D35659" w14:paraId="2FD19C79" w14:textId="77777777" w:rsidTr="003A799A">
        <w:tc>
          <w:tcPr>
            <w:tcW w:w="859" w:type="dxa"/>
          </w:tcPr>
          <w:p w14:paraId="316E60BE"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 cm</w:t>
            </w:r>
          </w:p>
        </w:tc>
        <w:tc>
          <w:tcPr>
            <w:tcW w:w="750" w:type="dxa"/>
            <w:vAlign w:val="bottom"/>
          </w:tcPr>
          <w:p w14:paraId="72823675" w14:textId="729DD52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008</w:t>
            </w:r>
          </w:p>
        </w:tc>
        <w:tc>
          <w:tcPr>
            <w:tcW w:w="796" w:type="dxa"/>
            <w:vAlign w:val="bottom"/>
          </w:tcPr>
          <w:p w14:paraId="087013C1" w14:textId="016BCFF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207</w:t>
            </w:r>
          </w:p>
        </w:tc>
        <w:tc>
          <w:tcPr>
            <w:tcW w:w="859" w:type="dxa"/>
            <w:vAlign w:val="bottom"/>
          </w:tcPr>
          <w:p w14:paraId="4EB2804B" w14:textId="5E8811E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694</w:t>
            </w:r>
          </w:p>
        </w:tc>
        <w:tc>
          <w:tcPr>
            <w:tcW w:w="796" w:type="dxa"/>
            <w:vAlign w:val="bottom"/>
          </w:tcPr>
          <w:p w14:paraId="30F0AB64" w14:textId="6131422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963</w:t>
            </w:r>
          </w:p>
        </w:tc>
        <w:tc>
          <w:tcPr>
            <w:tcW w:w="797" w:type="dxa"/>
            <w:vAlign w:val="bottom"/>
          </w:tcPr>
          <w:p w14:paraId="1BEBF59F" w14:textId="3CC8AD9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117</w:t>
            </w:r>
          </w:p>
        </w:tc>
        <w:tc>
          <w:tcPr>
            <w:tcW w:w="605" w:type="dxa"/>
            <w:vMerge/>
          </w:tcPr>
          <w:p w14:paraId="463A8384"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4DD445FB" w14:textId="2A67DF4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010</w:t>
            </w:r>
          </w:p>
        </w:tc>
        <w:tc>
          <w:tcPr>
            <w:tcW w:w="720" w:type="dxa"/>
            <w:vAlign w:val="bottom"/>
          </w:tcPr>
          <w:p w14:paraId="638D7EA8" w14:textId="465952F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224</w:t>
            </w:r>
          </w:p>
        </w:tc>
        <w:tc>
          <w:tcPr>
            <w:tcW w:w="720" w:type="dxa"/>
            <w:vAlign w:val="bottom"/>
          </w:tcPr>
          <w:p w14:paraId="4640D004" w14:textId="531D72D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722</w:t>
            </w:r>
          </w:p>
        </w:tc>
        <w:tc>
          <w:tcPr>
            <w:tcW w:w="720" w:type="dxa"/>
            <w:vAlign w:val="bottom"/>
          </w:tcPr>
          <w:p w14:paraId="3F791341" w14:textId="4EDF416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002</w:t>
            </w:r>
          </w:p>
        </w:tc>
        <w:tc>
          <w:tcPr>
            <w:tcW w:w="720" w:type="dxa"/>
            <w:vAlign w:val="bottom"/>
          </w:tcPr>
          <w:p w14:paraId="22E46A60" w14:textId="7BD58DA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180</w:t>
            </w:r>
          </w:p>
        </w:tc>
      </w:tr>
      <w:tr w:rsidR="00435540" w:rsidRPr="00D35659" w14:paraId="14386B70" w14:textId="77777777" w:rsidTr="003A799A">
        <w:tc>
          <w:tcPr>
            <w:tcW w:w="859" w:type="dxa"/>
          </w:tcPr>
          <w:p w14:paraId="176C9F42"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3 cm</w:t>
            </w:r>
          </w:p>
        </w:tc>
        <w:tc>
          <w:tcPr>
            <w:tcW w:w="750" w:type="dxa"/>
            <w:vAlign w:val="bottom"/>
          </w:tcPr>
          <w:p w14:paraId="3D265D86" w14:textId="48C32CA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009</w:t>
            </w:r>
          </w:p>
        </w:tc>
        <w:tc>
          <w:tcPr>
            <w:tcW w:w="796" w:type="dxa"/>
            <w:vAlign w:val="bottom"/>
          </w:tcPr>
          <w:p w14:paraId="03DEC084" w14:textId="7CDD1A0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220</w:t>
            </w:r>
          </w:p>
        </w:tc>
        <w:tc>
          <w:tcPr>
            <w:tcW w:w="859" w:type="dxa"/>
            <w:vAlign w:val="bottom"/>
          </w:tcPr>
          <w:p w14:paraId="138C2B79" w14:textId="4835210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715</w:t>
            </w:r>
          </w:p>
        </w:tc>
        <w:tc>
          <w:tcPr>
            <w:tcW w:w="796" w:type="dxa"/>
            <w:vAlign w:val="bottom"/>
          </w:tcPr>
          <w:p w14:paraId="036C782F" w14:textId="6EDD499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992</w:t>
            </w:r>
          </w:p>
        </w:tc>
        <w:tc>
          <w:tcPr>
            <w:tcW w:w="797" w:type="dxa"/>
            <w:vAlign w:val="bottom"/>
          </w:tcPr>
          <w:p w14:paraId="734B5187" w14:textId="3D0C8DC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164</w:t>
            </w:r>
          </w:p>
        </w:tc>
        <w:tc>
          <w:tcPr>
            <w:tcW w:w="605" w:type="dxa"/>
            <w:vMerge/>
          </w:tcPr>
          <w:p w14:paraId="2B839990"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72A6E3FB" w14:textId="3CE760A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011</w:t>
            </w:r>
          </w:p>
        </w:tc>
        <w:tc>
          <w:tcPr>
            <w:tcW w:w="720" w:type="dxa"/>
            <w:vAlign w:val="bottom"/>
          </w:tcPr>
          <w:p w14:paraId="0784F6A5" w14:textId="31DC430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239</w:t>
            </w:r>
          </w:p>
        </w:tc>
        <w:tc>
          <w:tcPr>
            <w:tcW w:w="720" w:type="dxa"/>
            <w:vAlign w:val="bottom"/>
          </w:tcPr>
          <w:p w14:paraId="12F6BF22" w14:textId="1464BD1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747</w:t>
            </w:r>
          </w:p>
        </w:tc>
        <w:tc>
          <w:tcPr>
            <w:tcW w:w="720" w:type="dxa"/>
            <w:vAlign w:val="bottom"/>
          </w:tcPr>
          <w:p w14:paraId="1F0F2EC1" w14:textId="3738A07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036</w:t>
            </w:r>
          </w:p>
        </w:tc>
        <w:tc>
          <w:tcPr>
            <w:tcW w:w="720" w:type="dxa"/>
            <w:vAlign w:val="bottom"/>
          </w:tcPr>
          <w:p w14:paraId="24816CD2" w14:textId="6E45967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234</w:t>
            </w:r>
          </w:p>
        </w:tc>
      </w:tr>
      <w:tr w:rsidR="00435540" w:rsidRPr="00D35659" w14:paraId="55E2E079" w14:textId="77777777" w:rsidTr="003A799A">
        <w:tc>
          <w:tcPr>
            <w:tcW w:w="859" w:type="dxa"/>
          </w:tcPr>
          <w:p w14:paraId="537E758A"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4 cm</w:t>
            </w:r>
          </w:p>
        </w:tc>
        <w:tc>
          <w:tcPr>
            <w:tcW w:w="750" w:type="dxa"/>
            <w:vAlign w:val="bottom"/>
          </w:tcPr>
          <w:p w14:paraId="356FFE68" w14:textId="5A5A705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010</w:t>
            </w:r>
          </w:p>
        </w:tc>
        <w:tc>
          <w:tcPr>
            <w:tcW w:w="796" w:type="dxa"/>
            <w:vAlign w:val="bottom"/>
          </w:tcPr>
          <w:p w14:paraId="247FBC5E" w14:textId="6974548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231</w:t>
            </w:r>
          </w:p>
        </w:tc>
        <w:tc>
          <w:tcPr>
            <w:tcW w:w="859" w:type="dxa"/>
            <w:vAlign w:val="bottom"/>
          </w:tcPr>
          <w:p w14:paraId="536A1ACB" w14:textId="47B6444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733</w:t>
            </w:r>
          </w:p>
        </w:tc>
        <w:tc>
          <w:tcPr>
            <w:tcW w:w="796" w:type="dxa"/>
            <w:vAlign w:val="bottom"/>
          </w:tcPr>
          <w:p w14:paraId="2892C3E0" w14:textId="32F9C85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017</w:t>
            </w:r>
          </w:p>
        </w:tc>
        <w:tc>
          <w:tcPr>
            <w:tcW w:w="797" w:type="dxa"/>
            <w:vAlign w:val="bottom"/>
          </w:tcPr>
          <w:p w14:paraId="217131F5" w14:textId="4774CFF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204</w:t>
            </w:r>
          </w:p>
        </w:tc>
        <w:tc>
          <w:tcPr>
            <w:tcW w:w="605" w:type="dxa"/>
            <w:vMerge/>
          </w:tcPr>
          <w:p w14:paraId="0E9645B8"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35FD62C9" w14:textId="368744C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013</w:t>
            </w:r>
          </w:p>
        </w:tc>
        <w:tc>
          <w:tcPr>
            <w:tcW w:w="720" w:type="dxa"/>
            <w:vAlign w:val="bottom"/>
          </w:tcPr>
          <w:p w14:paraId="54C382AC" w14:textId="0C95C3F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252</w:t>
            </w:r>
          </w:p>
        </w:tc>
        <w:tc>
          <w:tcPr>
            <w:tcW w:w="720" w:type="dxa"/>
            <w:vAlign w:val="bottom"/>
          </w:tcPr>
          <w:p w14:paraId="6B78EF87" w14:textId="3729D2C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768</w:t>
            </w:r>
          </w:p>
        </w:tc>
        <w:tc>
          <w:tcPr>
            <w:tcW w:w="720" w:type="dxa"/>
            <w:vAlign w:val="bottom"/>
          </w:tcPr>
          <w:p w14:paraId="1989EF3A" w14:textId="35C222E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065</w:t>
            </w:r>
          </w:p>
        </w:tc>
        <w:tc>
          <w:tcPr>
            <w:tcW w:w="720" w:type="dxa"/>
            <w:vAlign w:val="bottom"/>
          </w:tcPr>
          <w:p w14:paraId="5BAB4E2C" w14:textId="5C4298D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280</w:t>
            </w:r>
          </w:p>
        </w:tc>
      </w:tr>
      <w:tr w:rsidR="00435540" w:rsidRPr="00D35659" w14:paraId="35AEC0C2" w14:textId="77777777" w:rsidTr="003A799A">
        <w:tc>
          <w:tcPr>
            <w:tcW w:w="859" w:type="dxa"/>
          </w:tcPr>
          <w:p w14:paraId="7BCA70C6"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5 cm</w:t>
            </w:r>
          </w:p>
        </w:tc>
        <w:tc>
          <w:tcPr>
            <w:tcW w:w="750" w:type="dxa"/>
            <w:vAlign w:val="bottom"/>
          </w:tcPr>
          <w:p w14:paraId="20554E92" w14:textId="1B7DEB1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011</w:t>
            </w:r>
          </w:p>
        </w:tc>
        <w:tc>
          <w:tcPr>
            <w:tcW w:w="796" w:type="dxa"/>
            <w:vAlign w:val="bottom"/>
          </w:tcPr>
          <w:p w14:paraId="03B40D96" w14:textId="0F86CD7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241</w:t>
            </w:r>
          </w:p>
        </w:tc>
        <w:tc>
          <w:tcPr>
            <w:tcW w:w="859" w:type="dxa"/>
            <w:vAlign w:val="bottom"/>
          </w:tcPr>
          <w:p w14:paraId="2D79DF1A" w14:textId="3443D14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749</w:t>
            </w:r>
          </w:p>
        </w:tc>
        <w:tc>
          <w:tcPr>
            <w:tcW w:w="796" w:type="dxa"/>
            <w:vAlign w:val="bottom"/>
          </w:tcPr>
          <w:p w14:paraId="3770B758" w14:textId="127B528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039</w:t>
            </w:r>
          </w:p>
        </w:tc>
        <w:tc>
          <w:tcPr>
            <w:tcW w:w="797" w:type="dxa"/>
            <w:vAlign w:val="bottom"/>
          </w:tcPr>
          <w:p w14:paraId="7A368F12" w14:textId="6E1D00E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240</w:t>
            </w:r>
          </w:p>
        </w:tc>
        <w:tc>
          <w:tcPr>
            <w:tcW w:w="605" w:type="dxa"/>
            <w:vMerge/>
          </w:tcPr>
          <w:p w14:paraId="1A1B9928"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2FCF5180" w14:textId="5C45E1D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014</w:t>
            </w:r>
          </w:p>
        </w:tc>
        <w:tc>
          <w:tcPr>
            <w:tcW w:w="720" w:type="dxa"/>
            <w:vAlign w:val="bottom"/>
          </w:tcPr>
          <w:p w14:paraId="3F76574B" w14:textId="7CCA17A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264</w:t>
            </w:r>
          </w:p>
        </w:tc>
        <w:tc>
          <w:tcPr>
            <w:tcW w:w="720" w:type="dxa"/>
            <w:vAlign w:val="bottom"/>
          </w:tcPr>
          <w:p w14:paraId="39FFB023" w14:textId="142AC1F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788</w:t>
            </w:r>
          </w:p>
        </w:tc>
        <w:tc>
          <w:tcPr>
            <w:tcW w:w="720" w:type="dxa"/>
            <w:vAlign w:val="bottom"/>
          </w:tcPr>
          <w:p w14:paraId="21150B07" w14:textId="1FE413F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091</w:t>
            </w:r>
          </w:p>
        </w:tc>
        <w:tc>
          <w:tcPr>
            <w:tcW w:w="720" w:type="dxa"/>
            <w:vAlign w:val="bottom"/>
          </w:tcPr>
          <w:p w14:paraId="3F54DCFE" w14:textId="6F5AFA2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322</w:t>
            </w:r>
          </w:p>
        </w:tc>
      </w:tr>
      <w:tr w:rsidR="00435540" w:rsidRPr="00D35659" w14:paraId="79C00CD9" w14:textId="77777777" w:rsidTr="003A799A">
        <w:tc>
          <w:tcPr>
            <w:tcW w:w="859" w:type="dxa"/>
          </w:tcPr>
          <w:p w14:paraId="0C25AD11"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6 cm</w:t>
            </w:r>
          </w:p>
        </w:tc>
        <w:tc>
          <w:tcPr>
            <w:tcW w:w="750" w:type="dxa"/>
            <w:vAlign w:val="bottom"/>
          </w:tcPr>
          <w:p w14:paraId="1C6D2FCF" w14:textId="4799FB5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013</w:t>
            </w:r>
          </w:p>
        </w:tc>
        <w:tc>
          <w:tcPr>
            <w:tcW w:w="796" w:type="dxa"/>
            <w:vAlign w:val="bottom"/>
          </w:tcPr>
          <w:p w14:paraId="23CFC861" w14:textId="2713A0B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250</w:t>
            </w:r>
          </w:p>
        </w:tc>
        <w:tc>
          <w:tcPr>
            <w:tcW w:w="859" w:type="dxa"/>
            <w:vAlign w:val="bottom"/>
          </w:tcPr>
          <w:p w14:paraId="75470335" w14:textId="01B5064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764</w:t>
            </w:r>
          </w:p>
        </w:tc>
        <w:tc>
          <w:tcPr>
            <w:tcW w:w="796" w:type="dxa"/>
            <w:vAlign w:val="bottom"/>
          </w:tcPr>
          <w:p w14:paraId="4052FD84" w14:textId="6FF7825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060</w:t>
            </w:r>
          </w:p>
        </w:tc>
        <w:tc>
          <w:tcPr>
            <w:tcW w:w="797" w:type="dxa"/>
            <w:vAlign w:val="bottom"/>
          </w:tcPr>
          <w:p w14:paraId="4AD49522" w14:textId="060975E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272</w:t>
            </w:r>
          </w:p>
        </w:tc>
        <w:tc>
          <w:tcPr>
            <w:tcW w:w="605" w:type="dxa"/>
            <w:vMerge/>
          </w:tcPr>
          <w:p w14:paraId="586A0D92"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77977A2B" w14:textId="21019D4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016</w:t>
            </w:r>
          </w:p>
        </w:tc>
        <w:tc>
          <w:tcPr>
            <w:tcW w:w="720" w:type="dxa"/>
            <w:vAlign w:val="bottom"/>
          </w:tcPr>
          <w:p w14:paraId="0936C58D" w14:textId="00E9270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276</w:t>
            </w:r>
          </w:p>
        </w:tc>
        <w:tc>
          <w:tcPr>
            <w:tcW w:w="720" w:type="dxa"/>
            <w:vAlign w:val="bottom"/>
          </w:tcPr>
          <w:p w14:paraId="15456481" w14:textId="066DD93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806</w:t>
            </w:r>
          </w:p>
        </w:tc>
        <w:tc>
          <w:tcPr>
            <w:tcW w:w="720" w:type="dxa"/>
            <w:vAlign w:val="bottom"/>
          </w:tcPr>
          <w:p w14:paraId="222D57C5" w14:textId="0CDE0EE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115</w:t>
            </w:r>
          </w:p>
        </w:tc>
        <w:tc>
          <w:tcPr>
            <w:tcW w:w="720" w:type="dxa"/>
            <w:vAlign w:val="bottom"/>
          </w:tcPr>
          <w:p w14:paraId="408CEF2B" w14:textId="07B7CF8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360</w:t>
            </w:r>
          </w:p>
        </w:tc>
      </w:tr>
      <w:tr w:rsidR="00435540" w:rsidRPr="00D35659" w14:paraId="6E266138" w14:textId="77777777" w:rsidTr="003A799A">
        <w:tc>
          <w:tcPr>
            <w:tcW w:w="859" w:type="dxa"/>
          </w:tcPr>
          <w:p w14:paraId="57B9E4EE"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 cm</w:t>
            </w:r>
          </w:p>
        </w:tc>
        <w:tc>
          <w:tcPr>
            <w:tcW w:w="750" w:type="dxa"/>
            <w:vAlign w:val="bottom"/>
          </w:tcPr>
          <w:p w14:paraId="1190614B" w14:textId="65B627F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014</w:t>
            </w:r>
          </w:p>
        </w:tc>
        <w:tc>
          <w:tcPr>
            <w:tcW w:w="796" w:type="dxa"/>
            <w:vAlign w:val="bottom"/>
          </w:tcPr>
          <w:p w14:paraId="6AF14420" w14:textId="542DEB9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259</w:t>
            </w:r>
          </w:p>
        </w:tc>
        <w:tc>
          <w:tcPr>
            <w:tcW w:w="859" w:type="dxa"/>
            <w:vAlign w:val="bottom"/>
          </w:tcPr>
          <w:p w14:paraId="44CF5D36" w14:textId="7FDE1E2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779</w:t>
            </w:r>
          </w:p>
        </w:tc>
        <w:tc>
          <w:tcPr>
            <w:tcW w:w="796" w:type="dxa"/>
            <w:vAlign w:val="bottom"/>
          </w:tcPr>
          <w:p w14:paraId="6237B582" w14:textId="1CAFBBC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079</w:t>
            </w:r>
          </w:p>
        </w:tc>
        <w:tc>
          <w:tcPr>
            <w:tcW w:w="797" w:type="dxa"/>
            <w:vAlign w:val="bottom"/>
          </w:tcPr>
          <w:p w14:paraId="0E3B34B7" w14:textId="7F63AA8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302</w:t>
            </w:r>
          </w:p>
        </w:tc>
        <w:tc>
          <w:tcPr>
            <w:tcW w:w="605" w:type="dxa"/>
            <w:vMerge/>
          </w:tcPr>
          <w:p w14:paraId="106206F5"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1BB19A81" w14:textId="6CBD369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017</w:t>
            </w:r>
          </w:p>
        </w:tc>
        <w:tc>
          <w:tcPr>
            <w:tcW w:w="720" w:type="dxa"/>
            <w:vAlign w:val="bottom"/>
          </w:tcPr>
          <w:p w14:paraId="078114DE" w14:textId="6F2D9C4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287</w:t>
            </w:r>
          </w:p>
        </w:tc>
        <w:tc>
          <w:tcPr>
            <w:tcW w:w="720" w:type="dxa"/>
            <w:vAlign w:val="bottom"/>
          </w:tcPr>
          <w:p w14:paraId="7E0A3F7E" w14:textId="5D28438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823</w:t>
            </w:r>
          </w:p>
        </w:tc>
        <w:tc>
          <w:tcPr>
            <w:tcW w:w="720" w:type="dxa"/>
            <w:vAlign w:val="bottom"/>
          </w:tcPr>
          <w:p w14:paraId="6A32C37A" w14:textId="12C0F59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138</w:t>
            </w:r>
          </w:p>
        </w:tc>
        <w:tc>
          <w:tcPr>
            <w:tcW w:w="720" w:type="dxa"/>
            <w:vAlign w:val="bottom"/>
          </w:tcPr>
          <w:p w14:paraId="3881FF28" w14:textId="55D5EDC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396</w:t>
            </w:r>
          </w:p>
        </w:tc>
      </w:tr>
      <w:tr w:rsidR="00435540" w:rsidRPr="00D35659" w14:paraId="2DA2E1D1" w14:textId="77777777" w:rsidTr="003A799A">
        <w:tc>
          <w:tcPr>
            <w:tcW w:w="859" w:type="dxa"/>
          </w:tcPr>
          <w:p w14:paraId="516C8A51"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8 cm</w:t>
            </w:r>
          </w:p>
        </w:tc>
        <w:tc>
          <w:tcPr>
            <w:tcW w:w="750" w:type="dxa"/>
            <w:vAlign w:val="bottom"/>
          </w:tcPr>
          <w:p w14:paraId="4C0331B2" w14:textId="56B3EF7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015</w:t>
            </w:r>
          </w:p>
        </w:tc>
        <w:tc>
          <w:tcPr>
            <w:tcW w:w="796" w:type="dxa"/>
            <w:vAlign w:val="bottom"/>
          </w:tcPr>
          <w:p w14:paraId="31966590" w14:textId="57FE5D4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267</w:t>
            </w:r>
          </w:p>
        </w:tc>
        <w:tc>
          <w:tcPr>
            <w:tcW w:w="859" w:type="dxa"/>
            <w:vAlign w:val="bottom"/>
          </w:tcPr>
          <w:p w14:paraId="71C30E5D" w14:textId="5065BAE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792</w:t>
            </w:r>
          </w:p>
        </w:tc>
        <w:tc>
          <w:tcPr>
            <w:tcW w:w="796" w:type="dxa"/>
            <w:vAlign w:val="bottom"/>
          </w:tcPr>
          <w:p w14:paraId="630B09CF" w14:textId="32B774A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097</w:t>
            </w:r>
          </w:p>
        </w:tc>
        <w:tc>
          <w:tcPr>
            <w:tcW w:w="797" w:type="dxa"/>
            <w:vAlign w:val="bottom"/>
          </w:tcPr>
          <w:p w14:paraId="39842623" w14:textId="6D176D1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331</w:t>
            </w:r>
          </w:p>
        </w:tc>
        <w:tc>
          <w:tcPr>
            <w:tcW w:w="605" w:type="dxa"/>
            <w:vMerge/>
          </w:tcPr>
          <w:p w14:paraId="1DB7E1B0"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3259CFAA" w14:textId="2912E59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019</w:t>
            </w:r>
          </w:p>
        </w:tc>
        <w:tc>
          <w:tcPr>
            <w:tcW w:w="720" w:type="dxa"/>
            <w:vAlign w:val="bottom"/>
          </w:tcPr>
          <w:p w14:paraId="3A808579" w14:textId="61F25E9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297</w:t>
            </w:r>
          </w:p>
        </w:tc>
        <w:tc>
          <w:tcPr>
            <w:tcW w:w="720" w:type="dxa"/>
            <w:vAlign w:val="bottom"/>
          </w:tcPr>
          <w:p w14:paraId="6F8D4F31" w14:textId="60E2379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839</w:t>
            </w:r>
          </w:p>
        </w:tc>
        <w:tc>
          <w:tcPr>
            <w:tcW w:w="720" w:type="dxa"/>
            <w:vAlign w:val="bottom"/>
          </w:tcPr>
          <w:p w14:paraId="1B23FBA5" w14:textId="75CD0C5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160</w:t>
            </w:r>
          </w:p>
        </w:tc>
        <w:tc>
          <w:tcPr>
            <w:tcW w:w="720" w:type="dxa"/>
            <w:vAlign w:val="bottom"/>
          </w:tcPr>
          <w:p w14:paraId="4E79B1B2" w14:textId="4F90BBA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430</w:t>
            </w:r>
          </w:p>
        </w:tc>
      </w:tr>
    </w:tbl>
    <w:p w14:paraId="5CBDD4D5"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 xml:space="preserve">The 99% confidence intervals of the expected damage ratios (%) and their </w:t>
      </w: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hAnsi="Times New Roman" w:cs="Times New Roman"/>
          <w:lang w:val="en-US"/>
        </w:rPr>
        <w:t>, 25</w:t>
      </w:r>
      <w:r w:rsidRPr="00D35659">
        <w:rPr>
          <w:rFonts w:ascii="Times New Roman" w:hAnsi="Times New Roman" w:cs="Times New Roman"/>
          <w:vertAlign w:val="superscript"/>
          <w:lang w:val="en-US"/>
        </w:rPr>
        <w:t>th</w:t>
      </w:r>
      <w:r w:rsidRPr="00D35659">
        <w:rPr>
          <w:rFonts w:ascii="Times New Roman" w:hAnsi="Times New Roman" w:cs="Times New Roman"/>
          <w:lang w:val="en-US"/>
        </w:rPr>
        <w:t>, 75</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and 99</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quantiles.</w:t>
      </w:r>
    </w:p>
    <w:p w14:paraId="799ADB46" w14:textId="77777777" w:rsidR="00435540" w:rsidRPr="00D35659" w:rsidRDefault="00435540" w:rsidP="00435540">
      <w:pPr>
        <w:spacing w:after="0"/>
        <w:rPr>
          <w:rFonts w:ascii="Times New Roman" w:hAnsi="Times New Roman" w:cs="Times New Roman"/>
          <w:lang w:val="en-US"/>
        </w:rPr>
      </w:pPr>
    </w:p>
    <w:p w14:paraId="44DAFBD9" w14:textId="77777777" w:rsidR="00435540" w:rsidRPr="00D35659" w:rsidRDefault="00435540" w:rsidP="00435540">
      <w:pPr>
        <w:spacing w:after="0"/>
        <w:rPr>
          <w:rFonts w:ascii="Times New Roman" w:hAnsi="Times New Roman" w:cs="Times New Roman"/>
          <w:lang w:val="en-US"/>
        </w:rPr>
      </w:pPr>
    </w:p>
    <w:p w14:paraId="1FFC9192" w14:textId="77777777" w:rsidR="00435540" w:rsidRPr="00D35659" w:rsidRDefault="00435540" w:rsidP="00435540">
      <w:pPr>
        <w:spacing w:after="0"/>
        <w:rPr>
          <w:rFonts w:ascii="Times New Roman" w:hAnsi="Times New Roman" w:cs="Times New Roman"/>
          <w:lang w:val="en-US"/>
        </w:rPr>
      </w:pPr>
    </w:p>
    <w:p w14:paraId="37694A6F" w14:textId="77777777" w:rsidR="00435540" w:rsidRPr="00D35659" w:rsidRDefault="00435540" w:rsidP="00435540">
      <w:pPr>
        <w:spacing w:after="0"/>
        <w:rPr>
          <w:rFonts w:ascii="Times New Roman" w:hAnsi="Times New Roman" w:cs="Times New Roman"/>
          <w:lang w:val="en-US"/>
        </w:rPr>
      </w:pPr>
    </w:p>
    <w:p w14:paraId="5D59473C" w14:textId="77777777" w:rsidR="00435540" w:rsidRPr="00D35659" w:rsidRDefault="00435540" w:rsidP="00435540">
      <w:pPr>
        <w:spacing w:after="0"/>
        <w:rPr>
          <w:rFonts w:ascii="Times New Roman" w:hAnsi="Times New Roman" w:cs="Times New Roman"/>
          <w:lang w:val="en-US"/>
        </w:rPr>
      </w:pPr>
    </w:p>
    <w:p w14:paraId="450EAA81" w14:textId="77777777" w:rsidR="00435540" w:rsidRPr="00D35659" w:rsidRDefault="00435540" w:rsidP="00435540">
      <w:pPr>
        <w:spacing w:after="0"/>
        <w:rPr>
          <w:rFonts w:ascii="Times New Roman" w:hAnsi="Times New Roman" w:cs="Times New Roman"/>
          <w:lang w:val="en-US"/>
        </w:rPr>
      </w:pPr>
    </w:p>
    <w:p w14:paraId="5EAFEB4E" w14:textId="77777777" w:rsidR="00435540" w:rsidRPr="00D35659" w:rsidRDefault="00435540" w:rsidP="00435540">
      <w:pPr>
        <w:spacing w:after="0"/>
        <w:rPr>
          <w:rFonts w:ascii="Times New Roman" w:hAnsi="Times New Roman" w:cs="Times New Roman"/>
          <w:lang w:val="en-US"/>
        </w:rPr>
      </w:pPr>
    </w:p>
    <w:p w14:paraId="1DE30460" w14:textId="77777777" w:rsidR="00435540" w:rsidRPr="00D35659" w:rsidRDefault="00435540" w:rsidP="00435540">
      <w:pPr>
        <w:spacing w:after="0"/>
        <w:rPr>
          <w:rFonts w:ascii="Times New Roman" w:hAnsi="Times New Roman" w:cs="Times New Roman"/>
          <w:lang w:val="en-US"/>
        </w:rPr>
      </w:pPr>
    </w:p>
    <w:p w14:paraId="292BA613" w14:textId="77777777" w:rsidR="00435540" w:rsidRPr="00D35659" w:rsidRDefault="00435540" w:rsidP="00435540">
      <w:pPr>
        <w:spacing w:after="0"/>
        <w:rPr>
          <w:rFonts w:ascii="Times New Roman" w:hAnsi="Times New Roman" w:cs="Times New Roman"/>
          <w:lang w:val="en-US"/>
        </w:rPr>
      </w:pPr>
    </w:p>
    <w:p w14:paraId="0A8F0085" w14:textId="77777777" w:rsidR="00435540" w:rsidRPr="00D35659" w:rsidRDefault="00435540" w:rsidP="00435540">
      <w:pPr>
        <w:spacing w:after="0"/>
        <w:rPr>
          <w:rFonts w:ascii="Times New Roman" w:hAnsi="Times New Roman" w:cs="Times New Roman"/>
          <w:lang w:val="en-US"/>
        </w:rPr>
      </w:pPr>
    </w:p>
    <w:p w14:paraId="2B13AB16" w14:textId="77777777" w:rsidR="00435540" w:rsidRPr="00D35659" w:rsidRDefault="00435540" w:rsidP="00435540">
      <w:pPr>
        <w:spacing w:after="0"/>
        <w:rPr>
          <w:rFonts w:ascii="Times New Roman" w:hAnsi="Times New Roman" w:cs="Times New Roman"/>
          <w:lang w:val="en-US"/>
        </w:rPr>
      </w:pPr>
    </w:p>
    <w:p w14:paraId="2C972A62" w14:textId="77777777" w:rsidR="00435540" w:rsidRPr="00D35659" w:rsidRDefault="00435540" w:rsidP="00435540">
      <w:pPr>
        <w:spacing w:after="0"/>
        <w:rPr>
          <w:rFonts w:ascii="Times New Roman" w:hAnsi="Times New Roman" w:cs="Times New Roman"/>
          <w:lang w:val="en-US"/>
        </w:rPr>
      </w:pPr>
    </w:p>
    <w:p w14:paraId="3E41BEB4" w14:textId="77777777" w:rsidR="00435540" w:rsidRPr="00D35659" w:rsidRDefault="00435540" w:rsidP="00435540">
      <w:pPr>
        <w:spacing w:after="0"/>
        <w:rPr>
          <w:rFonts w:ascii="Times New Roman" w:hAnsi="Times New Roman" w:cs="Times New Roman"/>
          <w:lang w:val="en-US"/>
        </w:rPr>
      </w:pPr>
    </w:p>
    <w:p w14:paraId="7B3DD5B4" w14:textId="77777777" w:rsidR="00435540" w:rsidRPr="00D35659" w:rsidRDefault="00435540" w:rsidP="00435540">
      <w:pPr>
        <w:spacing w:after="0"/>
        <w:rPr>
          <w:rFonts w:ascii="Times New Roman" w:hAnsi="Times New Roman" w:cs="Times New Roman"/>
          <w:lang w:val="en-US"/>
        </w:rPr>
      </w:pPr>
    </w:p>
    <w:p w14:paraId="0E3C6430" w14:textId="77777777" w:rsidR="00435540" w:rsidRPr="00D35659" w:rsidRDefault="00435540" w:rsidP="00435540">
      <w:pPr>
        <w:spacing w:after="0"/>
        <w:rPr>
          <w:rFonts w:ascii="Times New Roman" w:hAnsi="Times New Roman" w:cs="Times New Roman"/>
          <w:lang w:val="en-US"/>
        </w:rPr>
      </w:pPr>
    </w:p>
    <w:p w14:paraId="3DDC3A6A" w14:textId="77777777" w:rsidR="00435540" w:rsidRPr="00D35659" w:rsidRDefault="00435540" w:rsidP="00435540">
      <w:pPr>
        <w:spacing w:after="0"/>
        <w:rPr>
          <w:rFonts w:ascii="Times New Roman" w:hAnsi="Times New Roman" w:cs="Times New Roman"/>
          <w:lang w:val="en-US"/>
        </w:rPr>
      </w:pPr>
    </w:p>
    <w:p w14:paraId="44B9B818" w14:textId="77777777" w:rsidR="00435540" w:rsidRPr="00D35659" w:rsidRDefault="00435540" w:rsidP="00435540">
      <w:pPr>
        <w:spacing w:after="0"/>
        <w:rPr>
          <w:rFonts w:ascii="Times New Roman" w:hAnsi="Times New Roman" w:cs="Times New Roman"/>
          <w:lang w:val="en-US"/>
        </w:rPr>
      </w:pPr>
    </w:p>
    <w:p w14:paraId="23D8446A" w14:textId="77777777" w:rsidR="00435540" w:rsidRPr="00D35659" w:rsidRDefault="00435540" w:rsidP="00435540">
      <w:pPr>
        <w:spacing w:after="0"/>
        <w:rPr>
          <w:rFonts w:ascii="Times New Roman" w:hAnsi="Times New Roman" w:cs="Times New Roman"/>
          <w:lang w:val="en-US"/>
        </w:rPr>
      </w:pPr>
    </w:p>
    <w:p w14:paraId="3AC56C3A" w14:textId="77777777" w:rsidR="00435540" w:rsidRPr="00D35659" w:rsidRDefault="00435540" w:rsidP="00435540">
      <w:pPr>
        <w:spacing w:after="0"/>
        <w:rPr>
          <w:rFonts w:ascii="Times New Roman" w:hAnsi="Times New Roman" w:cs="Times New Roman"/>
          <w:lang w:val="en-US"/>
        </w:rPr>
      </w:pPr>
    </w:p>
    <w:p w14:paraId="42D5BF1E" w14:textId="77777777" w:rsidR="00435540" w:rsidRPr="00D35659" w:rsidRDefault="00435540" w:rsidP="00435540">
      <w:pPr>
        <w:spacing w:after="0"/>
        <w:rPr>
          <w:rFonts w:ascii="Times New Roman" w:hAnsi="Times New Roman" w:cs="Times New Roman"/>
          <w:lang w:val="en-US"/>
        </w:rPr>
      </w:pPr>
    </w:p>
    <w:p w14:paraId="1D11B7C5" w14:textId="77777777" w:rsidR="00435540" w:rsidRPr="00D35659" w:rsidRDefault="00435540" w:rsidP="00435540">
      <w:pPr>
        <w:spacing w:after="0"/>
        <w:rPr>
          <w:rFonts w:ascii="Times New Roman" w:hAnsi="Times New Roman" w:cs="Times New Roman"/>
          <w:lang w:val="en-US"/>
        </w:rPr>
      </w:pPr>
    </w:p>
    <w:p w14:paraId="4BC3BA30" w14:textId="77777777" w:rsidR="00435540" w:rsidRPr="00D35659" w:rsidRDefault="00435540" w:rsidP="00435540">
      <w:pPr>
        <w:spacing w:after="0"/>
        <w:rPr>
          <w:rFonts w:ascii="Times New Roman" w:hAnsi="Times New Roman" w:cs="Times New Roman"/>
          <w:lang w:val="en-US"/>
        </w:rPr>
      </w:pPr>
    </w:p>
    <w:p w14:paraId="2ECA9111" w14:textId="77777777" w:rsidR="00435540" w:rsidRPr="00D35659" w:rsidRDefault="00435540" w:rsidP="00435540">
      <w:pPr>
        <w:spacing w:after="0"/>
        <w:rPr>
          <w:rFonts w:ascii="Times New Roman" w:hAnsi="Times New Roman" w:cs="Times New Roman"/>
          <w:lang w:val="en-US"/>
        </w:rPr>
      </w:pPr>
    </w:p>
    <w:p w14:paraId="2C2BF38C" w14:textId="77777777" w:rsidR="00435540" w:rsidRPr="00D35659" w:rsidRDefault="00435540" w:rsidP="00435540">
      <w:pPr>
        <w:spacing w:after="0"/>
        <w:rPr>
          <w:rFonts w:ascii="Times New Roman" w:hAnsi="Times New Roman" w:cs="Times New Roman"/>
          <w:lang w:val="en-US"/>
        </w:rPr>
      </w:pPr>
    </w:p>
    <w:p w14:paraId="2D2B0871" w14:textId="77777777" w:rsidR="00435540" w:rsidRPr="00D35659" w:rsidRDefault="00435540" w:rsidP="00435540">
      <w:pPr>
        <w:spacing w:after="0"/>
        <w:rPr>
          <w:rFonts w:ascii="Times New Roman" w:hAnsi="Times New Roman" w:cs="Times New Roman"/>
          <w:lang w:val="en-US"/>
        </w:rPr>
      </w:pPr>
    </w:p>
    <w:p w14:paraId="66EFB4EF" w14:textId="77777777" w:rsidR="00435540" w:rsidRPr="00D35659" w:rsidRDefault="00435540" w:rsidP="00435540">
      <w:pPr>
        <w:spacing w:after="0"/>
        <w:rPr>
          <w:rFonts w:ascii="Times New Roman" w:hAnsi="Times New Roman" w:cs="Times New Roman"/>
          <w:lang w:val="en-US"/>
        </w:rPr>
      </w:pPr>
    </w:p>
    <w:p w14:paraId="14FD2585" w14:textId="77777777" w:rsidR="00435540" w:rsidRPr="00D35659" w:rsidRDefault="00435540" w:rsidP="00435540">
      <w:pPr>
        <w:spacing w:after="0"/>
        <w:rPr>
          <w:rFonts w:ascii="Times New Roman" w:hAnsi="Times New Roman" w:cs="Times New Roman"/>
          <w:lang w:val="en-US"/>
        </w:rPr>
      </w:pPr>
    </w:p>
    <w:p w14:paraId="4E9519FC" w14:textId="77777777" w:rsidR="00435540" w:rsidRPr="00D35659" w:rsidRDefault="00435540" w:rsidP="00435540">
      <w:pPr>
        <w:spacing w:after="0"/>
        <w:rPr>
          <w:rFonts w:ascii="Times New Roman" w:hAnsi="Times New Roman" w:cs="Times New Roman"/>
          <w:lang w:val="en-US"/>
        </w:rPr>
      </w:pPr>
    </w:p>
    <w:p w14:paraId="4912BB01" w14:textId="77777777" w:rsidR="00435540" w:rsidRPr="00D35659" w:rsidRDefault="00435540" w:rsidP="00435540">
      <w:pPr>
        <w:spacing w:after="0"/>
        <w:rPr>
          <w:rFonts w:ascii="Times New Roman" w:hAnsi="Times New Roman" w:cs="Times New Roman"/>
          <w:lang w:val="en-US"/>
        </w:rPr>
      </w:pPr>
    </w:p>
    <w:p w14:paraId="6E9CE2C3" w14:textId="77777777" w:rsidR="00435540" w:rsidRPr="00D35659" w:rsidRDefault="00435540" w:rsidP="00435540">
      <w:pPr>
        <w:spacing w:after="0"/>
        <w:rPr>
          <w:rFonts w:ascii="Times New Roman" w:hAnsi="Times New Roman" w:cs="Times New Roman"/>
          <w:lang w:val="en-US"/>
        </w:rPr>
      </w:pPr>
    </w:p>
    <w:p w14:paraId="13B44509" w14:textId="77777777" w:rsidR="00435540" w:rsidRPr="00D35659" w:rsidRDefault="00435540" w:rsidP="00435540">
      <w:pPr>
        <w:spacing w:after="0"/>
        <w:rPr>
          <w:rFonts w:ascii="Times New Roman" w:hAnsi="Times New Roman" w:cs="Times New Roman"/>
          <w:lang w:val="en-US"/>
        </w:rPr>
      </w:pPr>
    </w:p>
    <w:p w14:paraId="05C916DB" w14:textId="77777777" w:rsidR="00435540" w:rsidRPr="00D35659" w:rsidRDefault="00435540" w:rsidP="00435540">
      <w:pPr>
        <w:spacing w:after="0"/>
        <w:rPr>
          <w:rFonts w:ascii="Times New Roman" w:hAnsi="Times New Roman" w:cs="Times New Roman"/>
          <w:lang w:val="en-US"/>
        </w:rPr>
      </w:pPr>
    </w:p>
    <w:p w14:paraId="0E7E85F6" w14:textId="77777777" w:rsidR="00435540" w:rsidRPr="00D35659" w:rsidRDefault="00435540" w:rsidP="00435540">
      <w:pPr>
        <w:spacing w:after="0"/>
        <w:rPr>
          <w:rFonts w:ascii="Times New Roman" w:hAnsi="Times New Roman" w:cs="Times New Roman"/>
          <w:lang w:val="en-US"/>
        </w:rPr>
      </w:pPr>
    </w:p>
    <w:p w14:paraId="26E5DCE6" w14:textId="77777777" w:rsidR="00435540" w:rsidRPr="00D35659" w:rsidRDefault="00435540" w:rsidP="00435540">
      <w:pPr>
        <w:spacing w:after="0"/>
        <w:rPr>
          <w:rFonts w:ascii="Times New Roman" w:hAnsi="Times New Roman" w:cs="Times New Roman"/>
          <w:lang w:val="en-US"/>
        </w:rPr>
      </w:pPr>
    </w:p>
    <w:p w14:paraId="5B5835AD" w14:textId="77777777" w:rsidR="00435540" w:rsidRDefault="00435540" w:rsidP="00435540">
      <w:pPr>
        <w:spacing w:after="0"/>
        <w:rPr>
          <w:rFonts w:ascii="Times New Roman" w:hAnsi="Times New Roman" w:cs="Times New Roman"/>
          <w:lang w:val="en-US"/>
        </w:rPr>
      </w:pPr>
    </w:p>
    <w:p w14:paraId="68E6B8B5" w14:textId="77777777" w:rsidR="004766F8" w:rsidRDefault="004766F8" w:rsidP="00435540">
      <w:pPr>
        <w:spacing w:after="0"/>
        <w:rPr>
          <w:rFonts w:ascii="Times New Roman" w:hAnsi="Times New Roman" w:cs="Times New Roman"/>
          <w:lang w:val="en-US"/>
        </w:rPr>
      </w:pPr>
    </w:p>
    <w:p w14:paraId="116811B1" w14:textId="5B0EFC02" w:rsidR="00435540" w:rsidRPr="00D35659" w:rsidRDefault="00435540" w:rsidP="00435540">
      <w:pPr>
        <w:spacing w:after="0"/>
        <w:rPr>
          <w:rFonts w:ascii="Times New Roman" w:hAnsi="Times New Roman" w:cs="Times New Roman"/>
          <w:b/>
          <w:bCs/>
          <w:lang w:val="en-US"/>
        </w:rPr>
      </w:pPr>
      <w:r w:rsidRPr="00D35659">
        <w:rPr>
          <w:rFonts w:ascii="Times New Roman" w:hAnsi="Times New Roman" w:cs="Times New Roman"/>
          <w:b/>
          <w:bCs/>
          <w:lang w:val="en-US"/>
        </w:rPr>
        <w:lastRenderedPageBreak/>
        <w:t>24-hour cumulative precipitation levels of 50 mm</w:t>
      </w:r>
    </w:p>
    <w:p w14:paraId="607B6A26" w14:textId="77777777" w:rsidR="00435540" w:rsidRPr="00D35659" w:rsidRDefault="00435540" w:rsidP="00435540">
      <w:pPr>
        <w:spacing w:after="0"/>
        <w:rPr>
          <w:rFonts w:ascii="Times New Roman" w:hAnsi="Times New Roman" w:cs="Times New Roman"/>
          <w:lang w:val="en-US"/>
        </w:rPr>
      </w:pPr>
    </w:p>
    <w:p w14:paraId="79A40C24"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Table S6</w:t>
      </w:r>
    </w:p>
    <w:tbl>
      <w:tblPr>
        <w:tblStyle w:val="Tabelraster"/>
        <w:tblpPr w:leftFromText="141" w:rightFromText="141" w:vertAnchor="text" w:tblpY="1"/>
        <w:tblOverlap w:val="never"/>
        <w:tblW w:w="0" w:type="auto"/>
        <w:tblLook w:val="04A0" w:firstRow="1" w:lastRow="0" w:firstColumn="1" w:lastColumn="0" w:noHBand="0" w:noVBand="1"/>
      </w:tblPr>
      <w:tblGrid>
        <w:gridCol w:w="1006"/>
        <w:gridCol w:w="1054"/>
        <w:gridCol w:w="1054"/>
        <w:gridCol w:w="1054"/>
        <w:gridCol w:w="1054"/>
        <w:gridCol w:w="1054"/>
      </w:tblGrid>
      <w:tr w:rsidR="00435540" w:rsidRPr="00D35659" w14:paraId="4163C079" w14:textId="77777777" w:rsidTr="003A799A">
        <w:tc>
          <w:tcPr>
            <w:tcW w:w="1006" w:type="dxa"/>
          </w:tcPr>
          <w:p w14:paraId="2572C734"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MEHS</w:t>
            </w:r>
          </w:p>
        </w:tc>
        <w:tc>
          <w:tcPr>
            <w:tcW w:w="1054" w:type="dxa"/>
          </w:tcPr>
          <w:p w14:paraId="3F50CEC3"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1A18E383" w14:textId="77777777" w:rsidR="00435540" w:rsidRPr="00D35659" w:rsidRDefault="00435540" w:rsidP="003A799A">
            <w:pPr>
              <w:rPr>
                <w:rFonts w:ascii="Times New Roman" w:eastAsiaTheme="minorEastAsia" w:hAnsi="Times New Roman" w:cs="Times New Roman"/>
                <w:lang w:val="en-US"/>
              </w:rPr>
            </w:pPr>
          </w:p>
        </w:tc>
        <w:tc>
          <w:tcPr>
            <w:tcW w:w="1054" w:type="dxa"/>
          </w:tcPr>
          <w:p w14:paraId="47DCD5CE"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1054" w:type="dxa"/>
          </w:tcPr>
          <w:p w14:paraId="7E032908"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E[DR]</w:t>
            </w:r>
          </w:p>
        </w:tc>
        <w:tc>
          <w:tcPr>
            <w:tcW w:w="1054" w:type="dxa"/>
          </w:tcPr>
          <w:p w14:paraId="5A4A1902"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67AE3A5D" w14:textId="77777777" w:rsidR="00435540" w:rsidRPr="00D35659" w:rsidRDefault="00435540" w:rsidP="003A799A">
            <w:pPr>
              <w:rPr>
                <w:rFonts w:ascii="Times New Roman" w:eastAsiaTheme="minorEastAsia" w:hAnsi="Times New Roman" w:cs="Times New Roman"/>
                <w:lang w:val="en-US"/>
              </w:rPr>
            </w:pPr>
          </w:p>
        </w:tc>
        <w:tc>
          <w:tcPr>
            <w:tcW w:w="1054" w:type="dxa"/>
          </w:tcPr>
          <w:p w14:paraId="2201FD6B"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w:t>
            </w:r>
          </w:p>
        </w:tc>
      </w:tr>
      <w:tr w:rsidR="00435540" w:rsidRPr="00D35659" w14:paraId="08CDBAF3" w14:textId="77777777" w:rsidTr="003A799A">
        <w:tc>
          <w:tcPr>
            <w:tcW w:w="1006" w:type="dxa"/>
          </w:tcPr>
          <w:p w14:paraId="2ADBAA31"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0 cm</w:t>
            </w:r>
          </w:p>
        </w:tc>
        <w:tc>
          <w:tcPr>
            <w:tcW w:w="1054" w:type="dxa"/>
            <w:vAlign w:val="bottom"/>
          </w:tcPr>
          <w:p w14:paraId="481CD12C" w14:textId="139A785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009</w:t>
            </w:r>
          </w:p>
        </w:tc>
        <w:tc>
          <w:tcPr>
            <w:tcW w:w="1054" w:type="dxa"/>
            <w:vAlign w:val="bottom"/>
          </w:tcPr>
          <w:p w14:paraId="149167BE" w14:textId="5A24C11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218</w:t>
            </w:r>
          </w:p>
        </w:tc>
        <w:tc>
          <w:tcPr>
            <w:tcW w:w="1054" w:type="dxa"/>
            <w:vAlign w:val="bottom"/>
          </w:tcPr>
          <w:p w14:paraId="2945A6F0" w14:textId="2640C72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713</w:t>
            </w:r>
          </w:p>
        </w:tc>
        <w:tc>
          <w:tcPr>
            <w:tcW w:w="1054" w:type="dxa"/>
            <w:vAlign w:val="bottom"/>
          </w:tcPr>
          <w:p w14:paraId="70220087" w14:textId="0C10C72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989</w:t>
            </w:r>
          </w:p>
        </w:tc>
        <w:tc>
          <w:tcPr>
            <w:tcW w:w="1054" w:type="dxa"/>
            <w:vAlign w:val="bottom"/>
          </w:tcPr>
          <w:p w14:paraId="637B35D9" w14:textId="79CE5D0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160</w:t>
            </w:r>
          </w:p>
        </w:tc>
      </w:tr>
      <w:tr w:rsidR="00435540" w:rsidRPr="00D35659" w14:paraId="26D0B2D3" w14:textId="77777777" w:rsidTr="003A799A">
        <w:tc>
          <w:tcPr>
            <w:tcW w:w="1006" w:type="dxa"/>
          </w:tcPr>
          <w:p w14:paraId="5789AC15"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 cm</w:t>
            </w:r>
          </w:p>
        </w:tc>
        <w:tc>
          <w:tcPr>
            <w:tcW w:w="1054" w:type="dxa"/>
            <w:vAlign w:val="bottom"/>
          </w:tcPr>
          <w:p w14:paraId="579B771F" w14:textId="7995ED7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014</w:t>
            </w:r>
          </w:p>
        </w:tc>
        <w:tc>
          <w:tcPr>
            <w:tcW w:w="1054" w:type="dxa"/>
            <w:vAlign w:val="bottom"/>
          </w:tcPr>
          <w:p w14:paraId="0235C3C5" w14:textId="1B0DD0A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264</w:t>
            </w:r>
          </w:p>
        </w:tc>
        <w:tc>
          <w:tcPr>
            <w:tcW w:w="1054" w:type="dxa"/>
            <w:vAlign w:val="bottom"/>
          </w:tcPr>
          <w:p w14:paraId="63A4186F" w14:textId="3FB4BEE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788</w:t>
            </w:r>
          </w:p>
        </w:tc>
        <w:tc>
          <w:tcPr>
            <w:tcW w:w="1054" w:type="dxa"/>
            <w:vAlign w:val="bottom"/>
          </w:tcPr>
          <w:p w14:paraId="294A3930" w14:textId="1B27A16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091</w:t>
            </w:r>
          </w:p>
        </w:tc>
        <w:tc>
          <w:tcPr>
            <w:tcW w:w="1054" w:type="dxa"/>
            <w:vAlign w:val="bottom"/>
          </w:tcPr>
          <w:p w14:paraId="1F80AF45" w14:textId="75B5E68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322</w:t>
            </w:r>
          </w:p>
        </w:tc>
      </w:tr>
      <w:tr w:rsidR="00435540" w:rsidRPr="00D35659" w14:paraId="378ED4F8" w14:textId="77777777" w:rsidTr="003A799A">
        <w:tc>
          <w:tcPr>
            <w:tcW w:w="1006" w:type="dxa"/>
          </w:tcPr>
          <w:p w14:paraId="2F690A71"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 cm</w:t>
            </w:r>
          </w:p>
        </w:tc>
        <w:tc>
          <w:tcPr>
            <w:tcW w:w="1054" w:type="dxa"/>
            <w:vAlign w:val="bottom"/>
          </w:tcPr>
          <w:p w14:paraId="6BC256F5" w14:textId="446DDC2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017</w:t>
            </w:r>
          </w:p>
        </w:tc>
        <w:tc>
          <w:tcPr>
            <w:tcW w:w="1054" w:type="dxa"/>
            <w:vAlign w:val="bottom"/>
          </w:tcPr>
          <w:p w14:paraId="198EE0E7" w14:textId="29A2389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285</w:t>
            </w:r>
          </w:p>
        </w:tc>
        <w:tc>
          <w:tcPr>
            <w:tcW w:w="1054" w:type="dxa"/>
            <w:vAlign w:val="bottom"/>
          </w:tcPr>
          <w:p w14:paraId="1956C6FA" w14:textId="7666EDA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821</w:t>
            </w:r>
          </w:p>
        </w:tc>
        <w:tc>
          <w:tcPr>
            <w:tcW w:w="1054" w:type="dxa"/>
            <w:vAlign w:val="bottom"/>
          </w:tcPr>
          <w:p w14:paraId="311C1C1E" w14:textId="492E90C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136</w:t>
            </w:r>
          </w:p>
        </w:tc>
        <w:tc>
          <w:tcPr>
            <w:tcW w:w="1054" w:type="dxa"/>
            <w:vAlign w:val="bottom"/>
          </w:tcPr>
          <w:p w14:paraId="1E6F86B0" w14:textId="004204A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392</w:t>
            </w:r>
          </w:p>
        </w:tc>
      </w:tr>
      <w:tr w:rsidR="00435540" w:rsidRPr="00D35659" w14:paraId="39959CA4" w14:textId="77777777" w:rsidTr="003A799A">
        <w:tc>
          <w:tcPr>
            <w:tcW w:w="1006" w:type="dxa"/>
          </w:tcPr>
          <w:p w14:paraId="7D8D0F6C"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3 cm</w:t>
            </w:r>
          </w:p>
        </w:tc>
        <w:tc>
          <w:tcPr>
            <w:tcW w:w="1054" w:type="dxa"/>
            <w:vAlign w:val="bottom"/>
          </w:tcPr>
          <w:p w14:paraId="2795A091" w14:textId="6278B22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020</w:t>
            </w:r>
          </w:p>
        </w:tc>
        <w:tc>
          <w:tcPr>
            <w:tcW w:w="1054" w:type="dxa"/>
            <w:vAlign w:val="bottom"/>
          </w:tcPr>
          <w:p w14:paraId="323D97BE" w14:textId="7F18ED2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302</w:t>
            </w:r>
          </w:p>
        </w:tc>
        <w:tc>
          <w:tcPr>
            <w:tcW w:w="1054" w:type="dxa"/>
            <w:vAlign w:val="bottom"/>
          </w:tcPr>
          <w:p w14:paraId="7FF32F48" w14:textId="26E68E4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847</w:t>
            </w:r>
          </w:p>
        </w:tc>
        <w:tc>
          <w:tcPr>
            <w:tcW w:w="1054" w:type="dxa"/>
            <w:vAlign w:val="bottom"/>
          </w:tcPr>
          <w:p w14:paraId="2F69E680" w14:textId="2430B2D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171</w:t>
            </w:r>
          </w:p>
        </w:tc>
        <w:tc>
          <w:tcPr>
            <w:tcW w:w="1054" w:type="dxa"/>
            <w:vAlign w:val="bottom"/>
          </w:tcPr>
          <w:p w14:paraId="0CBC9465" w14:textId="64E1E1A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447</w:t>
            </w:r>
          </w:p>
        </w:tc>
      </w:tr>
      <w:tr w:rsidR="00435540" w:rsidRPr="00D35659" w14:paraId="634E6265" w14:textId="77777777" w:rsidTr="003A799A">
        <w:tc>
          <w:tcPr>
            <w:tcW w:w="1006" w:type="dxa"/>
          </w:tcPr>
          <w:p w14:paraId="3BA7110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4 cm</w:t>
            </w:r>
          </w:p>
        </w:tc>
        <w:tc>
          <w:tcPr>
            <w:tcW w:w="1054" w:type="dxa"/>
            <w:vAlign w:val="bottom"/>
          </w:tcPr>
          <w:p w14:paraId="1344FE08" w14:textId="5589768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022</w:t>
            </w:r>
          </w:p>
        </w:tc>
        <w:tc>
          <w:tcPr>
            <w:tcW w:w="1054" w:type="dxa"/>
            <w:vAlign w:val="bottom"/>
          </w:tcPr>
          <w:p w14:paraId="58D22D21" w14:textId="350A9A9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317</w:t>
            </w:r>
          </w:p>
        </w:tc>
        <w:tc>
          <w:tcPr>
            <w:tcW w:w="1054" w:type="dxa"/>
            <w:vAlign w:val="bottom"/>
          </w:tcPr>
          <w:p w14:paraId="121A3BFC" w14:textId="74EFE72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870</w:t>
            </w:r>
          </w:p>
        </w:tc>
        <w:tc>
          <w:tcPr>
            <w:tcW w:w="1054" w:type="dxa"/>
            <w:vAlign w:val="bottom"/>
          </w:tcPr>
          <w:p w14:paraId="137BE2BB" w14:textId="27944A8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202</w:t>
            </w:r>
          </w:p>
        </w:tc>
        <w:tc>
          <w:tcPr>
            <w:tcW w:w="1054" w:type="dxa"/>
            <w:vAlign w:val="bottom"/>
          </w:tcPr>
          <w:p w14:paraId="12B5CB8C" w14:textId="17B8B25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495</w:t>
            </w:r>
          </w:p>
        </w:tc>
      </w:tr>
      <w:tr w:rsidR="00435540" w:rsidRPr="00D35659" w14:paraId="552C10B0" w14:textId="77777777" w:rsidTr="003A799A">
        <w:tc>
          <w:tcPr>
            <w:tcW w:w="1006" w:type="dxa"/>
          </w:tcPr>
          <w:p w14:paraId="5121A0CB"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5 cm</w:t>
            </w:r>
          </w:p>
        </w:tc>
        <w:tc>
          <w:tcPr>
            <w:tcW w:w="1054" w:type="dxa"/>
            <w:vAlign w:val="bottom"/>
          </w:tcPr>
          <w:p w14:paraId="12227F5D" w14:textId="09B55E0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024</w:t>
            </w:r>
          </w:p>
        </w:tc>
        <w:tc>
          <w:tcPr>
            <w:tcW w:w="1054" w:type="dxa"/>
            <w:vAlign w:val="bottom"/>
          </w:tcPr>
          <w:p w14:paraId="507CD0AD" w14:textId="4763E95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331</w:t>
            </w:r>
          </w:p>
        </w:tc>
        <w:tc>
          <w:tcPr>
            <w:tcW w:w="1054" w:type="dxa"/>
            <w:vAlign w:val="bottom"/>
          </w:tcPr>
          <w:p w14:paraId="5F5E5809" w14:textId="676E10A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891</w:t>
            </w:r>
          </w:p>
        </w:tc>
        <w:tc>
          <w:tcPr>
            <w:tcW w:w="1054" w:type="dxa"/>
            <w:vAlign w:val="bottom"/>
          </w:tcPr>
          <w:p w14:paraId="41642D48" w14:textId="18F40AA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229</w:t>
            </w:r>
          </w:p>
        </w:tc>
        <w:tc>
          <w:tcPr>
            <w:tcW w:w="1054" w:type="dxa"/>
            <w:vAlign w:val="bottom"/>
          </w:tcPr>
          <w:p w14:paraId="3B29FF18" w14:textId="53A71E4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538</w:t>
            </w:r>
          </w:p>
        </w:tc>
      </w:tr>
      <w:tr w:rsidR="00435540" w:rsidRPr="00D35659" w14:paraId="10BA2B23" w14:textId="77777777" w:rsidTr="003A799A">
        <w:tc>
          <w:tcPr>
            <w:tcW w:w="1006" w:type="dxa"/>
          </w:tcPr>
          <w:p w14:paraId="16890908"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6 cm</w:t>
            </w:r>
          </w:p>
        </w:tc>
        <w:tc>
          <w:tcPr>
            <w:tcW w:w="1054" w:type="dxa"/>
            <w:vAlign w:val="bottom"/>
          </w:tcPr>
          <w:p w14:paraId="222C2A43" w14:textId="7352B7C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026</w:t>
            </w:r>
          </w:p>
        </w:tc>
        <w:tc>
          <w:tcPr>
            <w:tcW w:w="1054" w:type="dxa"/>
            <w:vAlign w:val="bottom"/>
          </w:tcPr>
          <w:p w14:paraId="135E0237" w14:textId="220B500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344</w:t>
            </w:r>
          </w:p>
        </w:tc>
        <w:tc>
          <w:tcPr>
            <w:tcW w:w="1054" w:type="dxa"/>
            <w:vAlign w:val="bottom"/>
          </w:tcPr>
          <w:p w14:paraId="1887C276" w14:textId="6ABE83D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910</w:t>
            </w:r>
          </w:p>
        </w:tc>
        <w:tc>
          <w:tcPr>
            <w:tcW w:w="1054" w:type="dxa"/>
            <w:vAlign w:val="bottom"/>
          </w:tcPr>
          <w:p w14:paraId="2B3BF179" w14:textId="39CFE2C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254</w:t>
            </w:r>
          </w:p>
        </w:tc>
        <w:tc>
          <w:tcPr>
            <w:tcW w:w="1054" w:type="dxa"/>
            <w:vAlign w:val="bottom"/>
          </w:tcPr>
          <w:p w14:paraId="35AB892C" w14:textId="6CDF33E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577</w:t>
            </w:r>
          </w:p>
        </w:tc>
      </w:tr>
      <w:tr w:rsidR="00435540" w:rsidRPr="00D35659" w14:paraId="271469B6" w14:textId="77777777" w:rsidTr="003A799A">
        <w:tc>
          <w:tcPr>
            <w:tcW w:w="1006" w:type="dxa"/>
          </w:tcPr>
          <w:p w14:paraId="5115A28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 cm</w:t>
            </w:r>
          </w:p>
        </w:tc>
        <w:tc>
          <w:tcPr>
            <w:tcW w:w="1054" w:type="dxa"/>
            <w:vAlign w:val="bottom"/>
          </w:tcPr>
          <w:p w14:paraId="4607D899" w14:textId="6CC3BAB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028</w:t>
            </w:r>
          </w:p>
        </w:tc>
        <w:tc>
          <w:tcPr>
            <w:tcW w:w="1054" w:type="dxa"/>
            <w:vAlign w:val="bottom"/>
          </w:tcPr>
          <w:p w14:paraId="360D4617" w14:textId="1AA866F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356</w:t>
            </w:r>
          </w:p>
        </w:tc>
        <w:tc>
          <w:tcPr>
            <w:tcW w:w="1054" w:type="dxa"/>
            <w:vAlign w:val="bottom"/>
          </w:tcPr>
          <w:p w14:paraId="3646B866" w14:textId="2D51F87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928</w:t>
            </w:r>
          </w:p>
        </w:tc>
        <w:tc>
          <w:tcPr>
            <w:tcW w:w="1054" w:type="dxa"/>
            <w:vAlign w:val="bottom"/>
          </w:tcPr>
          <w:p w14:paraId="521CE4F0" w14:textId="41EE5DC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278</w:t>
            </w:r>
          </w:p>
        </w:tc>
        <w:tc>
          <w:tcPr>
            <w:tcW w:w="1054" w:type="dxa"/>
            <w:vAlign w:val="bottom"/>
          </w:tcPr>
          <w:p w14:paraId="3987BAC2" w14:textId="11D38FF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613</w:t>
            </w:r>
          </w:p>
        </w:tc>
      </w:tr>
      <w:tr w:rsidR="00435540" w:rsidRPr="00D35659" w14:paraId="6142C732" w14:textId="77777777" w:rsidTr="003A799A">
        <w:tc>
          <w:tcPr>
            <w:tcW w:w="1006" w:type="dxa"/>
          </w:tcPr>
          <w:p w14:paraId="55283EA9"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8 cm</w:t>
            </w:r>
          </w:p>
        </w:tc>
        <w:tc>
          <w:tcPr>
            <w:tcW w:w="1054" w:type="dxa"/>
            <w:vAlign w:val="bottom"/>
          </w:tcPr>
          <w:p w14:paraId="03F8C78B" w14:textId="4A45377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030</w:t>
            </w:r>
          </w:p>
        </w:tc>
        <w:tc>
          <w:tcPr>
            <w:tcW w:w="1054" w:type="dxa"/>
            <w:vAlign w:val="bottom"/>
          </w:tcPr>
          <w:p w14:paraId="7A0BD36B" w14:textId="5655B47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367</w:t>
            </w:r>
          </w:p>
        </w:tc>
        <w:tc>
          <w:tcPr>
            <w:tcW w:w="1054" w:type="dxa"/>
            <w:vAlign w:val="bottom"/>
          </w:tcPr>
          <w:p w14:paraId="32BAAB5B" w14:textId="59CE5FB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945</w:t>
            </w:r>
          </w:p>
        </w:tc>
        <w:tc>
          <w:tcPr>
            <w:tcW w:w="1054" w:type="dxa"/>
            <w:vAlign w:val="bottom"/>
          </w:tcPr>
          <w:p w14:paraId="3E4C82B9" w14:textId="36BF78A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300</w:t>
            </w:r>
          </w:p>
        </w:tc>
        <w:tc>
          <w:tcPr>
            <w:tcW w:w="1054" w:type="dxa"/>
            <w:vAlign w:val="bottom"/>
          </w:tcPr>
          <w:p w14:paraId="183FC3AF" w14:textId="5401B8A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648</w:t>
            </w:r>
          </w:p>
        </w:tc>
      </w:tr>
    </w:tbl>
    <w:p w14:paraId="59E0B2F6" w14:textId="77777777" w:rsidR="00435540" w:rsidRPr="00D35659" w:rsidRDefault="00435540" w:rsidP="00435540">
      <w:pPr>
        <w:spacing w:after="0"/>
        <w:jc w:val="both"/>
        <w:rPr>
          <w:rFonts w:ascii="Times New Roman" w:hAnsi="Times New Roman" w:cs="Times New Roman"/>
          <w:lang w:val="en-US"/>
        </w:rPr>
      </w:pPr>
      <w:r w:rsidRPr="00D35659">
        <w:rPr>
          <w:rFonts w:ascii="Times New Roman" w:hAnsi="Times New Roman" w:cs="Times New Roman"/>
          <w:lang w:val="en-US"/>
        </w:rPr>
        <w:br w:type="textWrapping" w:clear="all"/>
        <w:t xml:space="preserve">Expected damage ratios (%) and their </w:t>
      </w: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hAnsi="Times New Roman" w:cs="Times New Roman"/>
          <w:lang w:val="en-US"/>
        </w:rPr>
        <w:t>, 25</w:t>
      </w:r>
      <w:r w:rsidRPr="00D35659">
        <w:rPr>
          <w:rFonts w:ascii="Times New Roman" w:hAnsi="Times New Roman" w:cs="Times New Roman"/>
          <w:vertAlign w:val="superscript"/>
          <w:lang w:val="en-US"/>
        </w:rPr>
        <w:t>th</w:t>
      </w:r>
      <w:r w:rsidRPr="00D35659">
        <w:rPr>
          <w:rFonts w:ascii="Times New Roman" w:hAnsi="Times New Roman" w:cs="Times New Roman"/>
          <w:lang w:val="en-US"/>
        </w:rPr>
        <w:t>, 75</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and 99</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quantiles.</w:t>
      </w:r>
    </w:p>
    <w:p w14:paraId="1C3E737E" w14:textId="77777777" w:rsidR="00435540" w:rsidRPr="00D35659" w:rsidRDefault="00435540" w:rsidP="00435540">
      <w:pPr>
        <w:spacing w:after="0"/>
        <w:jc w:val="both"/>
        <w:rPr>
          <w:rFonts w:ascii="Times New Roman" w:hAnsi="Times New Roman" w:cs="Times New Roman"/>
          <w:lang w:val="en-US"/>
        </w:rPr>
      </w:pPr>
    </w:p>
    <w:p w14:paraId="22E1605F"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Table S7</w:t>
      </w:r>
    </w:p>
    <w:tbl>
      <w:tblPr>
        <w:tblStyle w:val="Tabelraster"/>
        <w:tblW w:w="0" w:type="auto"/>
        <w:tblLook w:val="04A0" w:firstRow="1" w:lastRow="0" w:firstColumn="1" w:lastColumn="0" w:noHBand="0" w:noVBand="1"/>
      </w:tblPr>
      <w:tblGrid>
        <w:gridCol w:w="1000"/>
        <w:gridCol w:w="720"/>
        <w:gridCol w:w="720"/>
        <w:gridCol w:w="720"/>
        <w:gridCol w:w="720"/>
        <w:gridCol w:w="720"/>
        <w:gridCol w:w="222"/>
        <w:gridCol w:w="847"/>
        <w:gridCol w:w="847"/>
        <w:gridCol w:w="848"/>
        <w:gridCol w:w="848"/>
        <w:gridCol w:w="848"/>
      </w:tblGrid>
      <w:tr w:rsidR="00435540" w:rsidRPr="00D35659" w14:paraId="03DE8C88" w14:textId="77777777" w:rsidTr="003A799A">
        <w:tc>
          <w:tcPr>
            <w:tcW w:w="1002" w:type="dxa"/>
          </w:tcPr>
          <w:p w14:paraId="3B3AEDCF"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Wind gust speed</w:t>
            </w:r>
          </w:p>
        </w:tc>
        <w:tc>
          <w:tcPr>
            <w:tcW w:w="720" w:type="dxa"/>
          </w:tcPr>
          <w:p w14:paraId="5EC1FB1C"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52CB4400" w14:textId="77777777" w:rsidR="00435540" w:rsidRPr="00D35659" w:rsidRDefault="00435540" w:rsidP="003A799A">
            <w:pPr>
              <w:rPr>
                <w:rFonts w:ascii="Times New Roman" w:eastAsiaTheme="minorEastAsia" w:hAnsi="Times New Roman" w:cs="Times New Roman"/>
                <w:lang w:val="en-US"/>
              </w:rPr>
            </w:pPr>
          </w:p>
        </w:tc>
        <w:tc>
          <w:tcPr>
            <w:tcW w:w="720" w:type="dxa"/>
          </w:tcPr>
          <w:p w14:paraId="5AFCA43E"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720" w:type="dxa"/>
          </w:tcPr>
          <w:p w14:paraId="2935BC1C"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75% lower CI</w:t>
            </w:r>
          </w:p>
        </w:tc>
        <w:tc>
          <w:tcPr>
            <w:tcW w:w="720" w:type="dxa"/>
          </w:tcPr>
          <w:p w14:paraId="0D7E52FE"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4242A56D" w14:textId="77777777" w:rsidR="00435540" w:rsidRPr="00D35659" w:rsidRDefault="00435540" w:rsidP="003A799A">
            <w:pPr>
              <w:rPr>
                <w:rFonts w:ascii="Times New Roman" w:eastAsiaTheme="minorEastAsia" w:hAnsi="Times New Roman" w:cs="Times New Roman"/>
                <w:lang w:val="en-US"/>
              </w:rPr>
            </w:pPr>
          </w:p>
        </w:tc>
        <w:tc>
          <w:tcPr>
            <w:tcW w:w="720" w:type="dxa"/>
          </w:tcPr>
          <w:p w14:paraId="11D1278F"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222" w:type="dxa"/>
            <w:vMerge w:val="restart"/>
          </w:tcPr>
          <w:p w14:paraId="1FE74E13" w14:textId="77777777" w:rsidR="00435540" w:rsidRPr="00D35659" w:rsidRDefault="00435540" w:rsidP="003A799A">
            <w:pPr>
              <w:rPr>
                <w:rFonts w:ascii="Times New Roman" w:eastAsiaTheme="minorEastAsia" w:hAnsi="Times New Roman" w:cs="Times New Roman"/>
                <w:lang w:val="en-US"/>
              </w:rPr>
            </w:pPr>
          </w:p>
        </w:tc>
        <w:tc>
          <w:tcPr>
            <w:tcW w:w="847" w:type="dxa"/>
          </w:tcPr>
          <w:p w14:paraId="07AB006E"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463C210D" w14:textId="77777777" w:rsidR="00435540" w:rsidRPr="00D35659" w:rsidRDefault="00435540" w:rsidP="003A799A">
            <w:pPr>
              <w:rPr>
                <w:rFonts w:ascii="Times New Roman" w:eastAsiaTheme="minorEastAsia" w:hAnsi="Times New Roman" w:cs="Times New Roman"/>
                <w:lang w:val="en-US"/>
              </w:rPr>
            </w:pPr>
          </w:p>
        </w:tc>
        <w:tc>
          <w:tcPr>
            <w:tcW w:w="847" w:type="dxa"/>
          </w:tcPr>
          <w:p w14:paraId="0BCCC632"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848" w:type="dxa"/>
          </w:tcPr>
          <w:p w14:paraId="49DC10CE"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75% upper CI</w:t>
            </w:r>
          </w:p>
        </w:tc>
        <w:tc>
          <w:tcPr>
            <w:tcW w:w="848" w:type="dxa"/>
          </w:tcPr>
          <w:p w14:paraId="1A7D81DC"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5BEB9249" w14:textId="77777777" w:rsidR="00435540" w:rsidRPr="00D35659" w:rsidRDefault="00435540" w:rsidP="003A799A">
            <w:pPr>
              <w:rPr>
                <w:rFonts w:ascii="Times New Roman" w:eastAsiaTheme="minorEastAsia" w:hAnsi="Times New Roman" w:cs="Times New Roman"/>
                <w:lang w:val="en-US"/>
              </w:rPr>
            </w:pPr>
          </w:p>
        </w:tc>
        <w:tc>
          <w:tcPr>
            <w:tcW w:w="848" w:type="dxa"/>
          </w:tcPr>
          <w:p w14:paraId="7757F1A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r>
      <w:tr w:rsidR="00435540" w:rsidRPr="00D35659" w14:paraId="6673736E" w14:textId="77777777" w:rsidTr="003A799A">
        <w:tc>
          <w:tcPr>
            <w:tcW w:w="1002" w:type="dxa"/>
          </w:tcPr>
          <w:p w14:paraId="0BC1F07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0 cm</w:t>
            </w:r>
          </w:p>
        </w:tc>
        <w:tc>
          <w:tcPr>
            <w:tcW w:w="720" w:type="dxa"/>
            <w:vAlign w:val="bottom"/>
          </w:tcPr>
          <w:p w14:paraId="2A31A08D" w14:textId="1B650D1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009</w:t>
            </w:r>
          </w:p>
        </w:tc>
        <w:tc>
          <w:tcPr>
            <w:tcW w:w="720" w:type="dxa"/>
            <w:vAlign w:val="bottom"/>
          </w:tcPr>
          <w:p w14:paraId="4CE90CFA" w14:textId="3DBF0B7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216</w:t>
            </w:r>
          </w:p>
        </w:tc>
        <w:tc>
          <w:tcPr>
            <w:tcW w:w="720" w:type="dxa"/>
            <w:vAlign w:val="bottom"/>
          </w:tcPr>
          <w:p w14:paraId="23A39ECD" w14:textId="25D3542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708</w:t>
            </w:r>
          </w:p>
        </w:tc>
        <w:tc>
          <w:tcPr>
            <w:tcW w:w="720" w:type="dxa"/>
            <w:vAlign w:val="bottom"/>
          </w:tcPr>
          <w:p w14:paraId="570FD8FE" w14:textId="0AECB7E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983</w:t>
            </w:r>
          </w:p>
        </w:tc>
        <w:tc>
          <w:tcPr>
            <w:tcW w:w="720" w:type="dxa"/>
            <w:vAlign w:val="bottom"/>
          </w:tcPr>
          <w:p w14:paraId="16045CCC" w14:textId="025793A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150</w:t>
            </w:r>
          </w:p>
        </w:tc>
        <w:tc>
          <w:tcPr>
            <w:tcW w:w="222" w:type="dxa"/>
            <w:vMerge/>
          </w:tcPr>
          <w:p w14:paraId="4068AD64"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0AD0A069" w14:textId="1E6C768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009</w:t>
            </w:r>
          </w:p>
        </w:tc>
        <w:tc>
          <w:tcPr>
            <w:tcW w:w="847" w:type="dxa"/>
            <w:vAlign w:val="bottom"/>
          </w:tcPr>
          <w:p w14:paraId="00A68FC6" w14:textId="53DB1F3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221</w:t>
            </w:r>
          </w:p>
        </w:tc>
        <w:tc>
          <w:tcPr>
            <w:tcW w:w="848" w:type="dxa"/>
            <w:vAlign w:val="bottom"/>
          </w:tcPr>
          <w:p w14:paraId="10E6582E" w14:textId="72CC38C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717</w:t>
            </w:r>
          </w:p>
        </w:tc>
        <w:tc>
          <w:tcPr>
            <w:tcW w:w="848" w:type="dxa"/>
            <w:vAlign w:val="bottom"/>
          </w:tcPr>
          <w:p w14:paraId="6FD1877E" w14:textId="642810D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996</w:t>
            </w:r>
          </w:p>
        </w:tc>
        <w:tc>
          <w:tcPr>
            <w:tcW w:w="848" w:type="dxa"/>
            <w:vAlign w:val="bottom"/>
          </w:tcPr>
          <w:p w14:paraId="5447ED9D" w14:textId="6EF4293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170</w:t>
            </w:r>
          </w:p>
        </w:tc>
      </w:tr>
      <w:tr w:rsidR="00435540" w:rsidRPr="00D35659" w14:paraId="4388051F" w14:textId="77777777" w:rsidTr="003A799A">
        <w:tc>
          <w:tcPr>
            <w:tcW w:w="1002" w:type="dxa"/>
          </w:tcPr>
          <w:p w14:paraId="7620232A"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 cm</w:t>
            </w:r>
          </w:p>
        </w:tc>
        <w:tc>
          <w:tcPr>
            <w:tcW w:w="720" w:type="dxa"/>
            <w:vAlign w:val="bottom"/>
          </w:tcPr>
          <w:p w14:paraId="49F20B27" w14:textId="69F389B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014</w:t>
            </w:r>
          </w:p>
        </w:tc>
        <w:tc>
          <w:tcPr>
            <w:tcW w:w="720" w:type="dxa"/>
            <w:vAlign w:val="bottom"/>
          </w:tcPr>
          <w:p w14:paraId="65A2AB9C" w14:textId="2BA73ED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262</w:t>
            </w:r>
          </w:p>
        </w:tc>
        <w:tc>
          <w:tcPr>
            <w:tcW w:w="720" w:type="dxa"/>
            <w:vAlign w:val="bottom"/>
          </w:tcPr>
          <w:p w14:paraId="2C9E74B6" w14:textId="2EDAF1A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784</w:t>
            </w:r>
          </w:p>
        </w:tc>
        <w:tc>
          <w:tcPr>
            <w:tcW w:w="720" w:type="dxa"/>
            <w:vAlign w:val="bottom"/>
          </w:tcPr>
          <w:p w14:paraId="55F03951" w14:textId="784423C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086</w:t>
            </w:r>
          </w:p>
        </w:tc>
        <w:tc>
          <w:tcPr>
            <w:tcW w:w="720" w:type="dxa"/>
            <w:vAlign w:val="bottom"/>
          </w:tcPr>
          <w:p w14:paraId="7BD3B209" w14:textId="36ECCED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313</w:t>
            </w:r>
          </w:p>
        </w:tc>
        <w:tc>
          <w:tcPr>
            <w:tcW w:w="222" w:type="dxa"/>
            <w:vMerge/>
          </w:tcPr>
          <w:p w14:paraId="03620CC4"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63907AAA" w14:textId="46D996A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015</w:t>
            </w:r>
          </w:p>
        </w:tc>
        <w:tc>
          <w:tcPr>
            <w:tcW w:w="847" w:type="dxa"/>
            <w:vAlign w:val="bottom"/>
          </w:tcPr>
          <w:p w14:paraId="38BEC631" w14:textId="5195CA3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267</w:t>
            </w:r>
          </w:p>
        </w:tc>
        <w:tc>
          <w:tcPr>
            <w:tcW w:w="848" w:type="dxa"/>
            <w:vAlign w:val="bottom"/>
          </w:tcPr>
          <w:p w14:paraId="09C61800" w14:textId="598ACA7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791</w:t>
            </w:r>
          </w:p>
        </w:tc>
        <w:tc>
          <w:tcPr>
            <w:tcW w:w="848" w:type="dxa"/>
            <w:vAlign w:val="bottom"/>
          </w:tcPr>
          <w:p w14:paraId="0F937572" w14:textId="7C050B5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096</w:t>
            </w:r>
          </w:p>
        </w:tc>
        <w:tc>
          <w:tcPr>
            <w:tcW w:w="848" w:type="dxa"/>
            <w:vAlign w:val="bottom"/>
          </w:tcPr>
          <w:p w14:paraId="270D47CB" w14:textId="11C0581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330</w:t>
            </w:r>
          </w:p>
        </w:tc>
      </w:tr>
      <w:tr w:rsidR="00435540" w:rsidRPr="00D35659" w14:paraId="63A2CDE3" w14:textId="77777777" w:rsidTr="003A799A">
        <w:tc>
          <w:tcPr>
            <w:tcW w:w="1002" w:type="dxa"/>
          </w:tcPr>
          <w:p w14:paraId="54394FF3"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 cm</w:t>
            </w:r>
          </w:p>
        </w:tc>
        <w:tc>
          <w:tcPr>
            <w:tcW w:w="720" w:type="dxa"/>
            <w:vAlign w:val="bottom"/>
          </w:tcPr>
          <w:p w14:paraId="35BD0760" w14:textId="53D4997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017</w:t>
            </w:r>
          </w:p>
        </w:tc>
        <w:tc>
          <w:tcPr>
            <w:tcW w:w="720" w:type="dxa"/>
            <w:vAlign w:val="bottom"/>
          </w:tcPr>
          <w:p w14:paraId="2FD0CF82" w14:textId="677686C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283</w:t>
            </w:r>
          </w:p>
        </w:tc>
        <w:tc>
          <w:tcPr>
            <w:tcW w:w="720" w:type="dxa"/>
            <w:vAlign w:val="bottom"/>
          </w:tcPr>
          <w:p w14:paraId="78B57BB3" w14:textId="10A2C29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817</w:t>
            </w:r>
          </w:p>
        </w:tc>
        <w:tc>
          <w:tcPr>
            <w:tcW w:w="720" w:type="dxa"/>
            <w:vAlign w:val="bottom"/>
          </w:tcPr>
          <w:p w14:paraId="65577B2F" w14:textId="2D1ABCA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130</w:t>
            </w:r>
          </w:p>
        </w:tc>
        <w:tc>
          <w:tcPr>
            <w:tcW w:w="720" w:type="dxa"/>
            <w:vAlign w:val="bottom"/>
          </w:tcPr>
          <w:p w14:paraId="681DAF56" w14:textId="0FECC7A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383</w:t>
            </w:r>
          </w:p>
        </w:tc>
        <w:tc>
          <w:tcPr>
            <w:tcW w:w="222" w:type="dxa"/>
            <w:vMerge/>
          </w:tcPr>
          <w:p w14:paraId="55DC5A58"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0182D596" w14:textId="3DAB36D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018</w:t>
            </w:r>
          </w:p>
        </w:tc>
        <w:tc>
          <w:tcPr>
            <w:tcW w:w="847" w:type="dxa"/>
            <w:vAlign w:val="bottom"/>
          </w:tcPr>
          <w:p w14:paraId="13489963" w14:textId="6470D9E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288</w:t>
            </w:r>
          </w:p>
        </w:tc>
        <w:tc>
          <w:tcPr>
            <w:tcW w:w="848" w:type="dxa"/>
            <w:vAlign w:val="bottom"/>
          </w:tcPr>
          <w:p w14:paraId="63311FCA" w14:textId="098B47D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825</w:t>
            </w:r>
          </w:p>
        </w:tc>
        <w:tc>
          <w:tcPr>
            <w:tcW w:w="848" w:type="dxa"/>
            <w:vAlign w:val="bottom"/>
          </w:tcPr>
          <w:p w14:paraId="6E9D6FE5" w14:textId="63BC925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141</w:t>
            </w:r>
          </w:p>
        </w:tc>
        <w:tc>
          <w:tcPr>
            <w:tcW w:w="848" w:type="dxa"/>
            <w:vAlign w:val="bottom"/>
          </w:tcPr>
          <w:p w14:paraId="28DA8EBE" w14:textId="1FADF51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401</w:t>
            </w:r>
          </w:p>
        </w:tc>
      </w:tr>
      <w:tr w:rsidR="00435540" w:rsidRPr="00D35659" w14:paraId="3B18474E" w14:textId="77777777" w:rsidTr="003A799A">
        <w:tc>
          <w:tcPr>
            <w:tcW w:w="1002" w:type="dxa"/>
          </w:tcPr>
          <w:p w14:paraId="77C16683"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3 cm</w:t>
            </w:r>
          </w:p>
        </w:tc>
        <w:tc>
          <w:tcPr>
            <w:tcW w:w="720" w:type="dxa"/>
            <w:vAlign w:val="bottom"/>
          </w:tcPr>
          <w:p w14:paraId="5186A2C1" w14:textId="4A4F660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019</w:t>
            </w:r>
          </w:p>
        </w:tc>
        <w:tc>
          <w:tcPr>
            <w:tcW w:w="720" w:type="dxa"/>
            <w:vAlign w:val="bottom"/>
          </w:tcPr>
          <w:p w14:paraId="351EA6FF" w14:textId="2ED7C15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299</w:t>
            </w:r>
          </w:p>
        </w:tc>
        <w:tc>
          <w:tcPr>
            <w:tcW w:w="720" w:type="dxa"/>
            <w:vAlign w:val="bottom"/>
          </w:tcPr>
          <w:p w14:paraId="73F95927" w14:textId="056FBF8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843</w:t>
            </w:r>
          </w:p>
        </w:tc>
        <w:tc>
          <w:tcPr>
            <w:tcW w:w="720" w:type="dxa"/>
            <w:vAlign w:val="bottom"/>
          </w:tcPr>
          <w:p w14:paraId="3FDE292D" w14:textId="24F66A4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165</w:t>
            </w:r>
          </w:p>
        </w:tc>
        <w:tc>
          <w:tcPr>
            <w:tcW w:w="720" w:type="dxa"/>
            <w:vAlign w:val="bottom"/>
          </w:tcPr>
          <w:p w14:paraId="48DE6E80" w14:textId="57AE63D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438</w:t>
            </w:r>
          </w:p>
        </w:tc>
        <w:tc>
          <w:tcPr>
            <w:tcW w:w="222" w:type="dxa"/>
            <w:vMerge/>
          </w:tcPr>
          <w:p w14:paraId="18420576"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37D834FE" w14:textId="09A0F4D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020</w:t>
            </w:r>
          </w:p>
        </w:tc>
        <w:tc>
          <w:tcPr>
            <w:tcW w:w="847" w:type="dxa"/>
            <w:vAlign w:val="bottom"/>
          </w:tcPr>
          <w:p w14:paraId="7C75C5CB" w14:textId="33C674A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306</w:t>
            </w:r>
          </w:p>
        </w:tc>
        <w:tc>
          <w:tcPr>
            <w:tcW w:w="848" w:type="dxa"/>
            <w:vAlign w:val="bottom"/>
          </w:tcPr>
          <w:p w14:paraId="4D31EE90" w14:textId="37733FE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852</w:t>
            </w:r>
          </w:p>
        </w:tc>
        <w:tc>
          <w:tcPr>
            <w:tcW w:w="848" w:type="dxa"/>
            <w:vAlign w:val="bottom"/>
          </w:tcPr>
          <w:p w14:paraId="0F99E0DC" w14:textId="4E4D124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177</w:t>
            </w:r>
          </w:p>
        </w:tc>
        <w:tc>
          <w:tcPr>
            <w:tcW w:w="848" w:type="dxa"/>
            <w:vAlign w:val="bottom"/>
          </w:tcPr>
          <w:p w14:paraId="1D540388" w14:textId="478E35D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457</w:t>
            </w:r>
          </w:p>
        </w:tc>
      </w:tr>
      <w:tr w:rsidR="00435540" w:rsidRPr="00D35659" w14:paraId="43254039" w14:textId="77777777" w:rsidTr="003A799A">
        <w:tc>
          <w:tcPr>
            <w:tcW w:w="1002" w:type="dxa"/>
          </w:tcPr>
          <w:p w14:paraId="2D745F71"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4 cm</w:t>
            </w:r>
          </w:p>
        </w:tc>
        <w:tc>
          <w:tcPr>
            <w:tcW w:w="720" w:type="dxa"/>
            <w:vAlign w:val="bottom"/>
          </w:tcPr>
          <w:p w14:paraId="647E3F4D" w14:textId="78485D7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021</w:t>
            </w:r>
          </w:p>
        </w:tc>
        <w:tc>
          <w:tcPr>
            <w:tcW w:w="720" w:type="dxa"/>
            <w:vAlign w:val="bottom"/>
          </w:tcPr>
          <w:p w14:paraId="5A4F513A" w14:textId="2FF73F2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314</w:t>
            </w:r>
          </w:p>
        </w:tc>
        <w:tc>
          <w:tcPr>
            <w:tcW w:w="720" w:type="dxa"/>
            <w:vAlign w:val="bottom"/>
          </w:tcPr>
          <w:p w14:paraId="2FEBF942" w14:textId="404A8A3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865</w:t>
            </w:r>
          </w:p>
        </w:tc>
        <w:tc>
          <w:tcPr>
            <w:tcW w:w="720" w:type="dxa"/>
            <w:vAlign w:val="bottom"/>
          </w:tcPr>
          <w:p w14:paraId="0AC634FE" w14:textId="672CC32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194</w:t>
            </w:r>
          </w:p>
        </w:tc>
        <w:tc>
          <w:tcPr>
            <w:tcW w:w="720" w:type="dxa"/>
            <w:vAlign w:val="bottom"/>
          </w:tcPr>
          <w:p w14:paraId="70EBA9D8" w14:textId="312389E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484</w:t>
            </w:r>
          </w:p>
        </w:tc>
        <w:tc>
          <w:tcPr>
            <w:tcW w:w="222" w:type="dxa"/>
            <w:vMerge/>
          </w:tcPr>
          <w:p w14:paraId="1BDFBECE"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71A797B6" w14:textId="1FAD916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023</w:t>
            </w:r>
          </w:p>
        </w:tc>
        <w:tc>
          <w:tcPr>
            <w:tcW w:w="847" w:type="dxa"/>
            <w:vAlign w:val="bottom"/>
          </w:tcPr>
          <w:p w14:paraId="457407C5" w14:textId="4B64167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321</w:t>
            </w:r>
          </w:p>
        </w:tc>
        <w:tc>
          <w:tcPr>
            <w:tcW w:w="848" w:type="dxa"/>
            <w:vAlign w:val="bottom"/>
          </w:tcPr>
          <w:p w14:paraId="0F5AE4B7" w14:textId="0A182B9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876</w:t>
            </w:r>
          </w:p>
        </w:tc>
        <w:tc>
          <w:tcPr>
            <w:tcW w:w="848" w:type="dxa"/>
            <w:vAlign w:val="bottom"/>
          </w:tcPr>
          <w:p w14:paraId="2D04F349" w14:textId="2D0C5CE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209</w:t>
            </w:r>
          </w:p>
        </w:tc>
        <w:tc>
          <w:tcPr>
            <w:tcW w:w="848" w:type="dxa"/>
            <w:vAlign w:val="bottom"/>
          </w:tcPr>
          <w:p w14:paraId="31F5F0D7" w14:textId="224650A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506</w:t>
            </w:r>
          </w:p>
        </w:tc>
      </w:tr>
      <w:tr w:rsidR="00435540" w:rsidRPr="00D35659" w14:paraId="1E77BC1B" w14:textId="77777777" w:rsidTr="003A799A">
        <w:tc>
          <w:tcPr>
            <w:tcW w:w="1002" w:type="dxa"/>
          </w:tcPr>
          <w:p w14:paraId="071D959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5 cm</w:t>
            </w:r>
          </w:p>
        </w:tc>
        <w:tc>
          <w:tcPr>
            <w:tcW w:w="720" w:type="dxa"/>
            <w:vAlign w:val="bottom"/>
          </w:tcPr>
          <w:p w14:paraId="14FF7A66" w14:textId="7CA0285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024</w:t>
            </w:r>
          </w:p>
        </w:tc>
        <w:tc>
          <w:tcPr>
            <w:tcW w:w="720" w:type="dxa"/>
            <w:vAlign w:val="bottom"/>
          </w:tcPr>
          <w:p w14:paraId="280760AA" w14:textId="5909666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327</w:t>
            </w:r>
          </w:p>
        </w:tc>
        <w:tc>
          <w:tcPr>
            <w:tcW w:w="720" w:type="dxa"/>
            <w:vAlign w:val="bottom"/>
          </w:tcPr>
          <w:p w14:paraId="3E1429C8" w14:textId="0E48F63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885</w:t>
            </w:r>
          </w:p>
        </w:tc>
        <w:tc>
          <w:tcPr>
            <w:tcW w:w="720" w:type="dxa"/>
            <w:vAlign w:val="bottom"/>
          </w:tcPr>
          <w:p w14:paraId="2693B733" w14:textId="5A22DE6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221</w:t>
            </w:r>
          </w:p>
        </w:tc>
        <w:tc>
          <w:tcPr>
            <w:tcW w:w="720" w:type="dxa"/>
            <w:vAlign w:val="bottom"/>
          </w:tcPr>
          <w:p w14:paraId="0BE7D554" w14:textId="775B3AC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525</w:t>
            </w:r>
          </w:p>
        </w:tc>
        <w:tc>
          <w:tcPr>
            <w:tcW w:w="222" w:type="dxa"/>
            <w:vMerge/>
          </w:tcPr>
          <w:p w14:paraId="57EFBB06"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22E6C846" w14:textId="0195EE4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025</w:t>
            </w:r>
          </w:p>
        </w:tc>
        <w:tc>
          <w:tcPr>
            <w:tcW w:w="847" w:type="dxa"/>
            <w:vAlign w:val="bottom"/>
          </w:tcPr>
          <w:p w14:paraId="0A9DD8E9" w14:textId="4E841FC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335</w:t>
            </w:r>
          </w:p>
        </w:tc>
        <w:tc>
          <w:tcPr>
            <w:tcW w:w="848" w:type="dxa"/>
            <w:vAlign w:val="bottom"/>
          </w:tcPr>
          <w:p w14:paraId="64970DF4" w14:textId="42CAF4A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897</w:t>
            </w:r>
          </w:p>
        </w:tc>
        <w:tc>
          <w:tcPr>
            <w:tcW w:w="848" w:type="dxa"/>
            <w:vAlign w:val="bottom"/>
          </w:tcPr>
          <w:p w14:paraId="11FF2309" w14:textId="6547FE7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237</w:t>
            </w:r>
          </w:p>
        </w:tc>
        <w:tc>
          <w:tcPr>
            <w:tcW w:w="848" w:type="dxa"/>
            <w:vAlign w:val="bottom"/>
          </w:tcPr>
          <w:p w14:paraId="03EFB823" w14:textId="2674015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550</w:t>
            </w:r>
          </w:p>
        </w:tc>
      </w:tr>
      <w:tr w:rsidR="00435540" w:rsidRPr="00D35659" w14:paraId="124F86FB" w14:textId="77777777" w:rsidTr="003A799A">
        <w:tc>
          <w:tcPr>
            <w:tcW w:w="1002" w:type="dxa"/>
          </w:tcPr>
          <w:p w14:paraId="727823C8"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6 cm</w:t>
            </w:r>
          </w:p>
        </w:tc>
        <w:tc>
          <w:tcPr>
            <w:tcW w:w="720" w:type="dxa"/>
            <w:vAlign w:val="bottom"/>
          </w:tcPr>
          <w:p w14:paraId="0601B6E8" w14:textId="032E524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026</w:t>
            </w:r>
          </w:p>
        </w:tc>
        <w:tc>
          <w:tcPr>
            <w:tcW w:w="720" w:type="dxa"/>
            <w:vAlign w:val="bottom"/>
          </w:tcPr>
          <w:p w14:paraId="0AD29084" w14:textId="6A7E287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339</w:t>
            </w:r>
          </w:p>
        </w:tc>
        <w:tc>
          <w:tcPr>
            <w:tcW w:w="720" w:type="dxa"/>
            <w:vAlign w:val="bottom"/>
          </w:tcPr>
          <w:p w14:paraId="4AFECE33" w14:textId="3DBBD80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903</w:t>
            </w:r>
          </w:p>
        </w:tc>
        <w:tc>
          <w:tcPr>
            <w:tcW w:w="720" w:type="dxa"/>
            <w:vAlign w:val="bottom"/>
          </w:tcPr>
          <w:p w14:paraId="2C3967D9" w14:textId="2639145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246</w:t>
            </w:r>
          </w:p>
        </w:tc>
        <w:tc>
          <w:tcPr>
            <w:tcW w:w="720" w:type="dxa"/>
            <w:vAlign w:val="bottom"/>
          </w:tcPr>
          <w:p w14:paraId="3151CA32" w14:textId="40BFC0A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563</w:t>
            </w:r>
          </w:p>
        </w:tc>
        <w:tc>
          <w:tcPr>
            <w:tcW w:w="222" w:type="dxa"/>
            <w:vMerge/>
          </w:tcPr>
          <w:p w14:paraId="29C6BC41"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4830C628" w14:textId="3DCF742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027</w:t>
            </w:r>
          </w:p>
        </w:tc>
        <w:tc>
          <w:tcPr>
            <w:tcW w:w="847" w:type="dxa"/>
            <w:vAlign w:val="bottom"/>
          </w:tcPr>
          <w:p w14:paraId="122EBD62" w14:textId="629062C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348</w:t>
            </w:r>
          </w:p>
        </w:tc>
        <w:tc>
          <w:tcPr>
            <w:tcW w:w="848" w:type="dxa"/>
            <w:vAlign w:val="bottom"/>
          </w:tcPr>
          <w:p w14:paraId="26240BB4" w14:textId="7303629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917</w:t>
            </w:r>
          </w:p>
        </w:tc>
        <w:tc>
          <w:tcPr>
            <w:tcW w:w="848" w:type="dxa"/>
            <w:vAlign w:val="bottom"/>
          </w:tcPr>
          <w:p w14:paraId="4FE1CD95" w14:textId="2E7DA27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263</w:t>
            </w:r>
          </w:p>
        </w:tc>
        <w:tc>
          <w:tcPr>
            <w:tcW w:w="848" w:type="dxa"/>
            <w:vAlign w:val="bottom"/>
          </w:tcPr>
          <w:p w14:paraId="2498BB20" w14:textId="0E17936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590</w:t>
            </w:r>
          </w:p>
        </w:tc>
      </w:tr>
      <w:tr w:rsidR="00435540" w:rsidRPr="00D35659" w14:paraId="20B8D7C8" w14:textId="77777777" w:rsidTr="003A799A">
        <w:tc>
          <w:tcPr>
            <w:tcW w:w="1002" w:type="dxa"/>
          </w:tcPr>
          <w:p w14:paraId="0FFA022F"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 cm</w:t>
            </w:r>
          </w:p>
        </w:tc>
        <w:tc>
          <w:tcPr>
            <w:tcW w:w="720" w:type="dxa"/>
            <w:vAlign w:val="bottom"/>
          </w:tcPr>
          <w:p w14:paraId="053284FE" w14:textId="664699B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028</w:t>
            </w:r>
          </w:p>
        </w:tc>
        <w:tc>
          <w:tcPr>
            <w:tcW w:w="720" w:type="dxa"/>
            <w:vAlign w:val="bottom"/>
          </w:tcPr>
          <w:p w14:paraId="7E24B56C" w14:textId="2E0AC31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351</w:t>
            </w:r>
          </w:p>
        </w:tc>
        <w:tc>
          <w:tcPr>
            <w:tcW w:w="720" w:type="dxa"/>
            <w:vAlign w:val="bottom"/>
          </w:tcPr>
          <w:p w14:paraId="6150F66E" w14:textId="0649AE2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921</w:t>
            </w:r>
          </w:p>
        </w:tc>
        <w:tc>
          <w:tcPr>
            <w:tcW w:w="720" w:type="dxa"/>
            <w:vAlign w:val="bottom"/>
          </w:tcPr>
          <w:p w14:paraId="7A0AC016" w14:textId="4FBB515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268</w:t>
            </w:r>
          </w:p>
        </w:tc>
        <w:tc>
          <w:tcPr>
            <w:tcW w:w="720" w:type="dxa"/>
            <w:vAlign w:val="bottom"/>
          </w:tcPr>
          <w:p w14:paraId="0977FBF0" w14:textId="4755279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599</w:t>
            </w:r>
          </w:p>
        </w:tc>
        <w:tc>
          <w:tcPr>
            <w:tcW w:w="222" w:type="dxa"/>
            <w:vMerge/>
          </w:tcPr>
          <w:p w14:paraId="5B08E80C"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7FBB0798" w14:textId="283CB48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029</w:t>
            </w:r>
          </w:p>
        </w:tc>
        <w:tc>
          <w:tcPr>
            <w:tcW w:w="847" w:type="dxa"/>
            <w:vAlign w:val="bottom"/>
          </w:tcPr>
          <w:p w14:paraId="451F605C" w14:textId="289AD73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361</w:t>
            </w:r>
          </w:p>
        </w:tc>
        <w:tc>
          <w:tcPr>
            <w:tcW w:w="848" w:type="dxa"/>
            <w:vAlign w:val="bottom"/>
          </w:tcPr>
          <w:p w14:paraId="5FC072ED" w14:textId="40DAE12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935</w:t>
            </w:r>
          </w:p>
        </w:tc>
        <w:tc>
          <w:tcPr>
            <w:tcW w:w="848" w:type="dxa"/>
            <w:vAlign w:val="bottom"/>
          </w:tcPr>
          <w:p w14:paraId="7505CF34" w14:textId="2519F43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288</w:t>
            </w:r>
          </w:p>
        </w:tc>
        <w:tc>
          <w:tcPr>
            <w:tcW w:w="848" w:type="dxa"/>
            <w:vAlign w:val="bottom"/>
          </w:tcPr>
          <w:p w14:paraId="7AEAE750" w14:textId="640A3AE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628</w:t>
            </w:r>
          </w:p>
        </w:tc>
      </w:tr>
      <w:tr w:rsidR="00435540" w:rsidRPr="00D35659" w14:paraId="039BA6F9" w14:textId="77777777" w:rsidTr="003A799A">
        <w:tc>
          <w:tcPr>
            <w:tcW w:w="1002" w:type="dxa"/>
          </w:tcPr>
          <w:p w14:paraId="6E3AE6E6"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8 cm</w:t>
            </w:r>
          </w:p>
        </w:tc>
        <w:tc>
          <w:tcPr>
            <w:tcW w:w="720" w:type="dxa"/>
            <w:vAlign w:val="bottom"/>
          </w:tcPr>
          <w:p w14:paraId="64B8FE30" w14:textId="7B9D2F4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030</w:t>
            </w:r>
          </w:p>
        </w:tc>
        <w:tc>
          <w:tcPr>
            <w:tcW w:w="720" w:type="dxa"/>
            <w:vAlign w:val="bottom"/>
          </w:tcPr>
          <w:p w14:paraId="27FC625D" w14:textId="2E3283F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362</w:t>
            </w:r>
          </w:p>
        </w:tc>
        <w:tc>
          <w:tcPr>
            <w:tcW w:w="720" w:type="dxa"/>
            <w:vAlign w:val="bottom"/>
          </w:tcPr>
          <w:p w14:paraId="185644FB" w14:textId="1ADBEF2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937</w:t>
            </w:r>
          </w:p>
        </w:tc>
        <w:tc>
          <w:tcPr>
            <w:tcW w:w="720" w:type="dxa"/>
            <w:vAlign w:val="bottom"/>
          </w:tcPr>
          <w:p w14:paraId="40A117B1" w14:textId="74E2BCE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290</w:t>
            </w:r>
          </w:p>
        </w:tc>
        <w:tc>
          <w:tcPr>
            <w:tcW w:w="720" w:type="dxa"/>
            <w:vAlign w:val="bottom"/>
          </w:tcPr>
          <w:p w14:paraId="7F16B837" w14:textId="297C1FF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632</w:t>
            </w:r>
          </w:p>
        </w:tc>
        <w:tc>
          <w:tcPr>
            <w:tcW w:w="222" w:type="dxa"/>
            <w:vMerge/>
          </w:tcPr>
          <w:p w14:paraId="25A60ACC"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6DF8EE7A" w14:textId="46CA986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031</w:t>
            </w:r>
          </w:p>
        </w:tc>
        <w:tc>
          <w:tcPr>
            <w:tcW w:w="847" w:type="dxa"/>
            <w:vAlign w:val="bottom"/>
          </w:tcPr>
          <w:p w14:paraId="01E1AB45" w14:textId="5806B05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372</w:t>
            </w:r>
          </w:p>
        </w:tc>
        <w:tc>
          <w:tcPr>
            <w:tcW w:w="848" w:type="dxa"/>
            <w:vAlign w:val="bottom"/>
          </w:tcPr>
          <w:p w14:paraId="49742DBD" w14:textId="3A561F8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953</w:t>
            </w:r>
          </w:p>
        </w:tc>
        <w:tc>
          <w:tcPr>
            <w:tcW w:w="848" w:type="dxa"/>
            <w:vAlign w:val="bottom"/>
          </w:tcPr>
          <w:p w14:paraId="090B83EF" w14:textId="07ABC0A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311</w:t>
            </w:r>
          </w:p>
        </w:tc>
        <w:tc>
          <w:tcPr>
            <w:tcW w:w="848" w:type="dxa"/>
            <w:vAlign w:val="bottom"/>
          </w:tcPr>
          <w:p w14:paraId="19D10AE5" w14:textId="1E6DCF2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664</w:t>
            </w:r>
          </w:p>
        </w:tc>
      </w:tr>
    </w:tbl>
    <w:p w14:paraId="05613F48"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 xml:space="preserve">The 75% confidence intervals of the expected damage ratios (%) and their </w:t>
      </w: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hAnsi="Times New Roman" w:cs="Times New Roman"/>
          <w:lang w:val="en-US"/>
        </w:rPr>
        <w:t>, 25</w:t>
      </w:r>
      <w:r w:rsidRPr="00D35659">
        <w:rPr>
          <w:rFonts w:ascii="Times New Roman" w:hAnsi="Times New Roman" w:cs="Times New Roman"/>
          <w:vertAlign w:val="superscript"/>
          <w:lang w:val="en-US"/>
        </w:rPr>
        <w:t>th</w:t>
      </w:r>
      <w:r w:rsidRPr="00D35659">
        <w:rPr>
          <w:rFonts w:ascii="Times New Roman" w:hAnsi="Times New Roman" w:cs="Times New Roman"/>
          <w:lang w:val="en-US"/>
        </w:rPr>
        <w:t>, 75</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and 99</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quantiles.</w:t>
      </w:r>
    </w:p>
    <w:p w14:paraId="7EC54FB2" w14:textId="77777777" w:rsidR="00435540" w:rsidRPr="00D35659" w:rsidRDefault="00435540" w:rsidP="00435540">
      <w:pPr>
        <w:spacing w:after="0"/>
        <w:rPr>
          <w:rFonts w:ascii="Times New Roman" w:hAnsi="Times New Roman" w:cs="Times New Roman"/>
          <w:lang w:val="en-US"/>
        </w:rPr>
      </w:pPr>
    </w:p>
    <w:p w14:paraId="728F55C0"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Table S8</w:t>
      </w:r>
    </w:p>
    <w:tbl>
      <w:tblPr>
        <w:tblStyle w:val="Tabelraster"/>
        <w:tblW w:w="0" w:type="auto"/>
        <w:tblLook w:val="04A0" w:firstRow="1" w:lastRow="0" w:firstColumn="1" w:lastColumn="0" w:noHBand="0" w:noVBand="1"/>
      </w:tblPr>
      <w:tblGrid>
        <w:gridCol w:w="858"/>
        <w:gridCol w:w="750"/>
        <w:gridCol w:w="796"/>
        <w:gridCol w:w="859"/>
        <w:gridCol w:w="796"/>
        <w:gridCol w:w="797"/>
        <w:gridCol w:w="604"/>
        <w:gridCol w:w="720"/>
        <w:gridCol w:w="720"/>
        <w:gridCol w:w="720"/>
        <w:gridCol w:w="720"/>
        <w:gridCol w:w="720"/>
      </w:tblGrid>
      <w:tr w:rsidR="00435540" w:rsidRPr="00D35659" w14:paraId="63CADE85" w14:textId="77777777" w:rsidTr="003A799A">
        <w:tc>
          <w:tcPr>
            <w:tcW w:w="859" w:type="dxa"/>
          </w:tcPr>
          <w:p w14:paraId="7FD98AC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Wind gust speed</w:t>
            </w:r>
          </w:p>
        </w:tc>
        <w:tc>
          <w:tcPr>
            <w:tcW w:w="750" w:type="dxa"/>
          </w:tcPr>
          <w:p w14:paraId="57ADE103"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449E1F82" w14:textId="77777777" w:rsidR="00435540" w:rsidRPr="00D35659" w:rsidRDefault="00435540" w:rsidP="003A799A">
            <w:pPr>
              <w:rPr>
                <w:rFonts w:ascii="Times New Roman" w:eastAsiaTheme="minorEastAsia" w:hAnsi="Times New Roman" w:cs="Times New Roman"/>
                <w:lang w:val="en-US"/>
              </w:rPr>
            </w:pPr>
          </w:p>
        </w:tc>
        <w:tc>
          <w:tcPr>
            <w:tcW w:w="796" w:type="dxa"/>
          </w:tcPr>
          <w:p w14:paraId="012B9BE4"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859" w:type="dxa"/>
          </w:tcPr>
          <w:p w14:paraId="01082F42"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99% lower CI</w:t>
            </w:r>
          </w:p>
        </w:tc>
        <w:tc>
          <w:tcPr>
            <w:tcW w:w="796" w:type="dxa"/>
          </w:tcPr>
          <w:p w14:paraId="320997A6"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350B81C6" w14:textId="77777777" w:rsidR="00435540" w:rsidRPr="00D35659" w:rsidRDefault="00435540" w:rsidP="003A799A">
            <w:pPr>
              <w:rPr>
                <w:rFonts w:ascii="Times New Roman" w:eastAsiaTheme="minorEastAsia" w:hAnsi="Times New Roman" w:cs="Times New Roman"/>
                <w:lang w:val="en-US"/>
              </w:rPr>
            </w:pPr>
          </w:p>
        </w:tc>
        <w:tc>
          <w:tcPr>
            <w:tcW w:w="797" w:type="dxa"/>
          </w:tcPr>
          <w:p w14:paraId="157E588B"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605" w:type="dxa"/>
            <w:vMerge w:val="restart"/>
          </w:tcPr>
          <w:p w14:paraId="2B1792E5" w14:textId="77777777" w:rsidR="00435540" w:rsidRPr="00D35659" w:rsidRDefault="00435540" w:rsidP="003A799A">
            <w:pPr>
              <w:rPr>
                <w:rFonts w:ascii="Times New Roman" w:eastAsiaTheme="minorEastAsia" w:hAnsi="Times New Roman" w:cs="Times New Roman"/>
                <w:lang w:val="en-US"/>
              </w:rPr>
            </w:pPr>
          </w:p>
        </w:tc>
        <w:tc>
          <w:tcPr>
            <w:tcW w:w="720" w:type="dxa"/>
          </w:tcPr>
          <w:p w14:paraId="426B1479"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20FD4DC6" w14:textId="77777777" w:rsidR="00435540" w:rsidRPr="00D35659" w:rsidRDefault="00435540" w:rsidP="003A799A">
            <w:pPr>
              <w:rPr>
                <w:rFonts w:ascii="Times New Roman" w:eastAsiaTheme="minorEastAsia" w:hAnsi="Times New Roman" w:cs="Times New Roman"/>
                <w:lang w:val="en-US"/>
              </w:rPr>
            </w:pPr>
          </w:p>
        </w:tc>
        <w:tc>
          <w:tcPr>
            <w:tcW w:w="720" w:type="dxa"/>
          </w:tcPr>
          <w:p w14:paraId="309D5EA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720" w:type="dxa"/>
          </w:tcPr>
          <w:p w14:paraId="2043F4B9"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99% upper CI</w:t>
            </w:r>
          </w:p>
        </w:tc>
        <w:tc>
          <w:tcPr>
            <w:tcW w:w="720" w:type="dxa"/>
          </w:tcPr>
          <w:p w14:paraId="6A101374"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05C73677" w14:textId="77777777" w:rsidR="00435540" w:rsidRPr="00D35659" w:rsidRDefault="00435540" w:rsidP="003A799A">
            <w:pPr>
              <w:rPr>
                <w:rFonts w:ascii="Times New Roman" w:eastAsiaTheme="minorEastAsia" w:hAnsi="Times New Roman" w:cs="Times New Roman"/>
                <w:lang w:val="en-US"/>
              </w:rPr>
            </w:pPr>
          </w:p>
        </w:tc>
        <w:tc>
          <w:tcPr>
            <w:tcW w:w="720" w:type="dxa"/>
          </w:tcPr>
          <w:p w14:paraId="4681273B"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r>
      <w:tr w:rsidR="00435540" w:rsidRPr="00D35659" w14:paraId="02828D1E" w14:textId="77777777" w:rsidTr="003A799A">
        <w:tc>
          <w:tcPr>
            <w:tcW w:w="859" w:type="dxa"/>
          </w:tcPr>
          <w:p w14:paraId="78C77738"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0 cm</w:t>
            </w:r>
          </w:p>
        </w:tc>
        <w:tc>
          <w:tcPr>
            <w:tcW w:w="750" w:type="dxa"/>
            <w:vAlign w:val="bottom"/>
          </w:tcPr>
          <w:p w14:paraId="1735968F" w14:textId="7CBE71F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008</w:t>
            </w:r>
          </w:p>
        </w:tc>
        <w:tc>
          <w:tcPr>
            <w:tcW w:w="796" w:type="dxa"/>
            <w:vAlign w:val="bottom"/>
          </w:tcPr>
          <w:p w14:paraId="7DDD9F1F" w14:textId="2C2FB68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212</w:t>
            </w:r>
          </w:p>
        </w:tc>
        <w:tc>
          <w:tcPr>
            <w:tcW w:w="859" w:type="dxa"/>
            <w:vAlign w:val="bottom"/>
          </w:tcPr>
          <w:p w14:paraId="3A2E6ACA" w14:textId="0340FA9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703</w:t>
            </w:r>
          </w:p>
        </w:tc>
        <w:tc>
          <w:tcPr>
            <w:tcW w:w="796" w:type="dxa"/>
            <w:vAlign w:val="bottom"/>
          </w:tcPr>
          <w:p w14:paraId="21C38B0C" w14:textId="541FABB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976</w:t>
            </w:r>
          </w:p>
        </w:tc>
        <w:tc>
          <w:tcPr>
            <w:tcW w:w="797" w:type="dxa"/>
            <w:vAlign w:val="bottom"/>
          </w:tcPr>
          <w:p w14:paraId="65B9FFA8" w14:textId="5451D30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138</w:t>
            </w:r>
          </w:p>
        </w:tc>
        <w:tc>
          <w:tcPr>
            <w:tcW w:w="605" w:type="dxa"/>
            <w:vMerge/>
          </w:tcPr>
          <w:p w14:paraId="2B91C7FE"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12B22DB3" w14:textId="05E221D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010</w:t>
            </w:r>
          </w:p>
        </w:tc>
        <w:tc>
          <w:tcPr>
            <w:tcW w:w="720" w:type="dxa"/>
            <w:vAlign w:val="bottom"/>
          </w:tcPr>
          <w:p w14:paraId="588FD802" w14:textId="65AFB0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224</w:t>
            </w:r>
          </w:p>
        </w:tc>
        <w:tc>
          <w:tcPr>
            <w:tcW w:w="720" w:type="dxa"/>
            <w:vAlign w:val="bottom"/>
          </w:tcPr>
          <w:p w14:paraId="215EB678" w14:textId="6337D75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723</w:t>
            </w:r>
          </w:p>
        </w:tc>
        <w:tc>
          <w:tcPr>
            <w:tcW w:w="720" w:type="dxa"/>
            <w:vAlign w:val="bottom"/>
          </w:tcPr>
          <w:p w14:paraId="498AE918" w14:textId="72ED51F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003</w:t>
            </w:r>
          </w:p>
        </w:tc>
        <w:tc>
          <w:tcPr>
            <w:tcW w:w="720" w:type="dxa"/>
            <w:vAlign w:val="bottom"/>
          </w:tcPr>
          <w:p w14:paraId="711D0CD7" w14:textId="528BE3D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182</w:t>
            </w:r>
          </w:p>
        </w:tc>
      </w:tr>
      <w:tr w:rsidR="00435540" w:rsidRPr="00D35659" w14:paraId="7DF22F27" w14:textId="77777777" w:rsidTr="003A799A">
        <w:tc>
          <w:tcPr>
            <w:tcW w:w="859" w:type="dxa"/>
          </w:tcPr>
          <w:p w14:paraId="656C78DC"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 cm</w:t>
            </w:r>
          </w:p>
        </w:tc>
        <w:tc>
          <w:tcPr>
            <w:tcW w:w="750" w:type="dxa"/>
            <w:vAlign w:val="bottom"/>
          </w:tcPr>
          <w:p w14:paraId="0D657C46" w14:textId="47FFBFB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014</w:t>
            </w:r>
          </w:p>
        </w:tc>
        <w:tc>
          <w:tcPr>
            <w:tcW w:w="796" w:type="dxa"/>
            <w:vAlign w:val="bottom"/>
          </w:tcPr>
          <w:p w14:paraId="095D4693" w14:textId="5D8C958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259</w:t>
            </w:r>
          </w:p>
        </w:tc>
        <w:tc>
          <w:tcPr>
            <w:tcW w:w="859" w:type="dxa"/>
            <w:vAlign w:val="bottom"/>
          </w:tcPr>
          <w:p w14:paraId="5A693145" w14:textId="66D8285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779</w:t>
            </w:r>
          </w:p>
        </w:tc>
        <w:tc>
          <w:tcPr>
            <w:tcW w:w="796" w:type="dxa"/>
            <w:vAlign w:val="bottom"/>
          </w:tcPr>
          <w:p w14:paraId="109402EE" w14:textId="7BF1DDF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079</w:t>
            </w:r>
          </w:p>
        </w:tc>
        <w:tc>
          <w:tcPr>
            <w:tcW w:w="797" w:type="dxa"/>
            <w:vAlign w:val="bottom"/>
          </w:tcPr>
          <w:p w14:paraId="1941164A" w14:textId="534F83C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303</w:t>
            </w:r>
          </w:p>
        </w:tc>
        <w:tc>
          <w:tcPr>
            <w:tcW w:w="605" w:type="dxa"/>
            <w:vMerge/>
          </w:tcPr>
          <w:p w14:paraId="7100E6B4"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4A9F6EB7" w14:textId="0E8E946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015</w:t>
            </w:r>
          </w:p>
        </w:tc>
        <w:tc>
          <w:tcPr>
            <w:tcW w:w="720" w:type="dxa"/>
            <w:vAlign w:val="bottom"/>
          </w:tcPr>
          <w:p w14:paraId="61674EE6" w14:textId="6E8D694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270</w:t>
            </w:r>
          </w:p>
        </w:tc>
        <w:tc>
          <w:tcPr>
            <w:tcW w:w="720" w:type="dxa"/>
            <w:vAlign w:val="bottom"/>
          </w:tcPr>
          <w:p w14:paraId="534AC763" w14:textId="0A12D70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796</w:t>
            </w:r>
          </w:p>
        </w:tc>
        <w:tc>
          <w:tcPr>
            <w:tcW w:w="720" w:type="dxa"/>
            <w:vAlign w:val="bottom"/>
          </w:tcPr>
          <w:p w14:paraId="76D00823" w14:textId="311862C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103</w:t>
            </w:r>
          </w:p>
        </w:tc>
        <w:tc>
          <w:tcPr>
            <w:tcW w:w="720" w:type="dxa"/>
            <w:vAlign w:val="bottom"/>
          </w:tcPr>
          <w:p w14:paraId="25D52B7D" w14:textId="5F7864F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340</w:t>
            </w:r>
          </w:p>
        </w:tc>
      </w:tr>
      <w:tr w:rsidR="00435540" w:rsidRPr="00D35659" w14:paraId="0C9BC0C5" w14:textId="77777777" w:rsidTr="003A799A">
        <w:tc>
          <w:tcPr>
            <w:tcW w:w="859" w:type="dxa"/>
          </w:tcPr>
          <w:p w14:paraId="4F07D5B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 cm</w:t>
            </w:r>
          </w:p>
        </w:tc>
        <w:tc>
          <w:tcPr>
            <w:tcW w:w="750" w:type="dxa"/>
            <w:vAlign w:val="bottom"/>
          </w:tcPr>
          <w:p w14:paraId="7A9EB2B5" w14:textId="562C226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016</w:t>
            </w:r>
          </w:p>
        </w:tc>
        <w:tc>
          <w:tcPr>
            <w:tcW w:w="796" w:type="dxa"/>
            <w:vAlign w:val="bottom"/>
          </w:tcPr>
          <w:p w14:paraId="353AB2CE" w14:textId="66D9AF3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279</w:t>
            </w:r>
          </w:p>
        </w:tc>
        <w:tc>
          <w:tcPr>
            <w:tcW w:w="859" w:type="dxa"/>
            <w:vAlign w:val="bottom"/>
          </w:tcPr>
          <w:p w14:paraId="27EA55CA" w14:textId="7C1A740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811</w:t>
            </w:r>
          </w:p>
        </w:tc>
        <w:tc>
          <w:tcPr>
            <w:tcW w:w="796" w:type="dxa"/>
            <w:vAlign w:val="bottom"/>
          </w:tcPr>
          <w:p w14:paraId="63E9EEC3" w14:textId="61816D4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123</w:t>
            </w:r>
          </w:p>
        </w:tc>
        <w:tc>
          <w:tcPr>
            <w:tcW w:w="797" w:type="dxa"/>
            <w:vAlign w:val="bottom"/>
          </w:tcPr>
          <w:p w14:paraId="20799A84" w14:textId="5ABE1FC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372</w:t>
            </w:r>
          </w:p>
        </w:tc>
        <w:tc>
          <w:tcPr>
            <w:tcW w:w="605" w:type="dxa"/>
            <w:vMerge/>
          </w:tcPr>
          <w:p w14:paraId="74296E1A"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7471C577" w14:textId="0DBC4C1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018</w:t>
            </w:r>
          </w:p>
        </w:tc>
        <w:tc>
          <w:tcPr>
            <w:tcW w:w="720" w:type="dxa"/>
            <w:vAlign w:val="bottom"/>
          </w:tcPr>
          <w:p w14:paraId="4BB16755" w14:textId="504081D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292</w:t>
            </w:r>
          </w:p>
        </w:tc>
        <w:tc>
          <w:tcPr>
            <w:tcW w:w="720" w:type="dxa"/>
            <w:vAlign w:val="bottom"/>
          </w:tcPr>
          <w:p w14:paraId="6FD60084" w14:textId="78778C3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830</w:t>
            </w:r>
          </w:p>
        </w:tc>
        <w:tc>
          <w:tcPr>
            <w:tcW w:w="720" w:type="dxa"/>
            <w:vAlign w:val="bottom"/>
          </w:tcPr>
          <w:p w14:paraId="7FDEC395" w14:textId="6E4DC61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148</w:t>
            </w:r>
          </w:p>
        </w:tc>
        <w:tc>
          <w:tcPr>
            <w:tcW w:w="720" w:type="dxa"/>
            <w:vAlign w:val="bottom"/>
          </w:tcPr>
          <w:p w14:paraId="2002203E" w14:textId="49FFEAB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412</w:t>
            </w:r>
          </w:p>
        </w:tc>
      </w:tr>
      <w:tr w:rsidR="00435540" w:rsidRPr="00D35659" w14:paraId="59353187" w14:textId="77777777" w:rsidTr="003A799A">
        <w:tc>
          <w:tcPr>
            <w:tcW w:w="859" w:type="dxa"/>
          </w:tcPr>
          <w:p w14:paraId="4E3EFBAA"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3 cm</w:t>
            </w:r>
          </w:p>
        </w:tc>
        <w:tc>
          <w:tcPr>
            <w:tcW w:w="750" w:type="dxa"/>
            <w:vAlign w:val="bottom"/>
          </w:tcPr>
          <w:p w14:paraId="61498824" w14:textId="05C5F99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019</w:t>
            </w:r>
          </w:p>
        </w:tc>
        <w:tc>
          <w:tcPr>
            <w:tcW w:w="796" w:type="dxa"/>
            <w:vAlign w:val="bottom"/>
          </w:tcPr>
          <w:p w14:paraId="5CF8AFAF" w14:textId="4E7BD9A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296</w:t>
            </w:r>
          </w:p>
        </w:tc>
        <w:tc>
          <w:tcPr>
            <w:tcW w:w="859" w:type="dxa"/>
            <w:vAlign w:val="bottom"/>
          </w:tcPr>
          <w:p w14:paraId="4B78A7E9" w14:textId="18AA02B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837</w:t>
            </w:r>
          </w:p>
        </w:tc>
        <w:tc>
          <w:tcPr>
            <w:tcW w:w="796" w:type="dxa"/>
            <w:vAlign w:val="bottom"/>
          </w:tcPr>
          <w:p w14:paraId="6ECE7F97" w14:textId="7CA27FA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157</w:t>
            </w:r>
          </w:p>
        </w:tc>
        <w:tc>
          <w:tcPr>
            <w:tcW w:w="797" w:type="dxa"/>
            <w:vAlign w:val="bottom"/>
          </w:tcPr>
          <w:p w14:paraId="0301BDEB" w14:textId="5920363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425</w:t>
            </w:r>
          </w:p>
        </w:tc>
        <w:tc>
          <w:tcPr>
            <w:tcW w:w="605" w:type="dxa"/>
            <w:vMerge/>
          </w:tcPr>
          <w:p w14:paraId="74DF8FCC"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3F9C847D" w14:textId="78FE70D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021</w:t>
            </w:r>
          </w:p>
        </w:tc>
        <w:tc>
          <w:tcPr>
            <w:tcW w:w="720" w:type="dxa"/>
            <w:vAlign w:val="bottom"/>
          </w:tcPr>
          <w:p w14:paraId="7293983B" w14:textId="20985C6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309</w:t>
            </w:r>
          </w:p>
        </w:tc>
        <w:tc>
          <w:tcPr>
            <w:tcW w:w="720" w:type="dxa"/>
            <w:vAlign w:val="bottom"/>
          </w:tcPr>
          <w:p w14:paraId="2344140F" w14:textId="43FD8AD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858</w:t>
            </w:r>
          </w:p>
        </w:tc>
        <w:tc>
          <w:tcPr>
            <w:tcW w:w="720" w:type="dxa"/>
            <w:vAlign w:val="bottom"/>
          </w:tcPr>
          <w:p w14:paraId="05C24A69" w14:textId="2664C2B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185</w:t>
            </w:r>
          </w:p>
        </w:tc>
        <w:tc>
          <w:tcPr>
            <w:tcW w:w="720" w:type="dxa"/>
            <w:vAlign w:val="bottom"/>
          </w:tcPr>
          <w:p w14:paraId="09AD5226" w14:textId="1EEF4CE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470</w:t>
            </w:r>
          </w:p>
        </w:tc>
      </w:tr>
      <w:tr w:rsidR="00435540" w:rsidRPr="00D35659" w14:paraId="55F517A6" w14:textId="77777777" w:rsidTr="003A799A">
        <w:tc>
          <w:tcPr>
            <w:tcW w:w="859" w:type="dxa"/>
          </w:tcPr>
          <w:p w14:paraId="68B9EAF2"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4 cm</w:t>
            </w:r>
          </w:p>
        </w:tc>
        <w:tc>
          <w:tcPr>
            <w:tcW w:w="750" w:type="dxa"/>
            <w:vAlign w:val="bottom"/>
          </w:tcPr>
          <w:p w14:paraId="3F773D20" w14:textId="56B1254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021</w:t>
            </w:r>
          </w:p>
        </w:tc>
        <w:tc>
          <w:tcPr>
            <w:tcW w:w="796" w:type="dxa"/>
            <w:vAlign w:val="bottom"/>
          </w:tcPr>
          <w:p w14:paraId="5C70CE17" w14:textId="5967E45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310</w:t>
            </w:r>
          </w:p>
        </w:tc>
        <w:tc>
          <w:tcPr>
            <w:tcW w:w="859" w:type="dxa"/>
            <w:vAlign w:val="bottom"/>
          </w:tcPr>
          <w:p w14:paraId="6E9F1D8C" w14:textId="4C400C0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858</w:t>
            </w:r>
          </w:p>
        </w:tc>
        <w:tc>
          <w:tcPr>
            <w:tcW w:w="796" w:type="dxa"/>
            <w:vAlign w:val="bottom"/>
          </w:tcPr>
          <w:p w14:paraId="693D71DA" w14:textId="32EED83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186</w:t>
            </w:r>
          </w:p>
        </w:tc>
        <w:tc>
          <w:tcPr>
            <w:tcW w:w="797" w:type="dxa"/>
            <w:vAlign w:val="bottom"/>
          </w:tcPr>
          <w:p w14:paraId="7545AAE8" w14:textId="10EB5E2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470</w:t>
            </w:r>
          </w:p>
        </w:tc>
        <w:tc>
          <w:tcPr>
            <w:tcW w:w="605" w:type="dxa"/>
            <w:vMerge/>
          </w:tcPr>
          <w:p w14:paraId="0CBA8A02"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6B4D2ECA" w14:textId="1121AAF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023</w:t>
            </w:r>
          </w:p>
        </w:tc>
        <w:tc>
          <w:tcPr>
            <w:tcW w:w="720" w:type="dxa"/>
            <w:vAlign w:val="bottom"/>
          </w:tcPr>
          <w:p w14:paraId="0B08E0D7" w14:textId="0002862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325</w:t>
            </w:r>
          </w:p>
        </w:tc>
        <w:tc>
          <w:tcPr>
            <w:tcW w:w="720" w:type="dxa"/>
            <w:vAlign w:val="bottom"/>
          </w:tcPr>
          <w:p w14:paraId="6EA6497B" w14:textId="0F0D8B5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882</w:t>
            </w:r>
          </w:p>
        </w:tc>
        <w:tc>
          <w:tcPr>
            <w:tcW w:w="720" w:type="dxa"/>
            <w:vAlign w:val="bottom"/>
          </w:tcPr>
          <w:p w14:paraId="7C5DE86B" w14:textId="4682FF4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218</w:t>
            </w:r>
          </w:p>
        </w:tc>
        <w:tc>
          <w:tcPr>
            <w:tcW w:w="720" w:type="dxa"/>
            <w:vAlign w:val="bottom"/>
          </w:tcPr>
          <w:p w14:paraId="39AA5113" w14:textId="705F71E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520</w:t>
            </w:r>
          </w:p>
        </w:tc>
      </w:tr>
      <w:tr w:rsidR="00435540" w:rsidRPr="00D35659" w14:paraId="5A4B69D6" w14:textId="77777777" w:rsidTr="003A799A">
        <w:tc>
          <w:tcPr>
            <w:tcW w:w="859" w:type="dxa"/>
          </w:tcPr>
          <w:p w14:paraId="36991BAA"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5 cm</w:t>
            </w:r>
          </w:p>
        </w:tc>
        <w:tc>
          <w:tcPr>
            <w:tcW w:w="750" w:type="dxa"/>
            <w:vAlign w:val="bottom"/>
          </w:tcPr>
          <w:p w14:paraId="2AC712DD" w14:textId="2B3ABBE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023</w:t>
            </w:r>
          </w:p>
        </w:tc>
        <w:tc>
          <w:tcPr>
            <w:tcW w:w="796" w:type="dxa"/>
            <w:vAlign w:val="bottom"/>
          </w:tcPr>
          <w:p w14:paraId="322B746A" w14:textId="058F93B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322</w:t>
            </w:r>
          </w:p>
        </w:tc>
        <w:tc>
          <w:tcPr>
            <w:tcW w:w="859" w:type="dxa"/>
            <w:vAlign w:val="bottom"/>
          </w:tcPr>
          <w:p w14:paraId="481DCEF7" w14:textId="66585DB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878</w:t>
            </w:r>
          </w:p>
        </w:tc>
        <w:tc>
          <w:tcPr>
            <w:tcW w:w="796" w:type="dxa"/>
            <w:vAlign w:val="bottom"/>
          </w:tcPr>
          <w:p w14:paraId="3A99A602" w14:textId="6474FE3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211</w:t>
            </w:r>
          </w:p>
        </w:tc>
        <w:tc>
          <w:tcPr>
            <w:tcW w:w="797" w:type="dxa"/>
            <w:vAlign w:val="bottom"/>
          </w:tcPr>
          <w:p w14:paraId="3382711F" w14:textId="3C7CE90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510</w:t>
            </w:r>
          </w:p>
        </w:tc>
        <w:tc>
          <w:tcPr>
            <w:tcW w:w="605" w:type="dxa"/>
            <w:vMerge/>
          </w:tcPr>
          <w:p w14:paraId="2E3A764C"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13D918C1" w14:textId="75148CC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026</w:t>
            </w:r>
          </w:p>
        </w:tc>
        <w:tc>
          <w:tcPr>
            <w:tcW w:w="720" w:type="dxa"/>
            <w:vAlign w:val="bottom"/>
          </w:tcPr>
          <w:p w14:paraId="0A97611C" w14:textId="39141FA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340</w:t>
            </w:r>
          </w:p>
        </w:tc>
        <w:tc>
          <w:tcPr>
            <w:tcW w:w="720" w:type="dxa"/>
            <w:vAlign w:val="bottom"/>
          </w:tcPr>
          <w:p w14:paraId="6C751D1A" w14:textId="5A88CED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905</w:t>
            </w:r>
          </w:p>
        </w:tc>
        <w:tc>
          <w:tcPr>
            <w:tcW w:w="720" w:type="dxa"/>
            <w:vAlign w:val="bottom"/>
          </w:tcPr>
          <w:p w14:paraId="63EA558B" w14:textId="02D5657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247</w:t>
            </w:r>
          </w:p>
        </w:tc>
        <w:tc>
          <w:tcPr>
            <w:tcW w:w="720" w:type="dxa"/>
            <w:vAlign w:val="bottom"/>
          </w:tcPr>
          <w:p w14:paraId="2FE0B34D" w14:textId="0F7528B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565</w:t>
            </w:r>
          </w:p>
        </w:tc>
      </w:tr>
      <w:tr w:rsidR="00435540" w:rsidRPr="00D35659" w14:paraId="750F4227" w14:textId="77777777" w:rsidTr="003A799A">
        <w:tc>
          <w:tcPr>
            <w:tcW w:w="859" w:type="dxa"/>
          </w:tcPr>
          <w:p w14:paraId="1A2820EB"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6 cm</w:t>
            </w:r>
          </w:p>
        </w:tc>
        <w:tc>
          <w:tcPr>
            <w:tcW w:w="750" w:type="dxa"/>
            <w:vAlign w:val="bottom"/>
          </w:tcPr>
          <w:p w14:paraId="1083999C" w14:textId="05F20DF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025</w:t>
            </w:r>
          </w:p>
        </w:tc>
        <w:tc>
          <w:tcPr>
            <w:tcW w:w="796" w:type="dxa"/>
            <w:vAlign w:val="bottom"/>
          </w:tcPr>
          <w:p w14:paraId="23A8BF07" w14:textId="6E247C3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334</w:t>
            </w:r>
          </w:p>
        </w:tc>
        <w:tc>
          <w:tcPr>
            <w:tcW w:w="859" w:type="dxa"/>
            <w:vAlign w:val="bottom"/>
          </w:tcPr>
          <w:p w14:paraId="1BB542B7" w14:textId="2257461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895</w:t>
            </w:r>
          </w:p>
        </w:tc>
        <w:tc>
          <w:tcPr>
            <w:tcW w:w="796" w:type="dxa"/>
            <w:vAlign w:val="bottom"/>
          </w:tcPr>
          <w:p w14:paraId="13CD31C9" w14:textId="19AA5AB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235</w:t>
            </w:r>
          </w:p>
        </w:tc>
        <w:tc>
          <w:tcPr>
            <w:tcW w:w="797" w:type="dxa"/>
            <w:vAlign w:val="bottom"/>
          </w:tcPr>
          <w:p w14:paraId="41FBB48D" w14:textId="6B77F1A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547</w:t>
            </w:r>
          </w:p>
        </w:tc>
        <w:tc>
          <w:tcPr>
            <w:tcW w:w="605" w:type="dxa"/>
            <w:vMerge/>
          </w:tcPr>
          <w:p w14:paraId="704A5877"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6F30C5DD" w14:textId="5E14D47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028</w:t>
            </w:r>
          </w:p>
        </w:tc>
        <w:tc>
          <w:tcPr>
            <w:tcW w:w="720" w:type="dxa"/>
            <w:vAlign w:val="bottom"/>
          </w:tcPr>
          <w:p w14:paraId="3D239A35" w14:textId="03CA90D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354</w:t>
            </w:r>
          </w:p>
        </w:tc>
        <w:tc>
          <w:tcPr>
            <w:tcW w:w="720" w:type="dxa"/>
            <w:vAlign w:val="bottom"/>
          </w:tcPr>
          <w:p w14:paraId="19DFC4E3" w14:textId="1BCE538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925</w:t>
            </w:r>
          </w:p>
        </w:tc>
        <w:tc>
          <w:tcPr>
            <w:tcW w:w="720" w:type="dxa"/>
            <w:vAlign w:val="bottom"/>
          </w:tcPr>
          <w:p w14:paraId="389105F1" w14:textId="5733EF8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274</w:t>
            </w:r>
          </w:p>
        </w:tc>
        <w:tc>
          <w:tcPr>
            <w:tcW w:w="720" w:type="dxa"/>
            <w:vAlign w:val="bottom"/>
          </w:tcPr>
          <w:p w14:paraId="2E9DC159" w14:textId="0F00270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607</w:t>
            </w:r>
          </w:p>
        </w:tc>
      </w:tr>
      <w:tr w:rsidR="00435540" w:rsidRPr="00D35659" w14:paraId="1CB69EBE" w14:textId="77777777" w:rsidTr="003A799A">
        <w:tc>
          <w:tcPr>
            <w:tcW w:w="859" w:type="dxa"/>
          </w:tcPr>
          <w:p w14:paraId="6569D5AA"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 cm</w:t>
            </w:r>
          </w:p>
        </w:tc>
        <w:tc>
          <w:tcPr>
            <w:tcW w:w="750" w:type="dxa"/>
            <w:vAlign w:val="bottom"/>
          </w:tcPr>
          <w:p w14:paraId="2836D292" w14:textId="6353CCD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027</w:t>
            </w:r>
          </w:p>
        </w:tc>
        <w:tc>
          <w:tcPr>
            <w:tcW w:w="796" w:type="dxa"/>
            <w:vAlign w:val="bottom"/>
          </w:tcPr>
          <w:p w14:paraId="5A38EF86" w14:textId="566FE12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345</w:t>
            </w:r>
          </w:p>
        </w:tc>
        <w:tc>
          <w:tcPr>
            <w:tcW w:w="859" w:type="dxa"/>
            <w:vAlign w:val="bottom"/>
          </w:tcPr>
          <w:p w14:paraId="5549C244" w14:textId="3B86DC0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912</w:t>
            </w:r>
          </w:p>
        </w:tc>
        <w:tc>
          <w:tcPr>
            <w:tcW w:w="796" w:type="dxa"/>
            <w:vAlign w:val="bottom"/>
          </w:tcPr>
          <w:p w14:paraId="09AE9BB3" w14:textId="1E7BFAD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257</w:t>
            </w:r>
          </w:p>
        </w:tc>
        <w:tc>
          <w:tcPr>
            <w:tcW w:w="797" w:type="dxa"/>
            <w:vAlign w:val="bottom"/>
          </w:tcPr>
          <w:p w14:paraId="0A97D236" w14:textId="33DB040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580</w:t>
            </w:r>
          </w:p>
        </w:tc>
        <w:tc>
          <w:tcPr>
            <w:tcW w:w="605" w:type="dxa"/>
            <w:vMerge/>
          </w:tcPr>
          <w:p w14:paraId="7D680D39"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1BD038F9" w14:textId="5621957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030</w:t>
            </w:r>
          </w:p>
        </w:tc>
        <w:tc>
          <w:tcPr>
            <w:tcW w:w="720" w:type="dxa"/>
            <w:vAlign w:val="bottom"/>
          </w:tcPr>
          <w:p w14:paraId="1E266646" w14:textId="00CEB14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367</w:t>
            </w:r>
          </w:p>
        </w:tc>
        <w:tc>
          <w:tcPr>
            <w:tcW w:w="720" w:type="dxa"/>
            <w:vAlign w:val="bottom"/>
          </w:tcPr>
          <w:p w14:paraId="422E5FA6" w14:textId="09BDDD0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945</w:t>
            </w:r>
          </w:p>
        </w:tc>
        <w:tc>
          <w:tcPr>
            <w:tcW w:w="720" w:type="dxa"/>
            <w:vAlign w:val="bottom"/>
          </w:tcPr>
          <w:p w14:paraId="08184371" w14:textId="5E3A040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300</w:t>
            </w:r>
          </w:p>
        </w:tc>
        <w:tc>
          <w:tcPr>
            <w:tcW w:w="720" w:type="dxa"/>
            <w:vAlign w:val="bottom"/>
          </w:tcPr>
          <w:p w14:paraId="25DFFB40" w14:textId="439DB18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647</w:t>
            </w:r>
          </w:p>
        </w:tc>
      </w:tr>
      <w:tr w:rsidR="00435540" w:rsidRPr="00D35659" w14:paraId="601C23E7" w14:textId="77777777" w:rsidTr="003A799A">
        <w:tc>
          <w:tcPr>
            <w:tcW w:w="859" w:type="dxa"/>
          </w:tcPr>
          <w:p w14:paraId="24F4A65B"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8 cm</w:t>
            </w:r>
          </w:p>
        </w:tc>
        <w:tc>
          <w:tcPr>
            <w:tcW w:w="750" w:type="dxa"/>
            <w:vAlign w:val="bottom"/>
          </w:tcPr>
          <w:p w14:paraId="589EC7E6" w14:textId="14E10B9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028</w:t>
            </w:r>
          </w:p>
        </w:tc>
        <w:tc>
          <w:tcPr>
            <w:tcW w:w="796" w:type="dxa"/>
            <w:vAlign w:val="bottom"/>
          </w:tcPr>
          <w:p w14:paraId="5E67B066" w14:textId="5A08632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355</w:t>
            </w:r>
          </w:p>
        </w:tc>
        <w:tc>
          <w:tcPr>
            <w:tcW w:w="859" w:type="dxa"/>
            <w:vAlign w:val="bottom"/>
          </w:tcPr>
          <w:p w14:paraId="4AE71DD5" w14:textId="61CBAB6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928</w:t>
            </w:r>
          </w:p>
        </w:tc>
        <w:tc>
          <w:tcPr>
            <w:tcW w:w="796" w:type="dxa"/>
            <w:vAlign w:val="bottom"/>
          </w:tcPr>
          <w:p w14:paraId="1F7059FC" w14:textId="6C260CE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277</w:t>
            </w:r>
          </w:p>
        </w:tc>
        <w:tc>
          <w:tcPr>
            <w:tcW w:w="797" w:type="dxa"/>
            <w:vAlign w:val="bottom"/>
          </w:tcPr>
          <w:p w14:paraId="3438D7B6" w14:textId="556105C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612</w:t>
            </w:r>
          </w:p>
        </w:tc>
        <w:tc>
          <w:tcPr>
            <w:tcW w:w="605" w:type="dxa"/>
            <w:vMerge/>
          </w:tcPr>
          <w:p w14:paraId="03B83FAE"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4E6FB287" w14:textId="32A2426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033</w:t>
            </w:r>
          </w:p>
        </w:tc>
        <w:tc>
          <w:tcPr>
            <w:tcW w:w="720" w:type="dxa"/>
            <w:vAlign w:val="bottom"/>
          </w:tcPr>
          <w:p w14:paraId="2E20C75A" w14:textId="0141F52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379</w:t>
            </w:r>
          </w:p>
        </w:tc>
        <w:tc>
          <w:tcPr>
            <w:tcW w:w="720" w:type="dxa"/>
            <w:vAlign w:val="bottom"/>
          </w:tcPr>
          <w:p w14:paraId="3A8C8729" w14:textId="1762AB9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963</w:t>
            </w:r>
          </w:p>
        </w:tc>
        <w:tc>
          <w:tcPr>
            <w:tcW w:w="720" w:type="dxa"/>
            <w:vAlign w:val="bottom"/>
          </w:tcPr>
          <w:p w14:paraId="3C2A03F7" w14:textId="2B39598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324</w:t>
            </w:r>
          </w:p>
        </w:tc>
        <w:tc>
          <w:tcPr>
            <w:tcW w:w="720" w:type="dxa"/>
            <w:vAlign w:val="bottom"/>
          </w:tcPr>
          <w:p w14:paraId="32E6ECEE" w14:textId="3B1880B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684</w:t>
            </w:r>
          </w:p>
        </w:tc>
      </w:tr>
    </w:tbl>
    <w:p w14:paraId="329A2CA9"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 xml:space="preserve">The 99% confidence intervals of the expected damage ratios (%) and their </w:t>
      </w: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hAnsi="Times New Roman" w:cs="Times New Roman"/>
          <w:lang w:val="en-US"/>
        </w:rPr>
        <w:t>, 25</w:t>
      </w:r>
      <w:r w:rsidRPr="00D35659">
        <w:rPr>
          <w:rFonts w:ascii="Times New Roman" w:hAnsi="Times New Roman" w:cs="Times New Roman"/>
          <w:vertAlign w:val="superscript"/>
          <w:lang w:val="en-US"/>
        </w:rPr>
        <w:t>th</w:t>
      </w:r>
      <w:r w:rsidRPr="00D35659">
        <w:rPr>
          <w:rFonts w:ascii="Times New Roman" w:hAnsi="Times New Roman" w:cs="Times New Roman"/>
          <w:lang w:val="en-US"/>
        </w:rPr>
        <w:t>, 75</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and 99</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quantiles.</w:t>
      </w:r>
    </w:p>
    <w:p w14:paraId="5FB01DC5" w14:textId="77777777" w:rsidR="00435540" w:rsidRPr="00D35659" w:rsidRDefault="00435540" w:rsidP="00435540">
      <w:pPr>
        <w:spacing w:after="0"/>
        <w:rPr>
          <w:rFonts w:ascii="Times New Roman" w:hAnsi="Times New Roman" w:cs="Times New Roman"/>
          <w:lang w:val="en-US"/>
        </w:rPr>
      </w:pPr>
    </w:p>
    <w:p w14:paraId="0272E842" w14:textId="77777777" w:rsidR="00435540" w:rsidRPr="00D35659" w:rsidRDefault="00435540" w:rsidP="00435540">
      <w:pPr>
        <w:spacing w:after="0"/>
        <w:rPr>
          <w:rFonts w:ascii="Times New Roman" w:hAnsi="Times New Roman" w:cs="Times New Roman"/>
          <w:b/>
          <w:bCs/>
          <w:lang w:val="en-US"/>
        </w:rPr>
      </w:pPr>
    </w:p>
    <w:p w14:paraId="0D44EFB7" w14:textId="77777777" w:rsidR="00435540" w:rsidRDefault="00435540" w:rsidP="00435540">
      <w:pPr>
        <w:spacing w:after="0"/>
        <w:rPr>
          <w:rFonts w:ascii="Times New Roman" w:hAnsi="Times New Roman" w:cs="Times New Roman"/>
          <w:b/>
          <w:bCs/>
          <w:lang w:val="en-US"/>
        </w:rPr>
      </w:pPr>
    </w:p>
    <w:p w14:paraId="76B20AD3" w14:textId="77777777" w:rsidR="004766F8" w:rsidRDefault="004766F8" w:rsidP="00435540">
      <w:pPr>
        <w:spacing w:after="0"/>
        <w:rPr>
          <w:rFonts w:ascii="Times New Roman" w:hAnsi="Times New Roman" w:cs="Times New Roman"/>
          <w:b/>
          <w:bCs/>
          <w:lang w:val="en-US"/>
        </w:rPr>
      </w:pPr>
    </w:p>
    <w:p w14:paraId="6688B8C1" w14:textId="77777777" w:rsidR="004766F8" w:rsidRDefault="004766F8" w:rsidP="00435540">
      <w:pPr>
        <w:spacing w:after="0"/>
        <w:rPr>
          <w:rFonts w:ascii="Times New Roman" w:hAnsi="Times New Roman" w:cs="Times New Roman"/>
          <w:b/>
          <w:bCs/>
          <w:lang w:val="en-US"/>
        </w:rPr>
      </w:pPr>
    </w:p>
    <w:p w14:paraId="52D65130" w14:textId="7648EBBD" w:rsidR="00435540" w:rsidRPr="00D35659" w:rsidRDefault="00435540" w:rsidP="00435540">
      <w:pPr>
        <w:spacing w:after="0"/>
        <w:rPr>
          <w:rFonts w:ascii="Times New Roman" w:hAnsi="Times New Roman" w:cs="Times New Roman"/>
          <w:b/>
          <w:bCs/>
          <w:lang w:val="en-US"/>
        </w:rPr>
      </w:pPr>
      <w:r w:rsidRPr="00D35659">
        <w:rPr>
          <w:rFonts w:ascii="Times New Roman" w:hAnsi="Times New Roman" w:cs="Times New Roman"/>
          <w:b/>
          <w:bCs/>
          <w:lang w:val="en-US"/>
        </w:rPr>
        <w:lastRenderedPageBreak/>
        <w:t>24-hour cumulative precipitation levels of 100 mm</w:t>
      </w:r>
    </w:p>
    <w:p w14:paraId="02F582A8" w14:textId="77777777" w:rsidR="00435540" w:rsidRPr="00D35659" w:rsidRDefault="00435540" w:rsidP="00435540">
      <w:pPr>
        <w:spacing w:after="0"/>
        <w:rPr>
          <w:rFonts w:ascii="Times New Roman" w:hAnsi="Times New Roman" w:cs="Times New Roman"/>
          <w:b/>
          <w:bCs/>
          <w:lang w:val="en-US"/>
        </w:rPr>
      </w:pPr>
    </w:p>
    <w:p w14:paraId="1FA22B85"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Table S9</w:t>
      </w:r>
    </w:p>
    <w:tbl>
      <w:tblPr>
        <w:tblStyle w:val="Tabelraster"/>
        <w:tblpPr w:leftFromText="141" w:rightFromText="141" w:vertAnchor="text" w:tblpY="1"/>
        <w:tblOverlap w:val="never"/>
        <w:tblW w:w="0" w:type="auto"/>
        <w:tblLook w:val="04A0" w:firstRow="1" w:lastRow="0" w:firstColumn="1" w:lastColumn="0" w:noHBand="0" w:noVBand="1"/>
      </w:tblPr>
      <w:tblGrid>
        <w:gridCol w:w="1006"/>
        <w:gridCol w:w="1054"/>
        <w:gridCol w:w="1054"/>
        <w:gridCol w:w="1054"/>
        <w:gridCol w:w="1054"/>
        <w:gridCol w:w="1054"/>
      </w:tblGrid>
      <w:tr w:rsidR="00435540" w:rsidRPr="00D35659" w14:paraId="3E3882A5" w14:textId="77777777" w:rsidTr="003A799A">
        <w:tc>
          <w:tcPr>
            <w:tcW w:w="1006" w:type="dxa"/>
          </w:tcPr>
          <w:p w14:paraId="2B6C418C"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MEHS</w:t>
            </w:r>
          </w:p>
        </w:tc>
        <w:tc>
          <w:tcPr>
            <w:tcW w:w="1054" w:type="dxa"/>
          </w:tcPr>
          <w:p w14:paraId="731B532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7A50E676" w14:textId="77777777" w:rsidR="00435540" w:rsidRPr="00D35659" w:rsidRDefault="00435540" w:rsidP="003A799A">
            <w:pPr>
              <w:rPr>
                <w:rFonts w:ascii="Times New Roman" w:eastAsiaTheme="minorEastAsia" w:hAnsi="Times New Roman" w:cs="Times New Roman"/>
                <w:lang w:val="en-US"/>
              </w:rPr>
            </w:pPr>
          </w:p>
        </w:tc>
        <w:tc>
          <w:tcPr>
            <w:tcW w:w="1054" w:type="dxa"/>
          </w:tcPr>
          <w:p w14:paraId="0CA6362E"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1054" w:type="dxa"/>
          </w:tcPr>
          <w:p w14:paraId="5F79392F"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E[DR]</w:t>
            </w:r>
          </w:p>
        </w:tc>
        <w:tc>
          <w:tcPr>
            <w:tcW w:w="1054" w:type="dxa"/>
          </w:tcPr>
          <w:p w14:paraId="48939BF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61D21430" w14:textId="77777777" w:rsidR="00435540" w:rsidRPr="00D35659" w:rsidRDefault="00435540" w:rsidP="003A799A">
            <w:pPr>
              <w:rPr>
                <w:rFonts w:ascii="Times New Roman" w:eastAsiaTheme="minorEastAsia" w:hAnsi="Times New Roman" w:cs="Times New Roman"/>
                <w:lang w:val="en-US"/>
              </w:rPr>
            </w:pPr>
          </w:p>
        </w:tc>
        <w:tc>
          <w:tcPr>
            <w:tcW w:w="1054" w:type="dxa"/>
          </w:tcPr>
          <w:p w14:paraId="535D52A6"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w:t>
            </w:r>
          </w:p>
        </w:tc>
      </w:tr>
      <w:tr w:rsidR="00435540" w:rsidRPr="00D35659" w14:paraId="07A0ECFC" w14:textId="77777777" w:rsidTr="003A799A">
        <w:tc>
          <w:tcPr>
            <w:tcW w:w="1006" w:type="dxa"/>
          </w:tcPr>
          <w:p w14:paraId="18F8D3B4"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0 cm</w:t>
            </w:r>
          </w:p>
        </w:tc>
        <w:tc>
          <w:tcPr>
            <w:tcW w:w="1054" w:type="dxa"/>
            <w:vAlign w:val="bottom"/>
          </w:tcPr>
          <w:p w14:paraId="1CDE591D" w14:textId="016ABF3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012</w:t>
            </w:r>
          </w:p>
        </w:tc>
        <w:tc>
          <w:tcPr>
            <w:tcW w:w="1054" w:type="dxa"/>
            <w:vAlign w:val="bottom"/>
          </w:tcPr>
          <w:p w14:paraId="190D7445" w14:textId="6337285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246</w:t>
            </w:r>
          </w:p>
        </w:tc>
        <w:tc>
          <w:tcPr>
            <w:tcW w:w="1054" w:type="dxa"/>
            <w:vAlign w:val="bottom"/>
          </w:tcPr>
          <w:p w14:paraId="34324087" w14:textId="32E534A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758</w:t>
            </w:r>
          </w:p>
        </w:tc>
        <w:tc>
          <w:tcPr>
            <w:tcW w:w="1054" w:type="dxa"/>
            <w:vAlign w:val="bottom"/>
          </w:tcPr>
          <w:p w14:paraId="06E23D22" w14:textId="3306731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051</w:t>
            </w:r>
          </w:p>
        </w:tc>
        <w:tc>
          <w:tcPr>
            <w:tcW w:w="1054" w:type="dxa"/>
            <w:vAlign w:val="bottom"/>
          </w:tcPr>
          <w:p w14:paraId="304FFCC5" w14:textId="7E7551D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258</w:t>
            </w:r>
          </w:p>
        </w:tc>
      </w:tr>
      <w:tr w:rsidR="00435540" w:rsidRPr="00D35659" w14:paraId="2711C479" w14:textId="77777777" w:rsidTr="003A799A">
        <w:tc>
          <w:tcPr>
            <w:tcW w:w="1006" w:type="dxa"/>
          </w:tcPr>
          <w:p w14:paraId="43B023BD"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 cm</w:t>
            </w:r>
          </w:p>
        </w:tc>
        <w:tc>
          <w:tcPr>
            <w:tcW w:w="1054" w:type="dxa"/>
            <w:vAlign w:val="bottom"/>
          </w:tcPr>
          <w:p w14:paraId="5757D93C" w14:textId="0E0645A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019</w:t>
            </w:r>
          </w:p>
        </w:tc>
        <w:tc>
          <w:tcPr>
            <w:tcW w:w="1054" w:type="dxa"/>
            <w:vAlign w:val="bottom"/>
          </w:tcPr>
          <w:p w14:paraId="6035A8E3" w14:textId="27FC7B4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296</w:t>
            </w:r>
          </w:p>
        </w:tc>
        <w:tc>
          <w:tcPr>
            <w:tcW w:w="1054" w:type="dxa"/>
            <w:vAlign w:val="bottom"/>
          </w:tcPr>
          <w:p w14:paraId="059D015B" w14:textId="1D50861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837</w:t>
            </w:r>
          </w:p>
        </w:tc>
        <w:tc>
          <w:tcPr>
            <w:tcW w:w="1054" w:type="dxa"/>
            <w:vAlign w:val="bottom"/>
          </w:tcPr>
          <w:p w14:paraId="7349C151" w14:textId="47CED71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158</w:t>
            </w:r>
          </w:p>
        </w:tc>
        <w:tc>
          <w:tcPr>
            <w:tcW w:w="1054" w:type="dxa"/>
            <w:vAlign w:val="bottom"/>
          </w:tcPr>
          <w:p w14:paraId="6F8A48A5" w14:textId="04121B0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427</w:t>
            </w:r>
          </w:p>
        </w:tc>
      </w:tr>
      <w:tr w:rsidR="00435540" w:rsidRPr="00D35659" w14:paraId="7EC816C8" w14:textId="77777777" w:rsidTr="003A799A">
        <w:tc>
          <w:tcPr>
            <w:tcW w:w="1006" w:type="dxa"/>
          </w:tcPr>
          <w:p w14:paraId="6FAB2A66"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 cm</w:t>
            </w:r>
          </w:p>
        </w:tc>
        <w:tc>
          <w:tcPr>
            <w:tcW w:w="1054" w:type="dxa"/>
            <w:vAlign w:val="bottom"/>
          </w:tcPr>
          <w:p w14:paraId="14868018" w14:textId="428C9FD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022</w:t>
            </w:r>
          </w:p>
        </w:tc>
        <w:tc>
          <w:tcPr>
            <w:tcW w:w="1054" w:type="dxa"/>
            <w:vAlign w:val="bottom"/>
          </w:tcPr>
          <w:p w14:paraId="06ECE812" w14:textId="5E43D53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319</w:t>
            </w:r>
          </w:p>
        </w:tc>
        <w:tc>
          <w:tcPr>
            <w:tcW w:w="1054" w:type="dxa"/>
            <w:vAlign w:val="bottom"/>
          </w:tcPr>
          <w:p w14:paraId="498FBBBA" w14:textId="6F731B3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873</w:t>
            </w:r>
          </w:p>
        </w:tc>
        <w:tc>
          <w:tcPr>
            <w:tcW w:w="1054" w:type="dxa"/>
            <w:vAlign w:val="bottom"/>
          </w:tcPr>
          <w:p w14:paraId="2A21A976" w14:textId="3D4573A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205</w:t>
            </w:r>
          </w:p>
        </w:tc>
        <w:tc>
          <w:tcPr>
            <w:tcW w:w="1054" w:type="dxa"/>
            <w:vAlign w:val="bottom"/>
          </w:tcPr>
          <w:p w14:paraId="686ED401" w14:textId="6CB854F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500</w:t>
            </w:r>
          </w:p>
        </w:tc>
      </w:tr>
      <w:tr w:rsidR="00435540" w:rsidRPr="00D35659" w14:paraId="2FA09C6A" w14:textId="77777777" w:rsidTr="003A799A">
        <w:tc>
          <w:tcPr>
            <w:tcW w:w="1006" w:type="dxa"/>
          </w:tcPr>
          <w:p w14:paraId="5D1EF07D"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3 cm</w:t>
            </w:r>
          </w:p>
        </w:tc>
        <w:tc>
          <w:tcPr>
            <w:tcW w:w="1054" w:type="dxa"/>
            <w:vAlign w:val="bottom"/>
          </w:tcPr>
          <w:p w14:paraId="06FCD2BD" w14:textId="5BE6842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025</w:t>
            </w:r>
          </w:p>
        </w:tc>
        <w:tc>
          <w:tcPr>
            <w:tcW w:w="1054" w:type="dxa"/>
            <w:vAlign w:val="bottom"/>
          </w:tcPr>
          <w:p w14:paraId="2C2D62A5" w14:textId="3BCCB6F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338</w:t>
            </w:r>
          </w:p>
        </w:tc>
        <w:tc>
          <w:tcPr>
            <w:tcW w:w="1054" w:type="dxa"/>
            <w:vAlign w:val="bottom"/>
          </w:tcPr>
          <w:p w14:paraId="642E2071" w14:textId="61D9C02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901</w:t>
            </w:r>
          </w:p>
        </w:tc>
        <w:tc>
          <w:tcPr>
            <w:tcW w:w="1054" w:type="dxa"/>
            <w:vAlign w:val="bottom"/>
          </w:tcPr>
          <w:p w14:paraId="589F7A59" w14:textId="72F1BFD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242</w:t>
            </w:r>
          </w:p>
        </w:tc>
        <w:tc>
          <w:tcPr>
            <w:tcW w:w="1054" w:type="dxa"/>
            <w:vAlign w:val="bottom"/>
          </w:tcPr>
          <w:p w14:paraId="7925865D" w14:textId="417B5D3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558</w:t>
            </w:r>
          </w:p>
        </w:tc>
      </w:tr>
      <w:tr w:rsidR="00435540" w:rsidRPr="00D35659" w14:paraId="243E8716" w14:textId="77777777" w:rsidTr="003A799A">
        <w:tc>
          <w:tcPr>
            <w:tcW w:w="1006" w:type="dxa"/>
          </w:tcPr>
          <w:p w14:paraId="3F9D6773"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4 cm</w:t>
            </w:r>
          </w:p>
        </w:tc>
        <w:tc>
          <w:tcPr>
            <w:tcW w:w="1054" w:type="dxa"/>
            <w:vAlign w:val="bottom"/>
          </w:tcPr>
          <w:p w14:paraId="1496718F" w14:textId="54FDAC7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028</w:t>
            </w:r>
          </w:p>
        </w:tc>
        <w:tc>
          <w:tcPr>
            <w:tcW w:w="1054" w:type="dxa"/>
            <w:vAlign w:val="bottom"/>
          </w:tcPr>
          <w:p w14:paraId="6A8F3910" w14:textId="3A53F3E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354</w:t>
            </w:r>
          </w:p>
        </w:tc>
        <w:tc>
          <w:tcPr>
            <w:tcW w:w="1054" w:type="dxa"/>
            <w:vAlign w:val="bottom"/>
          </w:tcPr>
          <w:p w14:paraId="138D0AE9" w14:textId="32CEF0D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925</w:t>
            </w:r>
          </w:p>
        </w:tc>
        <w:tc>
          <w:tcPr>
            <w:tcW w:w="1054" w:type="dxa"/>
            <w:vAlign w:val="bottom"/>
          </w:tcPr>
          <w:p w14:paraId="24E835EF" w14:textId="0B3BEE6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274</w:t>
            </w:r>
          </w:p>
        </w:tc>
        <w:tc>
          <w:tcPr>
            <w:tcW w:w="1054" w:type="dxa"/>
            <w:vAlign w:val="bottom"/>
          </w:tcPr>
          <w:p w14:paraId="7B69C885" w14:textId="4F91781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608</w:t>
            </w:r>
          </w:p>
        </w:tc>
      </w:tr>
      <w:tr w:rsidR="00435540" w:rsidRPr="00D35659" w14:paraId="477D2B50" w14:textId="77777777" w:rsidTr="003A799A">
        <w:tc>
          <w:tcPr>
            <w:tcW w:w="1006" w:type="dxa"/>
          </w:tcPr>
          <w:p w14:paraId="0DD118B5"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5 cm</w:t>
            </w:r>
          </w:p>
        </w:tc>
        <w:tc>
          <w:tcPr>
            <w:tcW w:w="1054" w:type="dxa"/>
            <w:vAlign w:val="bottom"/>
          </w:tcPr>
          <w:p w14:paraId="29AD96B2" w14:textId="66CBDD1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031</w:t>
            </w:r>
          </w:p>
        </w:tc>
        <w:tc>
          <w:tcPr>
            <w:tcW w:w="1054" w:type="dxa"/>
            <w:vAlign w:val="bottom"/>
          </w:tcPr>
          <w:p w14:paraId="037AF453" w14:textId="58C2E76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368</w:t>
            </w:r>
          </w:p>
        </w:tc>
        <w:tc>
          <w:tcPr>
            <w:tcW w:w="1054" w:type="dxa"/>
            <w:vAlign w:val="bottom"/>
          </w:tcPr>
          <w:p w14:paraId="1EFBB679" w14:textId="2FEC4C7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947</w:t>
            </w:r>
          </w:p>
        </w:tc>
        <w:tc>
          <w:tcPr>
            <w:tcW w:w="1054" w:type="dxa"/>
            <w:vAlign w:val="bottom"/>
          </w:tcPr>
          <w:p w14:paraId="3993FAC7" w14:textId="33B1792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303</w:t>
            </w:r>
          </w:p>
        </w:tc>
        <w:tc>
          <w:tcPr>
            <w:tcW w:w="1054" w:type="dxa"/>
            <w:vAlign w:val="bottom"/>
          </w:tcPr>
          <w:p w14:paraId="7D086E52" w14:textId="7D437F3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652</w:t>
            </w:r>
          </w:p>
        </w:tc>
      </w:tr>
      <w:tr w:rsidR="00435540" w:rsidRPr="00D35659" w14:paraId="192420C6" w14:textId="77777777" w:rsidTr="003A799A">
        <w:tc>
          <w:tcPr>
            <w:tcW w:w="1006" w:type="dxa"/>
          </w:tcPr>
          <w:p w14:paraId="27F368B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6 cm</w:t>
            </w:r>
          </w:p>
        </w:tc>
        <w:tc>
          <w:tcPr>
            <w:tcW w:w="1054" w:type="dxa"/>
            <w:vAlign w:val="bottom"/>
          </w:tcPr>
          <w:p w14:paraId="4005075A" w14:textId="76F506E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033</w:t>
            </w:r>
          </w:p>
        </w:tc>
        <w:tc>
          <w:tcPr>
            <w:tcW w:w="1054" w:type="dxa"/>
            <w:vAlign w:val="bottom"/>
          </w:tcPr>
          <w:p w14:paraId="1BF7DD7E" w14:textId="282D1C1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382</w:t>
            </w:r>
          </w:p>
        </w:tc>
        <w:tc>
          <w:tcPr>
            <w:tcW w:w="1054" w:type="dxa"/>
            <w:vAlign w:val="bottom"/>
          </w:tcPr>
          <w:p w14:paraId="0EF8DD6E" w14:textId="7314B55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968</w:t>
            </w:r>
          </w:p>
        </w:tc>
        <w:tc>
          <w:tcPr>
            <w:tcW w:w="1054" w:type="dxa"/>
            <w:vAlign w:val="bottom"/>
          </w:tcPr>
          <w:p w14:paraId="7C537057" w14:textId="6857333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330</w:t>
            </w:r>
          </w:p>
        </w:tc>
        <w:tc>
          <w:tcPr>
            <w:tcW w:w="1054" w:type="dxa"/>
            <w:vAlign w:val="bottom"/>
          </w:tcPr>
          <w:p w14:paraId="2809C054" w14:textId="47F3DEE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693</w:t>
            </w:r>
          </w:p>
        </w:tc>
      </w:tr>
      <w:tr w:rsidR="00435540" w:rsidRPr="00D35659" w14:paraId="5897B9DD" w14:textId="77777777" w:rsidTr="003A799A">
        <w:tc>
          <w:tcPr>
            <w:tcW w:w="1006" w:type="dxa"/>
          </w:tcPr>
          <w:p w14:paraId="1A09FFA2"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 cm</w:t>
            </w:r>
          </w:p>
        </w:tc>
        <w:tc>
          <w:tcPr>
            <w:tcW w:w="1054" w:type="dxa"/>
            <w:vAlign w:val="bottom"/>
          </w:tcPr>
          <w:p w14:paraId="0CA0AA12" w14:textId="09C041D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036</w:t>
            </w:r>
          </w:p>
        </w:tc>
        <w:tc>
          <w:tcPr>
            <w:tcW w:w="1054" w:type="dxa"/>
            <w:vAlign w:val="bottom"/>
          </w:tcPr>
          <w:p w14:paraId="0AA91B35" w14:textId="2CB0C14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395</w:t>
            </w:r>
          </w:p>
        </w:tc>
        <w:tc>
          <w:tcPr>
            <w:tcW w:w="1054" w:type="dxa"/>
            <w:vAlign w:val="bottom"/>
          </w:tcPr>
          <w:p w14:paraId="1485693E" w14:textId="2C42751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987</w:t>
            </w:r>
          </w:p>
        </w:tc>
        <w:tc>
          <w:tcPr>
            <w:tcW w:w="1054" w:type="dxa"/>
            <w:vAlign w:val="bottom"/>
          </w:tcPr>
          <w:p w14:paraId="5D2330B6" w14:textId="5A5D10C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355</w:t>
            </w:r>
          </w:p>
        </w:tc>
        <w:tc>
          <w:tcPr>
            <w:tcW w:w="1054" w:type="dxa"/>
            <w:vAlign w:val="bottom"/>
          </w:tcPr>
          <w:p w14:paraId="2A109102" w14:textId="1195CB5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731</w:t>
            </w:r>
          </w:p>
        </w:tc>
      </w:tr>
      <w:tr w:rsidR="00435540" w:rsidRPr="00D35659" w14:paraId="6830769F" w14:textId="77777777" w:rsidTr="003A799A">
        <w:tc>
          <w:tcPr>
            <w:tcW w:w="1006" w:type="dxa"/>
          </w:tcPr>
          <w:p w14:paraId="4FC23FB5"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8 cm</w:t>
            </w:r>
          </w:p>
        </w:tc>
        <w:tc>
          <w:tcPr>
            <w:tcW w:w="1054" w:type="dxa"/>
            <w:vAlign w:val="bottom"/>
          </w:tcPr>
          <w:p w14:paraId="6A12D639" w14:textId="44E9D98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038</w:t>
            </w:r>
          </w:p>
        </w:tc>
        <w:tc>
          <w:tcPr>
            <w:tcW w:w="1054" w:type="dxa"/>
            <w:vAlign w:val="bottom"/>
          </w:tcPr>
          <w:p w14:paraId="6FB12FE1" w14:textId="37046B8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408</w:t>
            </w:r>
          </w:p>
        </w:tc>
        <w:tc>
          <w:tcPr>
            <w:tcW w:w="1054" w:type="dxa"/>
            <w:vAlign w:val="bottom"/>
          </w:tcPr>
          <w:p w14:paraId="7B86CF82" w14:textId="1AE6A07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005</w:t>
            </w:r>
          </w:p>
        </w:tc>
        <w:tc>
          <w:tcPr>
            <w:tcW w:w="1054" w:type="dxa"/>
            <w:vAlign w:val="bottom"/>
          </w:tcPr>
          <w:p w14:paraId="7DD3A955" w14:textId="2EF684F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378</w:t>
            </w:r>
          </w:p>
        </w:tc>
        <w:tc>
          <w:tcPr>
            <w:tcW w:w="1054" w:type="dxa"/>
            <w:vAlign w:val="bottom"/>
          </w:tcPr>
          <w:p w14:paraId="3C140C81" w14:textId="5B35CFF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767</w:t>
            </w:r>
          </w:p>
        </w:tc>
      </w:tr>
    </w:tbl>
    <w:p w14:paraId="26438FB9" w14:textId="77777777" w:rsidR="00435540" w:rsidRPr="00D35659" w:rsidRDefault="00435540" w:rsidP="00435540">
      <w:pPr>
        <w:spacing w:after="0"/>
        <w:jc w:val="both"/>
        <w:rPr>
          <w:rFonts w:ascii="Times New Roman" w:hAnsi="Times New Roman" w:cs="Times New Roman"/>
          <w:lang w:val="en-US"/>
        </w:rPr>
      </w:pPr>
      <w:r w:rsidRPr="00D35659">
        <w:rPr>
          <w:rFonts w:ascii="Times New Roman" w:hAnsi="Times New Roman" w:cs="Times New Roman"/>
          <w:lang w:val="en-US"/>
        </w:rPr>
        <w:br w:type="textWrapping" w:clear="all"/>
        <w:t xml:space="preserve">Expected damage ratios (%) and their </w:t>
      </w: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hAnsi="Times New Roman" w:cs="Times New Roman"/>
          <w:lang w:val="en-US"/>
        </w:rPr>
        <w:t>, 25</w:t>
      </w:r>
      <w:r w:rsidRPr="00D35659">
        <w:rPr>
          <w:rFonts w:ascii="Times New Roman" w:hAnsi="Times New Roman" w:cs="Times New Roman"/>
          <w:vertAlign w:val="superscript"/>
          <w:lang w:val="en-US"/>
        </w:rPr>
        <w:t>th</w:t>
      </w:r>
      <w:r w:rsidRPr="00D35659">
        <w:rPr>
          <w:rFonts w:ascii="Times New Roman" w:hAnsi="Times New Roman" w:cs="Times New Roman"/>
          <w:lang w:val="en-US"/>
        </w:rPr>
        <w:t>, 75</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and 99</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quantiles.</w:t>
      </w:r>
    </w:p>
    <w:p w14:paraId="08ED7D82" w14:textId="77777777" w:rsidR="00435540" w:rsidRPr="00D35659" w:rsidRDefault="00435540" w:rsidP="00435540">
      <w:pPr>
        <w:spacing w:after="0"/>
        <w:jc w:val="both"/>
        <w:rPr>
          <w:rFonts w:ascii="Times New Roman" w:hAnsi="Times New Roman" w:cs="Times New Roman"/>
          <w:lang w:val="en-US"/>
        </w:rPr>
      </w:pPr>
    </w:p>
    <w:p w14:paraId="19F49AC7"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Table S10</w:t>
      </w:r>
    </w:p>
    <w:tbl>
      <w:tblPr>
        <w:tblStyle w:val="Tabelraster"/>
        <w:tblW w:w="0" w:type="auto"/>
        <w:tblLook w:val="04A0" w:firstRow="1" w:lastRow="0" w:firstColumn="1" w:lastColumn="0" w:noHBand="0" w:noVBand="1"/>
      </w:tblPr>
      <w:tblGrid>
        <w:gridCol w:w="1000"/>
        <w:gridCol w:w="720"/>
        <w:gridCol w:w="720"/>
        <w:gridCol w:w="720"/>
        <w:gridCol w:w="720"/>
        <w:gridCol w:w="720"/>
        <w:gridCol w:w="222"/>
        <w:gridCol w:w="847"/>
        <w:gridCol w:w="847"/>
        <w:gridCol w:w="848"/>
        <w:gridCol w:w="848"/>
        <w:gridCol w:w="848"/>
      </w:tblGrid>
      <w:tr w:rsidR="00435540" w:rsidRPr="00D35659" w14:paraId="46D6868D" w14:textId="77777777" w:rsidTr="003A799A">
        <w:tc>
          <w:tcPr>
            <w:tcW w:w="1002" w:type="dxa"/>
          </w:tcPr>
          <w:p w14:paraId="57E280C2"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Wind gust speed</w:t>
            </w:r>
          </w:p>
        </w:tc>
        <w:tc>
          <w:tcPr>
            <w:tcW w:w="720" w:type="dxa"/>
          </w:tcPr>
          <w:p w14:paraId="277282B9"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6F0DAA6D" w14:textId="77777777" w:rsidR="00435540" w:rsidRPr="00D35659" w:rsidRDefault="00435540" w:rsidP="003A799A">
            <w:pPr>
              <w:rPr>
                <w:rFonts w:ascii="Times New Roman" w:eastAsiaTheme="minorEastAsia" w:hAnsi="Times New Roman" w:cs="Times New Roman"/>
                <w:lang w:val="en-US"/>
              </w:rPr>
            </w:pPr>
          </w:p>
        </w:tc>
        <w:tc>
          <w:tcPr>
            <w:tcW w:w="720" w:type="dxa"/>
          </w:tcPr>
          <w:p w14:paraId="7A5012C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720" w:type="dxa"/>
          </w:tcPr>
          <w:p w14:paraId="6CED4DCF"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75% lower CI</w:t>
            </w:r>
          </w:p>
        </w:tc>
        <w:tc>
          <w:tcPr>
            <w:tcW w:w="720" w:type="dxa"/>
          </w:tcPr>
          <w:p w14:paraId="66CEDF3B"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2956BCF7" w14:textId="77777777" w:rsidR="00435540" w:rsidRPr="00D35659" w:rsidRDefault="00435540" w:rsidP="003A799A">
            <w:pPr>
              <w:rPr>
                <w:rFonts w:ascii="Times New Roman" w:eastAsiaTheme="minorEastAsia" w:hAnsi="Times New Roman" w:cs="Times New Roman"/>
                <w:lang w:val="en-US"/>
              </w:rPr>
            </w:pPr>
          </w:p>
        </w:tc>
        <w:tc>
          <w:tcPr>
            <w:tcW w:w="720" w:type="dxa"/>
          </w:tcPr>
          <w:p w14:paraId="7F9C2419"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222" w:type="dxa"/>
            <w:vMerge w:val="restart"/>
          </w:tcPr>
          <w:p w14:paraId="2421C127" w14:textId="77777777" w:rsidR="00435540" w:rsidRPr="00D35659" w:rsidRDefault="00435540" w:rsidP="003A799A">
            <w:pPr>
              <w:rPr>
                <w:rFonts w:ascii="Times New Roman" w:eastAsiaTheme="minorEastAsia" w:hAnsi="Times New Roman" w:cs="Times New Roman"/>
                <w:lang w:val="en-US"/>
              </w:rPr>
            </w:pPr>
          </w:p>
        </w:tc>
        <w:tc>
          <w:tcPr>
            <w:tcW w:w="847" w:type="dxa"/>
          </w:tcPr>
          <w:p w14:paraId="3DFBC89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7F4A1C84" w14:textId="77777777" w:rsidR="00435540" w:rsidRPr="00D35659" w:rsidRDefault="00435540" w:rsidP="003A799A">
            <w:pPr>
              <w:rPr>
                <w:rFonts w:ascii="Times New Roman" w:eastAsiaTheme="minorEastAsia" w:hAnsi="Times New Roman" w:cs="Times New Roman"/>
                <w:lang w:val="en-US"/>
              </w:rPr>
            </w:pPr>
          </w:p>
        </w:tc>
        <w:tc>
          <w:tcPr>
            <w:tcW w:w="847" w:type="dxa"/>
          </w:tcPr>
          <w:p w14:paraId="5934FCD9"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848" w:type="dxa"/>
          </w:tcPr>
          <w:p w14:paraId="60D4E546"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75% upper CI</w:t>
            </w:r>
          </w:p>
        </w:tc>
        <w:tc>
          <w:tcPr>
            <w:tcW w:w="848" w:type="dxa"/>
          </w:tcPr>
          <w:p w14:paraId="626CA37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7CC801CA" w14:textId="77777777" w:rsidR="00435540" w:rsidRPr="00D35659" w:rsidRDefault="00435540" w:rsidP="003A799A">
            <w:pPr>
              <w:rPr>
                <w:rFonts w:ascii="Times New Roman" w:eastAsiaTheme="minorEastAsia" w:hAnsi="Times New Roman" w:cs="Times New Roman"/>
                <w:lang w:val="en-US"/>
              </w:rPr>
            </w:pPr>
          </w:p>
        </w:tc>
        <w:tc>
          <w:tcPr>
            <w:tcW w:w="848" w:type="dxa"/>
          </w:tcPr>
          <w:p w14:paraId="1FF9A25D"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r>
      <w:tr w:rsidR="00435540" w:rsidRPr="00D35659" w14:paraId="47960B3F" w14:textId="77777777" w:rsidTr="003A799A">
        <w:tc>
          <w:tcPr>
            <w:tcW w:w="1002" w:type="dxa"/>
          </w:tcPr>
          <w:p w14:paraId="2EF4B4FA"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0 cm</w:t>
            </w:r>
          </w:p>
        </w:tc>
        <w:tc>
          <w:tcPr>
            <w:tcW w:w="720" w:type="dxa"/>
            <w:vAlign w:val="bottom"/>
          </w:tcPr>
          <w:p w14:paraId="7CCFA7EB" w14:textId="42D1B1D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012</w:t>
            </w:r>
          </w:p>
        </w:tc>
        <w:tc>
          <w:tcPr>
            <w:tcW w:w="720" w:type="dxa"/>
            <w:vAlign w:val="bottom"/>
          </w:tcPr>
          <w:p w14:paraId="4569DF0D" w14:textId="76CAAA4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241</w:t>
            </w:r>
          </w:p>
        </w:tc>
        <w:tc>
          <w:tcPr>
            <w:tcW w:w="720" w:type="dxa"/>
            <w:vAlign w:val="bottom"/>
          </w:tcPr>
          <w:p w14:paraId="099ED928" w14:textId="3AC6046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750</w:t>
            </w:r>
          </w:p>
        </w:tc>
        <w:tc>
          <w:tcPr>
            <w:tcW w:w="720" w:type="dxa"/>
            <w:vAlign w:val="bottom"/>
          </w:tcPr>
          <w:p w14:paraId="2DFD886F" w14:textId="4DBBF82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041</w:t>
            </w:r>
          </w:p>
        </w:tc>
        <w:tc>
          <w:tcPr>
            <w:tcW w:w="720" w:type="dxa"/>
            <w:vAlign w:val="bottom"/>
          </w:tcPr>
          <w:p w14:paraId="7267C6F0" w14:textId="3B5CD54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242</w:t>
            </w:r>
          </w:p>
        </w:tc>
        <w:tc>
          <w:tcPr>
            <w:tcW w:w="222" w:type="dxa"/>
            <w:vMerge/>
          </w:tcPr>
          <w:p w14:paraId="1247E35F"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6AEA627D" w14:textId="7C4F01D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013</w:t>
            </w:r>
          </w:p>
        </w:tc>
        <w:tc>
          <w:tcPr>
            <w:tcW w:w="847" w:type="dxa"/>
            <w:vAlign w:val="bottom"/>
          </w:tcPr>
          <w:p w14:paraId="3CD15158" w14:textId="486D7D5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251</w:t>
            </w:r>
          </w:p>
        </w:tc>
        <w:tc>
          <w:tcPr>
            <w:tcW w:w="848" w:type="dxa"/>
            <w:vAlign w:val="bottom"/>
          </w:tcPr>
          <w:p w14:paraId="452A613A" w14:textId="5723497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765</w:t>
            </w:r>
          </w:p>
        </w:tc>
        <w:tc>
          <w:tcPr>
            <w:tcW w:w="848" w:type="dxa"/>
            <w:vAlign w:val="bottom"/>
          </w:tcPr>
          <w:p w14:paraId="05E0DA1F" w14:textId="1258712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061</w:t>
            </w:r>
          </w:p>
        </w:tc>
        <w:tc>
          <w:tcPr>
            <w:tcW w:w="848" w:type="dxa"/>
            <w:vAlign w:val="bottom"/>
          </w:tcPr>
          <w:p w14:paraId="1E1C87E5" w14:textId="4D129BB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275</w:t>
            </w:r>
          </w:p>
        </w:tc>
      </w:tr>
      <w:tr w:rsidR="00435540" w:rsidRPr="00D35659" w14:paraId="39D85813" w14:textId="77777777" w:rsidTr="003A799A">
        <w:tc>
          <w:tcPr>
            <w:tcW w:w="1002" w:type="dxa"/>
          </w:tcPr>
          <w:p w14:paraId="623A4C6C"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 cm</w:t>
            </w:r>
          </w:p>
        </w:tc>
        <w:tc>
          <w:tcPr>
            <w:tcW w:w="720" w:type="dxa"/>
            <w:vAlign w:val="bottom"/>
          </w:tcPr>
          <w:p w14:paraId="7192B195" w14:textId="5959EEC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018</w:t>
            </w:r>
          </w:p>
        </w:tc>
        <w:tc>
          <w:tcPr>
            <w:tcW w:w="720" w:type="dxa"/>
            <w:vAlign w:val="bottom"/>
          </w:tcPr>
          <w:p w14:paraId="23B3A5FB" w14:textId="48A36BB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292</w:t>
            </w:r>
          </w:p>
        </w:tc>
        <w:tc>
          <w:tcPr>
            <w:tcW w:w="720" w:type="dxa"/>
            <w:vAlign w:val="bottom"/>
          </w:tcPr>
          <w:p w14:paraId="3DF3439C" w14:textId="591E1E0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830</w:t>
            </w:r>
          </w:p>
        </w:tc>
        <w:tc>
          <w:tcPr>
            <w:tcW w:w="720" w:type="dxa"/>
            <w:vAlign w:val="bottom"/>
          </w:tcPr>
          <w:p w14:paraId="38757EB4" w14:textId="6FEA54F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148</w:t>
            </w:r>
          </w:p>
        </w:tc>
        <w:tc>
          <w:tcPr>
            <w:tcW w:w="720" w:type="dxa"/>
            <w:vAlign w:val="bottom"/>
          </w:tcPr>
          <w:p w14:paraId="0E8AA0BA" w14:textId="065A57E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412</w:t>
            </w:r>
          </w:p>
        </w:tc>
        <w:tc>
          <w:tcPr>
            <w:tcW w:w="222" w:type="dxa"/>
            <w:vMerge/>
          </w:tcPr>
          <w:p w14:paraId="7744B12B"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214DC844" w14:textId="400D942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019</w:t>
            </w:r>
          </w:p>
        </w:tc>
        <w:tc>
          <w:tcPr>
            <w:tcW w:w="847" w:type="dxa"/>
            <w:vAlign w:val="bottom"/>
          </w:tcPr>
          <w:p w14:paraId="4008A61B" w14:textId="51A9EA1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301</w:t>
            </w:r>
          </w:p>
        </w:tc>
        <w:tc>
          <w:tcPr>
            <w:tcW w:w="848" w:type="dxa"/>
            <w:vAlign w:val="bottom"/>
          </w:tcPr>
          <w:p w14:paraId="26D925A3" w14:textId="6C3CBA2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845</w:t>
            </w:r>
          </w:p>
        </w:tc>
        <w:tc>
          <w:tcPr>
            <w:tcW w:w="848" w:type="dxa"/>
            <w:vAlign w:val="bottom"/>
          </w:tcPr>
          <w:p w14:paraId="7385B128" w14:textId="3100E37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167</w:t>
            </w:r>
          </w:p>
        </w:tc>
        <w:tc>
          <w:tcPr>
            <w:tcW w:w="848" w:type="dxa"/>
            <w:vAlign w:val="bottom"/>
          </w:tcPr>
          <w:p w14:paraId="6AEA4EA7" w14:textId="301CF8F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442</w:t>
            </w:r>
          </w:p>
        </w:tc>
      </w:tr>
      <w:tr w:rsidR="00435540" w:rsidRPr="00D35659" w14:paraId="2EC23A01" w14:textId="77777777" w:rsidTr="003A799A">
        <w:tc>
          <w:tcPr>
            <w:tcW w:w="1002" w:type="dxa"/>
          </w:tcPr>
          <w:p w14:paraId="3BB7B109"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 cm</w:t>
            </w:r>
          </w:p>
        </w:tc>
        <w:tc>
          <w:tcPr>
            <w:tcW w:w="720" w:type="dxa"/>
            <w:vAlign w:val="bottom"/>
          </w:tcPr>
          <w:p w14:paraId="110F81D6" w14:textId="3BBE743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021</w:t>
            </w:r>
          </w:p>
        </w:tc>
        <w:tc>
          <w:tcPr>
            <w:tcW w:w="720" w:type="dxa"/>
            <w:vAlign w:val="bottom"/>
          </w:tcPr>
          <w:p w14:paraId="1AF4A0DF" w14:textId="4D71150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314</w:t>
            </w:r>
          </w:p>
        </w:tc>
        <w:tc>
          <w:tcPr>
            <w:tcW w:w="720" w:type="dxa"/>
            <w:vAlign w:val="bottom"/>
          </w:tcPr>
          <w:p w14:paraId="35CC5258" w14:textId="6EEDCD7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865</w:t>
            </w:r>
          </w:p>
        </w:tc>
        <w:tc>
          <w:tcPr>
            <w:tcW w:w="720" w:type="dxa"/>
            <w:vAlign w:val="bottom"/>
          </w:tcPr>
          <w:p w14:paraId="7A7FD0CF" w14:textId="0EBC8A6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195</w:t>
            </w:r>
          </w:p>
        </w:tc>
        <w:tc>
          <w:tcPr>
            <w:tcW w:w="720" w:type="dxa"/>
            <w:vAlign w:val="bottom"/>
          </w:tcPr>
          <w:p w14:paraId="147A830C" w14:textId="5613F3C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485</w:t>
            </w:r>
          </w:p>
        </w:tc>
        <w:tc>
          <w:tcPr>
            <w:tcW w:w="222" w:type="dxa"/>
            <w:vMerge/>
          </w:tcPr>
          <w:p w14:paraId="3B0221ED"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5BDC4E46" w14:textId="69C9CC7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023</w:t>
            </w:r>
          </w:p>
        </w:tc>
        <w:tc>
          <w:tcPr>
            <w:tcW w:w="847" w:type="dxa"/>
            <w:vAlign w:val="bottom"/>
          </w:tcPr>
          <w:p w14:paraId="2DB3B0B8" w14:textId="1E5F204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324</w:t>
            </w:r>
          </w:p>
        </w:tc>
        <w:tc>
          <w:tcPr>
            <w:tcW w:w="848" w:type="dxa"/>
            <w:vAlign w:val="bottom"/>
          </w:tcPr>
          <w:p w14:paraId="618F3BCA" w14:textId="63159B5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880</w:t>
            </w:r>
          </w:p>
        </w:tc>
        <w:tc>
          <w:tcPr>
            <w:tcW w:w="848" w:type="dxa"/>
            <w:vAlign w:val="bottom"/>
          </w:tcPr>
          <w:p w14:paraId="4EF59005" w14:textId="0C27698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215</w:t>
            </w:r>
          </w:p>
        </w:tc>
        <w:tc>
          <w:tcPr>
            <w:tcW w:w="848" w:type="dxa"/>
            <w:vAlign w:val="bottom"/>
          </w:tcPr>
          <w:p w14:paraId="3DA2EF47" w14:textId="2CF0E77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515</w:t>
            </w:r>
          </w:p>
        </w:tc>
      </w:tr>
      <w:tr w:rsidR="00435540" w:rsidRPr="00D35659" w14:paraId="613F7ADE" w14:textId="77777777" w:rsidTr="003A799A">
        <w:tc>
          <w:tcPr>
            <w:tcW w:w="1002" w:type="dxa"/>
          </w:tcPr>
          <w:p w14:paraId="6C380F94"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3 cm</w:t>
            </w:r>
          </w:p>
        </w:tc>
        <w:tc>
          <w:tcPr>
            <w:tcW w:w="720" w:type="dxa"/>
            <w:vAlign w:val="bottom"/>
          </w:tcPr>
          <w:p w14:paraId="3DBA8B17" w14:textId="2566060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024</w:t>
            </w:r>
          </w:p>
        </w:tc>
        <w:tc>
          <w:tcPr>
            <w:tcW w:w="720" w:type="dxa"/>
            <w:vAlign w:val="bottom"/>
          </w:tcPr>
          <w:p w14:paraId="3876C19B" w14:textId="063F539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333</w:t>
            </w:r>
          </w:p>
        </w:tc>
        <w:tc>
          <w:tcPr>
            <w:tcW w:w="720" w:type="dxa"/>
            <w:vAlign w:val="bottom"/>
          </w:tcPr>
          <w:p w14:paraId="3EEE1F64" w14:textId="5AC540F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893</w:t>
            </w:r>
          </w:p>
        </w:tc>
        <w:tc>
          <w:tcPr>
            <w:tcW w:w="720" w:type="dxa"/>
            <w:vAlign w:val="bottom"/>
          </w:tcPr>
          <w:p w14:paraId="50370F20" w14:textId="3287D3E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232</w:t>
            </w:r>
          </w:p>
        </w:tc>
        <w:tc>
          <w:tcPr>
            <w:tcW w:w="720" w:type="dxa"/>
            <w:vAlign w:val="bottom"/>
          </w:tcPr>
          <w:p w14:paraId="6B4C299F" w14:textId="5ACD9C4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542</w:t>
            </w:r>
          </w:p>
        </w:tc>
        <w:tc>
          <w:tcPr>
            <w:tcW w:w="222" w:type="dxa"/>
            <w:vMerge/>
          </w:tcPr>
          <w:p w14:paraId="63E5A149"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7B695657" w14:textId="787E604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026</w:t>
            </w:r>
          </w:p>
        </w:tc>
        <w:tc>
          <w:tcPr>
            <w:tcW w:w="847" w:type="dxa"/>
            <w:vAlign w:val="bottom"/>
          </w:tcPr>
          <w:p w14:paraId="13224C3B" w14:textId="626C926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343</w:t>
            </w:r>
          </w:p>
        </w:tc>
        <w:tc>
          <w:tcPr>
            <w:tcW w:w="848" w:type="dxa"/>
            <w:vAlign w:val="bottom"/>
          </w:tcPr>
          <w:p w14:paraId="25D33A65" w14:textId="0552B01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908</w:t>
            </w:r>
          </w:p>
        </w:tc>
        <w:tc>
          <w:tcPr>
            <w:tcW w:w="848" w:type="dxa"/>
            <w:vAlign w:val="bottom"/>
          </w:tcPr>
          <w:p w14:paraId="3373E8B1" w14:textId="79AAAF6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252</w:t>
            </w:r>
          </w:p>
        </w:tc>
        <w:tc>
          <w:tcPr>
            <w:tcW w:w="848" w:type="dxa"/>
            <w:vAlign w:val="bottom"/>
          </w:tcPr>
          <w:p w14:paraId="00B2AA64" w14:textId="687A2B4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574</w:t>
            </w:r>
          </w:p>
        </w:tc>
      </w:tr>
      <w:tr w:rsidR="00435540" w:rsidRPr="00D35659" w14:paraId="69FEAD7D" w14:textId="77777777" w:rsidTr="003A799A">
        <w:tc>
          <w:tcPr>
            <w:tcW w:w="1002" w:type="dxa"/>
          </w:tcPr>
          <w:p w14:paraId="5B598DDC"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4 cm</w:t>
            </w:r>
          </w:p>
        </w:tc>
        <w:tc>
          <w:tcPr>
            <w:tcW w:w="720" w:type="dxa"/>
            <w:vAlign w:val="bottom"/>
          </w:tcPr>
          <w:p w14:paraId="15A415DA" w14:textId="6BF2922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027</w:t>
            </w:r>
          </w:p>
        </w:tc>
        <w:tc>
          <w:tcPr>
            <w:tcW w:w="720" w:type="dxa"/>
            <w:vAlign w:val="bottom"/>
          </w:tcPr>
          <w:p w14:paraId="52E7195F" w14:textId="04DA2A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348</w:t>
            </w:r>
          </w:p>
        </w:tc>
        <w:tc>
          <w:tcPr>
            <w:tcW w:w="720" w:type="dxa"/>
            <w:vAlign w:val="bottom"/>
          </w:tcPr>
          <w:p w14:paraId="06C52ECD" w14:textId="3113121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917</w:t>
            </w:r>
          </w:p>
        </w:tc>
        <w:tc>
          <w:tcPr>
            <w:tcW w:w="720" w:type="dxa"/>
            <w:vAlign w:val="bottom"/>
          </w:tcPr>
          <w:p w14:paraId="55A1276B" w14:textId="511E591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264</w:t>
            </w:r>
          </w:p>
        </w:tc>
        <w:tc>
          <w:tcPr>
            <w:tcW w:w="720" w:type="dxa"/>
            <w:vAlign w:val="bottom"/>
          </w:tcPr>
          <w:p w14:paraId="22720F83" w14:textId="4BCD99B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591</w:t>
            </w:r>
          </w:p>
        </w:tc>
        <w:tc>
          <w:tcPr>
            <w:tcW w:w="222" w:type="dxa"/>
            <w:vMerge/>
          </w:tcPr>
          <w:p w14:paraId="0CC9CDB0"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34E49C26" w14:textId="1442927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029</w:t>
            </w:r>
          </w:p>
        </w:tc>
        <w:tc>
          <w:tcPr>
            <w:tcW w:w="847" w:type="dxa"/>
            <w:vAlign w:val="bottom"/>
          </w:tcPr>
          <w:p w14:paraId="41473505" w14:textId="12967A6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359</w:t>
            </w:r>
          </w:p>
        </w:tc>
        <w:tc>
          <w:tcPr>
            <w:tcW w:w="848" w:type="dxa"/>
            <w:vAlign w:val="bottom"/>
          </w:tcPr>
          <w:p w14:paraId="63C9EB23" w14:textId="4019B65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933</w:t>
            </w:r>
          </w:p>
        </w:tc>
        <w:tc>
          <w:tcPr>
            <w:tcW w:w="848" w:type="dxa"/>
            <w:vAlign w:val="bottom"/>
          </w:tcPr>
          <w:p w14:paraId="544E9440" w14:textId="44F5D2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285</w:t>
            </w:r>
          </w:p>
        </w:tc>
        <w:tc>
          <w:tcPr>
            <w:tcW w:w="848" w:type="dxa"/>
            <w:vAlign w:val="bottom"/>
          </w:tcPr>
          <w:p w14:paraId="659A42B9" w14:textId="5409C46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624</w:t>
            </w:r>
          </w:p>
        </w:tc>
      </w:tr>
      <w:tr w:rsidR="00435540" w:rsidRPr="00D35659" w14:paraId="546BB387" w14:textId="77777777" w:rsidTr="003A799A">
        <w:tc>
          <w:tcPr>
            <w:tcW w:w="1002" w:type="dxa"/>
          </w:tcPr>
          <w:p w14:paraId="6A527F08"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5 cm</w:t>
            </w:r>
          </w:p>
        </w:tc>
        <w:tc>
          <w:tcPr>
            <w:tcW w:w="720" w:type="dxa"/>
            <w:vAlign w:val="bottom"/>
          </w:tcPr>
          <w:p w14:paraId="79E041F3" w14:textId="018F999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030</w:t>
            </w:r>
          </w:p>
        </w:tc>
        <w:tc>
          <w:tcPr>
            <w:tcW w:w="720" w:type="dxa"/>
            <w:vAlign w:val="bottom"/>
          </w:tcPr>
          <w:p w14:paraId="2B4F04A2" w14:textId="2A82D69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363</w:t>
            </w:r>
          </w:p>
        </w:tc>
        <w:tc>
          <w:tcPr>
            <w:tcW w:w="720" w:type="dxa"/>
            <w:vAlign w:val="bottom"/>
          </w:tcPr>
          <w:p w14:paraId="11719059" w14:textId="76DD767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939</w:t>
            </w:r>
          </w:p>
        </w:tc>
        <w:tc>
          <w:tcPr>
            <w:tcW w:w="720" w:type="dxa"/>
            <w:vAlign w:val="bottom"/>
          </w:tcPr>
          <w:p w14:paraId="4CBB6379" w14:textId="54EBCA8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292</w:t>
            </w:r>
          </w:p>
        </w:tc>
        <w:tc>
          <w:tcPr>
            <w:tcW w:w="720" w:type="dxa"/>
            <w:vAlign w:val="bottom"/>
          </w:tcPr>
          <w:p w14:paraId="4BE3FB30" w14:textId="3C6A596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635</w:t>
            </w:r>
          </w:p>
        </w:tc>
        <w:tc>
          <w:tcPr>
            <w:tcW w:w="222" w:type="dxa"/>
            <w:vMerge/>
          </w:tcPr>
          <w:p w14:paraId="04283F4D"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17111ECE" w14:textId="1D80181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032</w:t>
            </w:r>
          </w:p>
        </w:tc>
        <w:tc>
          <w:tcPr>
            <w:tcW w:w="847" w:type="dxa"/>
            <w:vAlign w:val="bottom"/>
          </w:tcPr>
          <w:p w14:paraId="06D7704C" w14:textId="68D5BE3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374</w:t>
            </w:r>
          </w:p>
        </w:tc>
        <w:tc>
          <w:tcPr>
            <w:tcW w:w="848" w:type="dxa"/>
            <w:vAlign w:val="bottom"/>
          </w:tcPr>
          <w:p w14:paraId="11FBD493" w14:textId="6C58D80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956</w:t>
            </w:r>
          </w:p>
        </w:tc>
        <w:tc>
          <w:tcPr>
            <w:tcW w:w="848" w:type="dxa"/>
            <w:vAlign w:val="bottom"/>
          </w:tcPr>
          <w:p w14:paraId="0516D164" w14:textId="470B948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314</w:t>
            </w:r>
          </w:p>
        </w:tc>
        <w:tc>
          <w:tcPr>
            <w:tcW w:w="848" w:type="dxa"/>
            <w:vAlign w:val="bottom"/>
          </w:tcPr>
          <w:p w14:paraId="576B8F77" w14:textId="7653A24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669</w:t>
            </w:r>
          </w:p>
        </w:tc>
      </w:tr>
      <w:tr w:rsidR="00435540" w:rsidRPr="00D35659" w14:paraId="0CC917A0" w14:textId="77777777" w:rsidTr="003A799A">
        <w:tc>
          <w:tcPr>
            <w:tcW w:w="1002" w:type="dxa"/>
          </w:tcPr>
          <w:p w14:paraId="42D32014"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6 cm</w:t>
            </w:r>
          </w:p>
        </w:tc>
        <w:tc>
          <w:tcPr>
            <w:tcW w:w="720" w:type="dxa"/>
            <w:vAlign w:val="bottom"/>
          </w:tcPr>
          <w:p w14:paraId="38827788" w14:textId="68AF901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032</w:t>
            </w:r>
          </w:p>
        </w:tc>
        <w:tc>
          <w:tcPr>
            <w:tcW w:w="720" w:type="dxa"/>
            <w:vAlign w:val="bottom"/>
          </w:tcPr>
          <w:p w14:paraId="00307533" w14:textId="74B2D9F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376</w:t>
            </w:r>
          </w:p>
        </w:tc>
        <w:tc>
          <w:tcPr>
            <w:tcW w:w="720" w:type="dxa"/>
            <w:vAlign w:val="bottom"/>
          </w:tcPr>
          <w:p w14:paraId="5E0CE25E" w14:textId="73ACA86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959</w:t>
            </w:r>
          </w:p>
        </w:tc>
        <w:tc>
          <w:tcPr>
            <w:tcW w:w="720" w:type="dxa"/>
            <w:vAlign w:val="bottom"/>
          </w:tcPr>
          <w:p w14:paraId="2F551CDF" w14:textId="6B5B001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318</w:t>
            </w:r>
          </w:p>
        </w:tc>
        <w:tc>
          <w:tcPr>
            <w:tcW w:w="720" w:type="dxa"/>
            <w:vAlign w:val="bottom"/>
          </w:tcPr>
          <w:p w14:paraId="6F416E60" w14:textId="59EDD01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675</w:t>
            </w:r>
          </w:p>
        </w:tc>
        <w:tc>
          <w:tcPr>
            <w:tcW w:w="222" w:type="dxa"/>
            <w:vMerge/>
          </w:tcPr>
          <w:p w14:paraId="3C345123"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3E1973B9" w14:textId="5418AA3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035</w:t>
            </w:r>
          </w:p>
        </w:tc>
        <w:tc>
          <w:tcPr>
            <w:tcW w:w="847" w:type="dxa"/>
            <w:vAlign w:val="bottom"/>
          </w:tcPr>
          <w:p w14:paraId="71794909" w14:textId="497AE7B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388</w:t>
            </w:r>
          </w:p>
        </w:tc>
        <w:tc>
          <w:tcPr>
            <w:tcW w:w="848" w:type="dxa"/>
            <w:vAlign w:val="bottom"/>
          </w:tcPr>
          <w:p w14:paraId="54F3CD63" w14:textId="38881B3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977</w:t>
            </w:r>
          </w:p>
        </w:tc>
        <w:tc>
          <w:tcPr>
            <w:tcW w:w="848" w:type="dxa"/>
            <w:vAlign w:val="bottom"/>
          </w:tcPr>
          <w:p w14:paraId="281B3731" w14:textId="148AD4C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342</w:t>
            </w:r>
          </w:p>
        </w:tc>
        <w:tc>
          <w:tcPr>
            <w:tcW w:w="848" w:type="dxa"/>
            <w:vAlign w:val="bottom"/>
          </w:tcPr>
          <w:p w14:paraId="37211FAE" w14:textId="3CC9F07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711</w:t>
            </w:r>
          </w:p>
        </w:tc>
      </w:tr>
      <w:tr w:rsidR="00435540" w:rsidRPr="00D35659" w14:paraId="0E9076A4" w14:textId="77777777" w:rsidTr="003A799A">
        <w:tc>
          <w:tcPr>
            <w:tcW w:w="1002" w:type="dxa"/>
          </w:tcPr>
          <w:p w14:paraId="199C1E8F"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 cm</w:t>
            </w:r>
          </w:p>
        </w:tc>
        <w:tc>
          <w:tcPr>
            <w:tcW w:w="720" w:type="dxa"/>
            <w:vAlign w:val="bottom"/>
          </w:tcPr>
          <w:p w14:paraId="154D07BA" w14:textId="0143954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035</w:t>
            </w:r>
          </w:p>
        </w:tc>
        <w:tc>
          <w:tcPr>
            <w:tcW w:w="720" w:type="dxa"/>
            <w:vAlign w:val="bottom"/>
          </w:tcPr>
          <w:p w14:paraId="472E31C1" w14:textId="04BE48C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389</w:t>
            </w:r>
          </w:p>
        </w:tc>
        <w:tc>
          <w:tcPr>
            <w:tcW w:w="720" w:type="dxa"/>
            <w:vAlign w:val="bottom"/>
          </w:tcPr>
          <w:p w14:paraId="52378205" w14:textId="41CBD75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977</w:t>
            </w:r>
          </w:p>
        </w:tc>
        <w:tc>
          <w:tcPr>
            <w:tcW w:w="720" w:type="dxa"/>
            <w:vAlign w:val="bottom"/>
          </w:tcPr>
          <w:p w14:paraId="3683C98A" w14:textId="653D270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343</w:t>
            </w:r>
          </w:p>
        </w:tc>
        <w:tc>
          <w:tcPr>
            <w:tcW w:w="720" w:type="dxa"/>
            <w:vAlign w:val="bottom"/>
          </w:tcPr>
          <w:p w14:paraId="78D79729" w14:textId="4BA1EFE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712</w:t>
            </w:r>
          </w:p>
        </w:tc>
        <w:tc>
          <w:tcPr>
            <w:tcW w:w="222" w:type="dxa"/>
            <w:vMerge/>
          </w:tcPr>
          <w:p w14:paraId="01CEEC8B"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7A5552A8" w14:textId="4CA60CB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037</w:t>
            </w:r>
          </w:p>
        </w:tc>
        <w:tc>
          <w:tcPr>
            <w:tcW w:w="847" w:type="dxa"/>
            <w:vAlign w:val="bottom"/>
          </w:tcPr>
          <w:p w14:paraId="3650DFC9" w14:textId="3F485B6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402</w:t>
            </w:r>
          </w:p>
        </w:tc>
        <w:tc>
          <w:tcPr>
            <w:tcW w:w="848" w:type="dxa"/>
            <w:vAlign w:val="bottom"/>
          </w:tcPr>
          <w:p w14:paraId="57A5EA06" w14:textId="3D78AD1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996</w:t>
            </w:r>
          </w:p>
        </w:tc>
        <w:tc>
          <w:tcPr>
            <w:tcW w:w="848" w:type="dxa"/>
            <w:vAlign w:val="bottom"/>
          </w:tcPr>
          <w:p w14:paraId="130FD760" w14:textId="2679172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367</w:t>
            </w:r>
          </w:p>
        </w:tc>
        <w:tc>
          <w:tcPr>
            <w:tcW w:w="848" w:type="dxa"/>
            <w:vAlign w:val="bottom"/>
          </w:tcPr>
          <w:p w14:paraId="61C646A1" w14:textId="20BBA87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750</w:t>
            </w:r>
          </w:p>
        </w:tc>
      </w:tr>
      <w:tr w:rsidR="00435540" w:rsidRPr="00D35659" w14:paraId="7188979E" w14:textId="77777777" w:rsidTr="003A799A">
        <w:tc>
          <w:tcPr>
            <w:tcW w:w="1002" w:type="dxa"/>
          </w:tcPr>
          <w:p w14:paraId="5724377C"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8 cm</w:t>
            </w:r>
          </w:p>
        </w:tc>
        <w:tc>
          <w:tcPr>
            <w:tcW w:w="720" w:type="dxa"/>
            <w:vAlign w:val="bottom"/>
          </w:tcPr>
          <w:p w14:paraId="23717BF2" w14:textId="36A2F04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037</w:t>
            </w:r>
          </w:p>
        </w:tc>
        <w:tc>
          <w:tcPr>
            <w:tcW w:w="720" w:type="dxa"/>
            <w:vAlign w:val="bottom"/>
          </w:tcPr>
          <w:p w14:paraId="53ACBBF8" w14:textId="12424C1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401</w:t>
            </w:r>
          </w:p>
        </w:tc>
        <w:tc>
          <w:tcPr>
            <w:tcW w:w="720" w:type="dxa"/>
            <w:vAlign w:val="bottom"/>
          </w:tcPr>
          <w:p w14:paraId="24B3F6C2" w14:textId="7EFD905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995</w:t>
            </w:r>
          </w:p>
        </w:tc>
        <w:tc>
          <w:tcPr>
            <w:tcW w:w="720" w:type="dxa"/>
            <w:vAlign w:val="bottom"/>
          </w:tcPr>
          <w:p w14:paraId="270E25E7" w14:textId="32D73EC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366</w:t>
            </w:r>
          </w:p>
        </w:tc>
        <w:tc>
          <w:tcPr>
            <w:tcW w:w="720" w:type="dxa"/>
            <w:vAlign w:val="bottom"/>
          </w:tcPr>
          <w:p w14:paraId="64D0D5F3" w14:textId="7EC789A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747</w:t>
            </w:r>
          </w:p>
        </w:tc>
        <w:tc>
          <w:tcPr>
            <w:tcW w:w="222" w:type="dxa"/>
            <w:vMerge/>
          </w:tcPr>
          <w:p w14:paraId="3AACAC9C"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0D66B4A4" w14:textId="40E58A0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040</w:t>
            </w:r>
          </w:p>
        </w:tc>
        <w:tc>
          <w:tcPr>
            <w:tcW w:w="847" w:type="dxa"/>
            <w:vAlign w:val="bottom"/>
          </w:tcPr>
          <w:p w14:paraId="382CB47F" w14:textId="7C5447A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414</w:t>
            </w:r>
          </w:p>
        </w:tc>
        <w:tc>
          <w:tcPr>
            <w:tcW w:w="848" w:type="dxa"/>
            <w:vAlign w:val="bottom"/>
          </w:tcPr>
          <w:p w14:paraId="26153977" w14:textId="54801DC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015</w:t>
            </w:r>
          </w:p>
        </w:tc>
        <w:tc>
          <w:tcPr>
            <w:tcW w:w="848" w:type="dxa"/>
            <w:vAlign w:val="bottom"/>
          </w:tcPr>
          <w:p w14:paraId="174A4F18" w14:textId="7904AC0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391</w:t>
            </w:r>
          </w:p>
        </w:tc>
        <w:tc>
          <w:tcPr>
            <w:tcW w:w="848" w:type="dxa"/>
            <w:vAlign w:val="bottom"/>
          </w:tcPr>
          <w:p w14:paraId="18C8FC6D" w14:textId="6B41073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786</w:t>
            </w:r>
          </w:p>
        </w:tc>
      </w:tr>
    </w:tbl>
    <w:p w14:paraId="202D872E"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 xml:space="preserve">The 75% confidence intervals of the expected damage ratios (%) and their </w:t>
      </w: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hAnsi="Times New Roman" w:cs="Times New Roman"/>
          <w:lang w:val="en-US"/>
        </w:rPr>
        <w:t>, 25</w:t>
      </w:r>
      <w:r w:rsidRPr="00D35659">
        <w:rPr>
          <w:rFonts w:ascii="Times New Roman" w:hAnsi="Times New Roman" w:cs="Times New Roman"/>
          <w:vertAlign w:val="superscript"/>
          <w:lang w:val="en-US"/>
        </w:rPr>
        <w:t>th</w:t>
      </w:r>
      <w:r w:rsidRPr="00D35659">
        <w:rPr>
          <w:rFonts w:ascii="Times New Roman" w:hAnsi="Times New Roman" w:cs="Times New Roman"/>
          <w:lang w:val="en-US"/>
        </w:rPr>
        <w:t>, 75</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and 99</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quantiles.</w:t>
      </w:r>
    </w:p>
    <w:p w14:paraId="0DA7B014" w14:textId="77777777" w:rsidR="00435540" w:rsidRPr="00D35659" w:rsidRDefault="00435540" w:rsidP="00435540">
      <w:pPr>
        <w:spacing w:after="0"/>
        <w:rPr>
          <w:rFonts w:ascii="Times New Roman" w:hAnsi="Times New Roman" w:cs="Times New Roman"/>
          <w:lang w:val="en-US"/>
        </w:rPr>
      </w:pPr>
    </w:p>
    <w:p w14:paraId="751AA3DD"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Table S11</w:t>
      </w:r>
    </w:p>
    <w:tbl>
      <w:tblPr>
        <w:tblStyle w:val="Tabelraster"/>
        <w:tblW w:w="0" w:type="auto"/>
        <w:tblLook w:val="04A0" w:firstRow="1" w:lastRow="0" w:firstColumn="1" w:lastColumn="0" w:noHBand="0" w:noVBand="1"/>
      </w:tblPr>
      <w:tblGrid>
        <w:gridCol w:w="858"/>
        <w:gridCol w:w="750"/>
        <w:gridCol w:w="796"/>
        <w:gridCol w:w="859"/>
        <w:gridCol w:w="796"/>
        <w:gridCol w:w="797"/>
        <w:gridCol w:w="604"/>
        <w:gridCol w:w="720"/>
        <w:gridCol w:w="720"/>
        <w:gridCol w:w="720"/>
        <w:gridCol w:w="720"/>
        <w:gridCol w:w="720"/>
      </w:tblGrid>
      <w:tr w:rsidR="00435540" w:rsidRPr="00D35659" w14:paraId="2E108306" w14:textId="77777777" w:rsidTr="003A799A">
        <w:tc>
          <w:tcPr>
            <w:tcW w:w="859" w:type="dxa"/>
          </w:tcPr>
          <w:p w14:paraId="1A0D42C2"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Wind gust speed</w:t>
            </w:r>
          </w:p>
        </w:tc>
        <w:tc>
          <w:tcPr>
            <w:tcW w:w="750" w:type="dxa"/>
          </w:tcPr>
          <w:p w14:paraId="09C6CE7E"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2AEC6C3A" w14:textId="77777777" w:rsidR="00435540" w:rsidRPr="00D35659" w:rsidRDefault="00435540" w:rsidP="003A799A">
            <w:pPr>
              <w:rPr>
                <w:rFonts w:ascii="Times New Roman" w:eastAsiaTheme="minorEastAsia" w:hAnsi="Times New Roman" w:cs="Times New Roman"/>
                <w:lang w:val="en-US"/>
              </w:rPr>
            </w:pPr>
          </w:p>
        </w:tc>
        <w:tc>
          <w:tcPr>
            <w:tcW w:w="796" w:type="dxa"/>
          </w:tcPr>
          <w:p w14:paraId="4B00A63E"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859" w:type="dxa"/>
          </w:tcPr>
          <w:p w14:paraId="72F662B3"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99% lower CI</w:t>
            </w:r>
          </w:p>
        </w:tc>
        <w:tc>
          <w:tcPr>
            <w:tcW w:w="796" w:type="dxa"/>
          </w:tcPr>
          <w:p w14:paraId="7135667C"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28A98DD2" w14:textId="77777777" w:rsidR="00435540" w:rsidRPr="00D35659" w:rsidRDefault="00435540" w:rsidP="003A799A">
            <w:pPr>
              <w:rPr>
                <w:rFonts w:ascii="Times New Roman" w:eastAsiaTheme="minorEastAsia" w:hAnsi="Times New Roman" w:cs="Times New Roman"/>
                <w:lang w:val="en-US"/>
              </w:rPr>
            </w:pPr>
          </w:p>
        </w:tc>
        <w:tc>
          <w:tcPr>
            <w:tcW w:w="797" w:type="dxa"/>
          </w:tcPr>
          <w:p w14:paraId="0BB284FD"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605" w:type="dxa"/>
            <w:vMerge w:val="restart"/>
          </w:tcPr>
          <w:p w14:paraId="5AA48D43" w14:textId="77777777" w:rsidR="00435540" w:rsidRPr="00D35659" w:rsidRDefault="00435540" w:rsidP="003A799A">
            <w:pPr>
              <w:rPr>
                <w:rFonts w:ascii="Times New Roman" w:eastAsiaTheme="minorEastAsia" w:hAnsi="Times New Roman" w:cs="Times New Roman"/>
                <w:lang w:val="en-US"/>
              </w:rPr>
            </w:pPr>
          </w:p>
        </w:tc>
        <w:tc>
          <w:tcPr>
            <w:tcW w:w="720" w:type="dxa"/>
          </w:tcPr>
          <w:p w14:paraId="75CC3BBF"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371D0A9E" w14:textId="77777777" w:rsidR="00435540" w:rsidRPr="00D35659" w:rsidRDefault="00435540" w:rsidP="003A799A">
            <w:pPr>
              <w:rPr>
                <w:rFonts w:ascii="Times New Roman" w:eastAsiaTheme="minorEastAsia" w:hAnsi="Times New Roman" w:cs="Times New Roman"/>
                <w:lang w:val="en-US"/>
              </w:rPr>
            </w:pPr>
          </w:p>
        </w:tc>
        <w:tc>
          <w:tcPr>
            <w:tcW w:w="720" w:type="dxa"/>
          </w:tcPr>
          <w:p w14:paraId="702D2F8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720" w:type="dxa"/>
          </w:tcPr>
          <w:p w14:paraId="10854FF9"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99% upper CI</w:t>
            </w:r>
          </w:p>
        </w:tc>
        <w:tc>
          <w:tcPr>
            <w:tcW w:w="720" w:type="dxa"/>
          </w:tcPr>
          <w:p w14:paraId="6559B5BB"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3D9DC291" w14:textId="77777777" w:rsidR="00435540" w:rsidRPr="00D35659" w:rsidRDefault="00435540" w:rsidP="003A799A">
            <w:pPr>
              <w:rPr>
                <w:rFonts w:ascii="Times New Roman" w:eastAsiaTheme="minorEastAsia" w:hAnsi="Times New Roman" w:cs="Times New Roman"/>
                <w:lang w:val="en-US"/>
              </w:rPr>
            </w:pPr>
          </w:p>
        </w:tc>
        <w:tc>
          <w:tcPr>
            <w:tcW w:w="720" w:type="dxa"/>
          </w:tcPr>
          <w:p w14:paraId="683E0346"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r>
      <w:tr w:rsidR="00435540" w:rsidRPr="00D35659" w14:paraId="1E9F991F" w14:textId="77777777" w:rsidTr="003A799A">
        <w:tc>
          <w:tcPr>
            <w:tcW w:w="859" w:type="dxa"/>
          </w:tcPr>
          <w:p w14:paraId="4A7F5AEA"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0 cm</w:t>
            </w:r>
          </w:p>
        </w:tc>
        <w:tc>
          <w:tcPr>
            <w:tcW w:w="750" w:type="dxa"/>
            <w:vAlign w:val="bottom"/>
          </w:tcPr>
          <w:p w14:paraId="12CFA5C4" w14:textId="72DB0F0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011</w:t>
            </w:r>
          </w:p>
        </w:tc>
        <w:tc>
          <w:tcPr>
            <w:tcW w:w="796" w:type="dxa"/>
            <w:vAlign w:val="bottom"/>
          </w:tcPr>
          <w:p w14:paraId="4317131D" w14:textId="1205BF7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236</w:t>
            </w:r>
          </w:p>
        </w:tc>
        <w:tc>
          <w:tcPr>
            <w:tcW w:w="859" w:type="dxa"/>
            <w:vAlign w:val="bottom"/>
          </w:tcPr>
          <w:p w14:paraId="6745213D" w14:textId="11355BB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741</w:t>
            </w:r>
          </w:p>
        </w:tc>
        <w:tc>
          <w:tcPr>
            <w:tcW w:w="796" w:type="dxa"/>
            <w:vAlign w:val="bottom"/>
          </w:tcPr>
          <w:p w14:paraId="62191BF7" w14:textId="592ABCD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028</w:t>
            </w:r>
          </w:p>
        </w:tc>
        <w:tc>
          <w:tcPr>
            <w:tcW w:w="797" w:type="dxa"/>
            <w:vAlign w:val="bottom"/>
          </w:tcPr>
          <w:p w14:paraId="7852C7C4" w14:textId="7263895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222</w:t>
            </w:r>
          </w:p>
        </w:tc>
        <w:tc>
          <w:tcPr>
            <w:tcW w:w="605" w:type="dxa"/>
            <w:vMerge/>
          </w:tcPr>
          <w:p w14:paraId="1AC69FC5"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50EBFBE4" w14:textId="6134F7C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013</w:t>
            </w:r>
          </w:p>
        </w:tc>
        <w:tc>
          <w:tcPr>
            <w:tcW w:w="720" w:type="dxa"/>
            <w:vAlign w:val="bottom"/>
          </w:tcPr>
          <w:p w14:paraId="082B43EE" w14:textId="6910174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257</w:t>
            </w:r>
          </w:p>
        </w:tc>
        <w:tc>
          <w:tcPr>
            <w:tcW w:w="720" w:type="dxa"/>
            <w:vAlign w:val="bottom"/>
          </w:tcPr>
          <w:p w14:paraId="7ED9BCBA" w14:textId="1D4515F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775</w:t>
            </w:r>
          </w:p>
        </w:tc>
        <w:tc>
          <w:tcPr>
            <w:tcW w:w="720" w:type="dxa"/>
            <w:vAlign w:val="bottom"/>
          </w:tcPr>
          <w:p w14:paraId="022A1F6A" w14:textId="11CB1CA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074</w:t>
            </w:r>
          </w:p>
        </w:tc>
        <w:tc>
          <w:tcPr>
            <w:tcW w:w="720" w:type="dxa"/>
            <w:vAlign w:val="bottom"/>
          </w:tcPr>
          <w:p w14:paraId="2503D218" w14:textId="47B4949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295</w:t>
            </w:r>
          </w:p>
        </w:tc>
      </w:tr>
      <w:tr w:rsidR="00435540" w:rsidRPr="00D35659" w14:paraId="1808D302" w14:textId="77777777" w:rsidTr="003A799A">
        <w:tc>
          <w:tcPr>
            <w:tcW w:w="859" w:type="dxa"/>
          </w:tcPr>
          <w:p w14:paraId="6BC1FFCB"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 cm</w:t>
            </w:r>
          </w:p>
        </w:tc>
        <w:tc>
          <w:tcPr>
            <w:tcW w:w="750" w:type="dxa"/>
            <w:vAlign w:val="bottom"/>
          </w:tcPr>
          <w:p w14:paraId="0C7EFE2B" w14:textId="1D4B0FF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017</w:t>
            </w:r>
          </w:p>
        </w:tc>
        <w:tc>
          <w:tcPr>
            <w:tcW w:w="796" w:type="dxa"/>
            <w:vAlign w:val="bottom"/>
          </w:tcPr>
          <w:p w14:paraId="7EE96EFD" w14:textId="76F7147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286</w:t>
            </w:r>
          </w:p>
        </w:tc>
        <w:tc>
          <w:tcPr>
            <w:tcW w:w="859" w:type="dxa"/>
            <w:vAlign w:val="bottom"/>
          </w:tcPr>
          <w:p w14:paraId="5C53E907" w14:textId="2380DE6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822</w:t>
            </w:r>
          </w:p>
        </w:tc>
        <w:tc>
          <w:tcPr>
            <w:tcW w:w="796" w:type="dxa"/>
            <w:vAlign w:val="bottom"/>
          </w:tcPr>
          <w:p w14:paraId="1A1F9AF8" w14:textId="29D1E11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137</w:t>
            </w:r>
          </w:p>
        </w:tc>
        <w:tc>
          <w:tcPr>
            <w:tcW w:w="797" w:type="dxa"/>
            <w:vAlign w:val="bottom"/>
          </w:tcPr>
          <w:p w14:paraId="4988E560" w14:textId="567E178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394</w:t>
            </w:r>
          </w:p>
        </w:tc>
        <w:tc>
          <w:tcPr>
            <w:tcW w:w="605" w:type="dxa"/>
            <w:vMerge/>
          </w:tcPr>
          <w:p w14:paraId="23D46014"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2576AEB1" w14:textId="2DB2524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020</w:t>
            </w:r>
          </w:p>
        </w:tc>
        <w:tc>
          <w:tcPr>
            <w:tcW w:w="720" w:type="dxa"/>
            <w:vAlign w:val="bottom"/>
          </w:tcPr>
          <w:p w14:paraId="55188475" w14:textId="5172A11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307</w:t>
            </w:r>
          </w:p>
        </w:tc>
        <w:tc>
          <w:tcPr>
            <w:tcW w:w="720" w:type="dxa"/>
            <w:vAlign w:val="bottom"/>
          </w:tcPr>
          <w:p w14:paraId="289E5346" w14:textId="69B8785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854</w:t>
            </w:r>
          </w:p>
        </w:tc>
        <w:tc>
          <w:tcPr>
            <w:tcW w:w="720" w:type="dxa"/>
            <w:vAlign w:val="bottom"/>
          </w:tcPr>
          <w:p w14:paraId="5CED64F1" w14:textId="308FE7C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179</w:t>
            </w:r>
          </w:p>
        </w:tc>
        <w:tc>
          <w:tcPr>
            <w:tcW w:w="720" w:type="dxa"/>
            <w:vAlign w:val="bottom"/>
          </w:tcPr>
          <w:p w14:paraId="1A465A74" w14:textId="2B8D1BC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461</w:t>
            </w:r>
          </w:p>
        </w:tc>
      </w:tr>
      <w:tr w:rsidR="00435540" w:rsidRPr="00D35659" w14:paraId="5018487D" w14:textId="77777777" w:rsidTr="003A799A">
        <w:tc>
          <w:tcPr>
            <w:tcW w:w="859" w:type="dxa"/>
          </w:tcPr>
          <w:p w14:paraId="2593B66A"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 cm</w:t>
            </w:r>
          </w:p>
        </w:tc>
        <w:tc>
          <w:tcPr>
            <w:tcW w:w="750" w:type="dxa"/>
            <w:vAlign w:val="bottom"/>
          </w:tcPr>
          <w:p w14:paraId="2EC9CD50" w14:textId="7415D9F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021</w:t>
            </w:r>
          </w:p>
        </w:tc>
        <w:tc>
          <w:tcPr>
            <w:tcW w:w="796" w:type="dxa"/>
            <w:vAlign w:val="bottom"/>
          </w:tcPr>
          <w:p w14:paraId="0ED63083" w14:textId="098B2BF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308</w:t>
            </w:r>
          </w:p>
        </w:tc>
        <w:tc>
          <w:tcPr>
            <w:tcW w:w="859" w:type="dxa"/>
            <w:vAlign w:val="bottom"/>
          </w:tcPr>
          <w:p w14:paraId="4A0FB8C7" w14:textId="0692764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857</w:t>
            </w:r>
          </w:p>
        </w:tc>
        <w:tc>
          <w:tcPr>
            <w:tcW w:w="796" w:type="dxa"/>
            <w:vAlign w:val="bottom"/>
          </w:tcPr>
          <w:p w14:paraId="5830840E" w14:textId="1A1462C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183</w:t>
            </w:r>
          </w:p>
        </w:tc>
        <w:tc>
          <w:tcPr>
            <w:tcW w:w="797" w:type="dxa"/>
            <w:vAlign w:val="bottom"/>
          </w:tcPr>
          <w:p w14:paraId="5846FE27" w14:textId="0ED83C9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467</w:t>
            </w:r>
          </w:p>
        </w:tc>
        <w:tc>
          <w:tcPr>
            <w:tcW w:w="605" w:type="dxa"/>
            <w:vMerge/>
          </w:tcPr>
          <w:p w14:paraId="3690FBAE"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7314100F" w14:textId="56A548C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024</w:t>
            </w:r>
          </w:p>
        </w:tc>
        <w:tc>
          <w:tcPr>
            <w:tcW w:w="720" w:type="dxa"/>
            <w:vAlign w:val="bottom"/>
          </w:tcPr>
          <w:p w14:paraId="63B90516" w14:textId="47474B4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330</w:t>
            </w:r>
          </w:p>
        </w:tc>
        <w:tc>
          <w:tcPr>
            <w:tcW w:w="720" w:type="dxa"/>
            <w:vAlign w:val="bottom"/>
          </w:tcPr>
          <w:p w14:paraId="4C04FDB9" w14:textId="1068EBA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889</w:t>
            </w:r>
          </w:p>
        </w:tc>
        <w:tc>
          <w:tcPr>
            <w:tcW w:w="720" w:type="dxa"/>
            <w:vAlign w:val="bottom"/>
          </w:tcPr>
          <w:p w14:paraId="76868F26" w14:textId="3799DEC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227</w:t>
            </w:r>
          </w:p>
        </w:tc>
        <w:tc>
          <w:tcPr>
            <w:tcW w:w="720" w:type="dxa"/>
            <w:vAlign w:val="bottom"/>
          </w:tcPr>
          <w:p w14:paraId="232EA90E" w14:textId="5844D91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534</w:t>
            </w:r>
          </w:p>
        </w:tc>
      </w:tr>
      <w:tr w:rsidR="00435540" w:rsidRPr="00D35659" w14:paraId="321B3F73" w14:textId="77777777" w:rsidTr="003A799A">
        <w:tc>
          <w:tcPr>
            <w:tcW w:w="859" w:type="dxa"/>
          </w:tcPr>
          <w:p w14:paraId="4EA1CB69"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3 cm</w:t>
            </w:r>
          </w:p>
        </w:tc>
        <w:tc>
          <w:tcPr>
            <w:tcW w:w="750" w:type="dxa"/>
            <w:vAlign w:val="bottom"/>
          </w:tcPr>
          <w:p w14:paraId="3005597B" w14:textId="59706CB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023</w:t>
            </w:r>
          </w:p>
        </w:tc>
        <w:tc>
          <w:tcPr>
            <w:tcW w:w="796" w:type="dxa"/>
            <w:vAlign w:val="bottom"/>
          </w:tcPr>
          <w:p w14:paraId="58469175" w14:textId="63EE190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326</w:t>
            </w:r>
          </w:p>
        </w:tc>
        <w:tc>
          <w:tcPr>
            <w:tcW w:w="859" w:type="dxa"/>
            <w:vAlign w:val="bottom"/>
          </w:tcPr>
          <w:p w14:paraId="2647242D" w14:textId="785BEDD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884</w:t>
            </w:r>
          </w:p>
        </w:tc>
        <w:tc>
          <w:tcPr>
            <w:tcW w:w="796" w:type="dxa"/>
            <w:vAlign w:val="bottom"/>
          </w:tcPr>
          <w:p w14:paraId="124390B1" w14:textId="449F478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220</w:t>
            </w:r>
          </w:p>
        </w:tc>
        <w:tc>
          <w:tcPr>
            <w:tcW w:w="797" w:type="dxa"/>
            <w:vAlign w:val="bottom"/>
          </w:tcPr>
          <w:p w14:paraId="45128E92" w14:textId="7E0D27C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523</w:t>
            </w:r>
          </w:p>
        </w:tc>
        <w:tc>
          <w:tcPr>
            <w:tcW w:w="605" w:type="dxa"/>
            <w:vMerge/>
          </w:tcPr>
          <w:p w14:paraId="73F460AF"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012E1E20" w14:textId="19861F1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027</w:t>
            </w:r>
          </w:p>
        </w:tc>
        <w:tc>
          <w:tcPr>
            <w:tcW w:w="720" w:type="dxa"/>
            <w:vAlign w:val="bottom"/>
          </w:tcPr>
          <w:p w14:paraId="6146718A" w14:textId="77DB84C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349</w:t>
            </w:r>
          </w:p>
        </w:tc>
        <w:tc>
          <w:tcPr>
            <w:tcW w:w="720" w:type="dxa"/>
            <w:vAlign w:val="bottom"/>
          </w:tcPr>
          <w:p w14:paraId="667E92A6" w14:textId="696CC57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918</w:t>
            </w:r>
          </w:p>
        </w:tc>
        <w:tc>
          <w:tcPr>
            <w:tcW w:w="720" w:type="dxa"/>
            <w:vAlign w:val="bottom"/>
          </w:tcPr>
          <w:p w14:paraId="20CCD59B" w14:textId="3C5E7C8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265</w:t>
            </w:r>
          </w:p>
        </w:tc>
        <w:tc>
          <w:tcPr>
            <w:tcW w:w="720" w:type="dxa"/>
            <w:vAlign w:val="bottom"/>
          </w:tcPr>
          <w:p w14:paraId="6D2B52FA" w14:textId="0493F89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593</w:t>
            </w:r>
          </w:p>
        </w:tc>
      </w:tr>
      <w:tr w:rsidR="00435540" w:rsidRPr="00D35659" w14:paraId="4BA457A7" w14:textId="77777777" w:rsidTr="003A799A">
        <w:tc>
          <w:tcPr>
            <w:tcW w:w="859" w:type="dxa"/>
          </w:tcPr>
          <w:p w14:paraId="5A5DF7B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4 cm</w:t>
            </w:r>
          </w:p>
        </w:tc>
        <w:tc>
          <w:tcPr>
            <w:tcW w:w="750" w:type="dxa"/>
            <w:vAlign w:val="bottom"/>
          </w:tcPr>
          <w:p w14:paraId="61F5189F" w14:textId="109C0DD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026</w:t>
            </w:r>
          </w:p>
        </w:tc>
        <w:tc>
          <w:tcPr>
            <w:tcW w:w="796" w:type="dxa"/>
            <w:vAlign w:val="bottom"/>
          </w:tcPr>
          <w:p w14:paraId="12BE703E" w14:textId="370339E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342</w:t>
            </w:r>
          </w:p>
        </w:tc>
        <w:tc>
          <w:tcPr>
            <w:tcW w:w="859" w:type="dxa"/>
            <w:vAlign w:val="bottom"/>
          </w:tcPr>
          <w:p w14:paraId="2EE4C441" w14:textId="24AB523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908</w:t>
            </w:r>
          </w:p>
        </w:tc>
        <w:tc>
          <w:tcPr>
            <w:tcW w:w="796" w:type="dxa"/>
            <w:vAlign w:val="bottom"/>
          </w:tcPr>
          <w:p w14:paraId="1949C144" w14:textId="28F3E35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251</w:t>
            </w:r>
          </w:p>
        </w:tc>
        <w:tc>
          <w:tcPr>
            <w:tcW w:w="797" w:type="dxa"/>
            <w:vAlign w:val="bottom"/>
          </w:tcPr>
          <w:p w14:paraId="3D880467" w14:textId="0C8BA46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572</w:t>
            </w:r>
          </w:p>
        </w:tc>
        <w:tc>
          <w:tcPr>
            <w:tcW w:w="605" w:type="dxa"/>
            <w:vMerge/>
          </w:tcPr>
          <w:p w14:paraId="261DADD3"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5BA2394A" w14:textId="66A5830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030</w:t>
            </w:r>
          </w:p>
        </w:tc>
        <w:tc>
          <w:tcPr>
            <w:tcW w:w="720" w:type="dxa"/>
            <w:vAlign w:val="bottom"/>
          </w:tcPr>
          <w:p w14:paraId="797CAA37" w14:textId="7D76EC2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366</w:t>
            </w:r>
          </w:p>
        </w:tc>
        <w:tc>
          <w:tcPr>
            <w:tcW w:w="720" w:type="dxa"/>
            <w:vAlign w:val="bottom"/>
          </w:tcPr>
          <w:p w14:paraId="3E9AF41F" w14:textId="3863F4F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943</w:t>
            </w:r>
          </w:p>
        </w:tc>
        <w:tc>
          <w:tcPr>
            <w:tcW w:w="720" w:type="dxa"/>
            <w:vAlign w:val="bottom"/>
          </w:tcPr>
          <w:p w14:paraId="599411B7" w14:textId="01CEE2A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298</w:t>
            </w:r>
          </w:p>
        </w:tc>
        <w:tc>
          <w:tcPr>
            <w:tcW w:w="720" w:type="dxa"/>
            <w:vAlign w:val="bottom"/>
          </w:tcPr>
          <w:p w14:paraId="20788C1F" w14:textId="587B57C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644</w:t>
            </w:r>
          </w:p>
        </w:tc>
      </w:tr>
      <w:tr w:rsidR="00435540" w:rsidRPr="00D35659" w14:paraId="70A86F62" w14:textId="77777777" w:rsidTr="003A799A">
        <w:tc>
          <w:tcPr>
            <w:tcW w:w="859" w:type="dxa"/>
          </w:tcPr>
          <w:p w14:paraId="7AC38C1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5 cm</w:t>
            </w:r>
          </w:p>
        </w:tc>
        <w:tc>
          <w:tcPr>
            <w:tcW w:w="750" w:type="dxa"/>
            <w:vAlign w:val="bottom"/>
          </w:tcPr>
          <w:p w14:paraId="3AE13F51" w14:textId="67962F1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028</w:t>
            </w:r>
          </w:p>
        </w:tc>
        <w:tc>
          <w:tcPr>
            <w:tcW w:w="796" w:type="dxa"/>
            <w:vAlign w:val="bottom"/>
          </w:tcPr>
          <w:p w14:paraId="6E46E9DA" w14:textId="2189D6F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356</w:t>
            </w:r>
          </w:p>
        </w:tc>
        <w:tc>
          <w:tcPr>
            <w:tcW w:w="859" w:type="dxa"/>
            <w:vAlign w:val="bottom"/>
          </w:tcPr>
          <w:p w14:paraId="318651D3" w14:textId="3337211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929</w:t>
            </w:r>
          </w:p>
        </w:tc>
        <w:tc>
          <w:tcPr>
            <w:tcW w:w="796" w:type="dxa"/>
            <w:vAlign w:val="bottom"/>
          </w:tcPr>
          <w:p w14:paraId="08FDC86C" w14:textId="6175714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279</w:t>
            </w:r>
          </w:p>
        </w:tc>
        <w:tc>
          <w:tcPr>
            <w:tcW w:w="797" w:type="dxa"/>
            <w:vAlign w:val="bottom"/>
          </w:tcPr>
          <w:p w14:paraId="0AFE96A1" w14:textId="06EFCCF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614</w:t>
            </w:r>
          </w:p>
        </w:tc>
        <w:tc>
          <w:tcPr>
            <w:tcW w:w="605" w:type="dxa"/>
            <w:vMerge/>
          </w:tcPr>
          <w:p w14:paraId="63E54539"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6D9D9863" w14:textId="17B3F0E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033</w:t>
            </w:r>
          </w:p>
        </w:tc>
        <w:tc>
          <w:tcPr>
            <w:tcW w:w="720" w:type="dxa"/>
            <w:vAlign w:val="bottom"/>
          </w:tcPr>
          <w:p w14:paraId="51EBF165" w14:textId="65D5016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381</w:t>
            </w:r>
          </w:p>
        </w:tc>
        <w:tc>
          <w:tcPr>
            <w:tcW w:w="720" w:type="dxa"/>
            <w:vAlign w:val="bottom"/>
          </w:tcPr>
          <w:p w14:paraId="63988B07" w14:textId="3D03098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966</w:t>
            </w:r>
          </w:p>
        </w:tc>
        <w:tc>
          <w:tcPr>
            <w:tcW w:w="720" w:type="dxa"/>
            <w:vAlign w:val="bottom"/>
          </w:tcPr>
          <w:p w14:paraId="6E1A757D" w14:textId="124D1BC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328</w:t>
            </w:r>
          </w:p>
        </w:tc>
        <w:tc>
          <w:tcPr>
            <w:tcW w:w="720" w:type="dxa"/>
            <w:vAlign w:val="bottom"/>
          </w:tcPr>
          <w:p w14:paraId="081A3679" w14:textId="40D58A8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690</w:t>
            </w:r>
          </w:p>
        </w:tc>
      </w:tr>
      <w:tr w:rsidR="00435540" w:rsidRPr="00D35659" w14:paraId="4487C2CD" w14:textId="77777777" w:rsidTr="003A799A">
        <w:tc>
          <w:tcPr>
            <w:tcW w:w="859" w:type="dxa"/>
          </w:tcPr>
          <w:p w14:paraId="08C601FC"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6 cm</w:t>
            </w:r>
          </w:p>
        </w:tc>
        <w:tc>
          <w:tcPr>
            <w:tcW w:w="750" w:type="dxa"/>
            <w:vAlign w:val="bottom"/>
          </w:tcPr>
          <w:p w14:paraId="2F46CBEF" w14:textId="74B649F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031</w:t>
            </w:r>
          </w:p>
        </w:tc>
        <w:tc>
          <w:tcPr>
            <w:tcW w:w="796" w:type="dxa"/>
            <w:vAlign w:val="bottom"/>
          </w:tcPr>
          <w:p w14:paraId="4A0A49D2" w14:textId="1E97311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369</w:t>
            </w:r>
          </w:p>
        </w:tc>
        <w:tc>
          <w:tcPr>
            <w:tcW w:w="859" w:type="dxa"/>
            <w:vAlign w:val="bottom"/>
          </w:tcPr>
          <w:p w14:paraId="07BEC766" w14:textId="7BF6D67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948</w:t>
            </w:r>
          </w:p>
        </w:tc>
        <w:tc>
          <w:tcPr>
            <w:tcW w:w="796" w:type="dxa"/>
            <w:vAlign w:val="bottom"/>
          </w:tcPr>
          <w:p w14:paraId="3CF439D2" w14:textId="4A29F0E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304</w:t>
            </w:r>
          </w:p>
        </w:tc>
        <w:tc>
          <w:tcPr>
            <w:tcW w:w="797" w:type="dxa"/>
            <w:vAlign w:val="bottom"/>
          </w:tcPr>
          <w:p w14:paraId="005AF5C0" w14:textId="397158F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653</w:t>
            </w:r>
          </w:p>
        </w:tc>
        <w:tc>
          <w:tcPr>
            <w:tcW w:w="605" w:type="dxa"/>
            <w:vMerge/>
          </w:tcPr>
          <w:p w14:paraId="3C926CAA"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585F8C27" w14:textId="41F5B82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036</w:t>
            </w:r>
          </w:p>
        </w:tc>
        <w:tc>
          <w:tcPr>
            <w:tcW w:w="720" w:type="dxa"/>
            <w:vAlign w:val="bottom"/>
          </w:tcPr>
          <w:p w14:paraId="64908696" w14:textId="38B7937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396</w:t>
            </w:r>
          </w:p>
        </w:tc>
        <w:tc>
          <w:tcPr>
            <w:tcW w:w="720" w:type="dxa"/>
            <w:vAlign w:val="bottom"/>
          </w:tcPr>
          <w:p w14:paraId="17882134" w14:textId="2943E64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988</w:t>
            </w:r>
          </w:p>
        </w:tc>
        <w:tc>
          <w:tcPr>
            <w:tcW w:w="720" w:type="dxa"/>
            <w:vAlign w:val="bottom"/>
          </w:tcPr>
          <w:p w14:paraId="5C6E9344" w14:textId="1BEF921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356</w:t>
            </w:r>
          </w:p>
        </w:tc>
        <w:tc>
          <w:tcPr>
            <w:tcW w:w="720" w:type="dxa"/>
            <w:vAlign w:val="bottom"/>
          </w:tcPr>
          <w:p w14:paraId="19148D91" w14:textId="69EB570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733</w:t>
            </w:r>
          </w:p>
        </w:tc>
      </w:tr>
      <w:tr w:rsidR="00435540" w:rsidRPr="00D35659" w14:paraId="202107B2" w14:textId="77777777" w:rsidTr="003A799A">
        <w:tc>
          <w:tcPr>
            <w:tcW w:w="859" w:type="dxa"/>
          </w:tcPr>
          <w:p w14:paraId="2749051F"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 cm</w:t>
            </w:r>
          </w:p>
        </w:tc>
        <w:tc>
          <w:tcPr>
            <w:tcW w:w="750" w:type="dxa"/>
            <w:vAlign w:val="bottom"/>
          </w:tcPr>
          <w:p w14:paraId="37563727" w14:textId="4539696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033</w:t>
            </w:r>
          </w:p>
        </w:tc>
        <w:tc>
          <w:tcPr>
            <w:tcW w:w="796" w:type="dxa"/>
            <w:vAlign w:val="bottom"/>
          </w:tcPr>
          <w:p w14:paraId="018E9230" w14:textId="6097385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381</w:t>
            </w:r>
          </w:p>
        </w:tc>
        <w:tc>
          <w:tcPr>
            <w:tcW w:w="859" w:type="dxa"/>
            <w:vAlign w:val="bottom"/>
          </w:tcPr>
          <w:p w14:paraId="558AE5B2" w14:textId="0AE07D6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966</w:t>
            </w:r>
          </w:p>
        </w:tc>
        <w:tc>
          <w:tcPr>
            <w:tcW w:w="796" w:type="dxa"/>
            <w:vAlign w:val="bottom"/>
          </w:tcPr>
          <w:p w14:paraId="4C9AC896" w14:textId="2EB3373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328</w:t>
            </w:r>
          </w:p>
        </w:tc>
        <w:tc>
          <w:tcPr>
            <w:tcW w:w="797" w:type="dxa"/>
            <w:vAlign w:val="bottom"/>
          </w:tcPr>
          <w:p w14:paraId="690E0F83" w14:textId="6BAC41F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690</w:t>
            </w:r>
          </w:p>
        </w:tc>
        <w:tc>
          <w:tcPr>
            <w:tcW w:w="605" w:type="dxa"/>
            <w:vMerge/>
          </w:tcPr>
          <w:p w14:paraId="5B75F971"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57EF509F" w14:textId="36FCE33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039</w:t>
            </w:r>
          </w:p>
        </w:tc>
        <w:tc>
          <w:tcPr>
            <w:tcW w:w="720" w:type="dxa"/>
            <w:vAlign w:val="bottom"/>
          </w:tcPr>
          <w:p w14:paraId="12F4C52C" w14:textId="47A5A4B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410</w:t>
            </w:r>
          </w:p>
        </w:tc>
        <w:tc>
          <w:tcPr>
            <w:tcW w:w="720" w:type="dxa"/>
            <w:vAlign w:val="bottom"/>
          </w:tcPr>
          <w:p w14:paraId="533CE18E" w14:textId="4CDB07B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008</w:t>
            </w:r>
          </w:p>
        </w:tc>
        <w:tc>
          <w:tcPr>
            <w:tcW w:w="720" w:type="dxa"/>
            <w:vAlign w:val="bottom"/>
          </w:tcPr>
          <w:p w14:paraId="61A5E3BE" w14:textId="6711CD4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382</w:t>
            </w:r>
          </w:p>
        </w:tc>
        <w:tc>
          <w:tcPr>
            <w:tcW w:w="720" w:type="dxa"/>
            <w:vAlign w:val="bottom"/>
          </w:tcPr>
          <w:p w14:paraId="341EE417" w14:textId="16E47F8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773</w:t>
            </w:r>
          </w:p>
        </w:tc>
      </w:tr>
      <w:tr w:rsidR="00435540" w:rsidRPr="00D35659" w14:paraId="5251DB26" w14:textId="77777777" w:rsidTr="003A799A">
        <w:tc>
          <w:tcPr>
            <w:tcW w:w="859" w:type="dxa"/>
          </w:tcPr>
          <w:p w14:paraId="2E30FA2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8 cm</w:t>
            </w:r>
          </w:p>
        </w:tc>
        <w:tc>
          <w:tcPr>
            <w:tcW w:w="750" w:type="dxa"/>
            <w:vAlign w:val="bottom"/>
          </w:tcPr>
          <w:p w14:paraId="27F87BE3" w14:textId="56708AD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035</w:t>
            </w:r>
          </w:p>
        </w:tc>
        <w:tc>
          <w:tcPr>
            <w:tcW w:w="796" w:type="dxa"/>
            <w:vAlign w:val="bottom"/>
          </w:tcPr>
          <w:p w14:paraId="02B57A47" w14:textId="41DFBB8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393</w:t>
            </w:r>
          </w:p>
        </w:tc>
        <w:tc>
          <w:tcPr>
            <w:tcW w:w="859" w:type="dxa"/>
            <w:vAlign w:val="bottom"/>
          </w:tcPr>
          <w:p w14:paraId="07209BDC" w14:textId="6B7F23B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983</w:t>
            </w:r>
          </w:p>
        </w:tc>
        <w:tc>
          <w:tcPr>
            <w:tcW w:w="796" w:type="dxa"/>
            <w:vAlign w:val="bottom"/>
          </w:tcPr>
          <w:p w14:paraId="090804E5" w14:textId="3F838E0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350</w:t>
            </w:r>
          </w:p>
        </w:tc>
        <w:tc>
          <w:tcPr>
            <w:tcW w:w="797" w:type="dxa"/>
            <w:vAlign w:val="bottom"/>
          </w:tcPr>
          <w:p w14:paraId="13B0719E" w14:textId="07D893F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723</w:t>
            </w:r>
          </w:p>
        </w:tc>
        <w:tc>
          <w:tcPr>
            <w:tcW w:w="605" w:type="dxa"/>
            <w:vMerge/>
          </w:tcPr>
          <w:p w14:paraId="730379F7"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676ADB2F" w14:textId="421BA28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042</w:t>
            </w:r>
          </w:p>
        </w:tc>
        <w:tc>
          <w:tcPr>
            <w:tcW w:w="720" w:type="dxa"/>
            <w:vAlign w:val="bottom"/>
          </w:tcPr>
          <w:p w14:paraId="09678DFE" w14:textId="1111853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423</w:t>
            </w:r>
          </w:p>
        </w:tc>
        <w:tc>
          <w:tcPr>
            <w:tcW w:w="720" w:type="dxa"/>
            <w:vAlign w:val="bottom"/>
          </w:tcPr>
          <w:p w14:paraId="64BEFCAC" w14:textId="48E6CB3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027</w:t>
            </w:r>
          </w:p>
        </w:tc>
        <w:tc>
          <w:tcPr>
            <w:tcW w:w="720" w:type="dxa"/>
            <w:vAlign w:val="bottom"/>
          </w:tcPr>
          <w:p w14:paraId="0DF0438E" w14:textId="0B957E8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408</w:t>
            </w:r>
          </w:p>
        </w:tc>
        <w:tc>
          <w:tcPr>
            <w:tcW w:w="720" w:type="dxa"/>
            <w:vAlign w:val="bottom"/>
          </w:tcPr>
          <w:p w14:paraId="555C55BB" w14:textId="71B7949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811</w:t>
            </w:r>
          </w:p>
        </w:tc>
      </w:tr>
    </w:tbl>
    <w:p w14:paraId="29511015"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 xml:space="preserve">The 99% confidence intervals of the expected damage ratios (%) and their </w:t>
      </w: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hAnsi="Times New Roman" w:cs="Times New Roman"/>
          <w:lang w:val="en-US"/>
        </w:rPr>
        <w:t>, 25</w:t>
      </w:r>
      <w:r w:rsidRPr="00D35659">
        <w:rPr>
          <w:rFonts w:ascii="Times New Roman" w:hAnsi="Times New Roman" w:cs="Times New Roman"/>
          <w:vertAlign w:val="superscript"/>
          <w:lang w:val="en-US"/>
        </w:rPr>
        <w:t>th</w:t>
      </w:r>
      <w:r w:rsidRPr="00D35659">
        <w:rPr>
          <w:rFonts w:ascii="Times New Roman" w:hAnsi="Times New Roman" w:cs="Times New Roman"/>
          <w:lang w:val="en-US"/>
        </w:rPr>
        <w:t>, 75</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and 99</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quantiles.</w:t>
      </w:r>
    </w:p>
    <w:p w14:paraId="25E2AFDA" w14:textId="77777777" w:rsidR="00435540" w:rsidRPr="00D35659" w:rsidRDefault="00435540" w:rsidP="00435540">
      <w:pPr>
        <w:spacing w:after="0"/>
        <w:rPr>
          <w:rFonts w:ascii="Times New Roman" w:hAnsi="Times New Roman" w:cs="Times New Roman"/>
          <w:lang w:val="en-US"/>
        </w:rPr>
      </w:pPr>
    </w:p>
    <w:p w14:paraId="0480F6D8" w14:textId="77777777" w:rsidR="00435540" w:rsidRPr="00D35659" w:rsidRDefault="00435540" w:rsidP="00435540">
      <w:pPr>
        <w:spacing w:after="0"/>
        <w:rPr>
          <w:rFonts w:ascii="Times New Roman" w:hAnsi="Times New Roman" w:cs="Times New Roman"/>
          <w:lang w:val="en-US"/>
        </w:rPr>
      </w:pPr>
    </w:p>
    <w:p w14:paraId="628A7C3B" w14:textId="77777777" w:rsidR="00435540" w:rsidRPr="00D35659" w:rsidRDefault="00435540" w:rsidP="00435540">
      <w:pPr>
        <w:spacing w:after="0"/>
        <w:rPr>
          <w:rFonts w:ascii="Times New Roman" w:hAnsi="Times New Roman" w:cs="Times New Roman"/>
          <w:lang w:val="en-US"/>
        </w:rPr>
      </w:pPr>
    </w:p>
    <w:p w14:paraId="75CCD360" w14:textId="77777777" w:rsidR="00435540" w:rsidRPr="00D35659" w:rsidRDefault="00435540" w:rsidP="00435540">
      <w:pPr>
        <w:spacing w:after="0"/>
        <w:rPr>
          <w:rFonts w:ascii="Times New Roman" w:hAnsi="Times New Roman" w:cs="Times New Roman"/>
          <w:lang w:val="en-US"/>
        </w:rPr>
      </w:pPr>
    </w:p>
    <w:p w14:paraId="1CB72547" w14:textId="77777777" w:rsidR="004766F8" w:rsidRDefault="004766F8" w:rsidP="00435540">
      <w:pPr>
        <w:spacing w:after="0"/>
        <w:rPr>
          <w:rFonts w:ascii="Times New Roman" w:hAnsi="Times New Roman" w:cs="Times New Roman"/>
          <w:lang w:val="en-US"/>
        </w:rPr>
      </w:pPr>
    </w:p>
    <w:p w14:paraId="23AFDCA8" w14:textId="34A79976" w:rsidR="00435540" w:rsidRPr="00D35659" w:rsidRDefault="00435540" w:rsidP="00435540">
      <w:pPr>
        <w:spacing w:after="0"/>
        <w:rPr>
          <w:rFonts w:ascii="Times New Roman" w:hAnsi="Times New Roman" w:cs="Times New Roman"/>
          <w:b/>
          <w:bCs/>
          <w:lang w:val="en-US"/>
        </w:rPr>
      </w:pPr>
      <w:r w:rsidRPr="00D35659">
        <w:rPr>
          <w:rFonts w:ascii="Times New Roman" w:hAnsi="Times New Roman" w:cs="Times New Roman"/>
          <w:b/>
          <w:bCs/>
          <w:lang w:val="en-US"/>
        </w:rPr>
        <w:lastRenderedPageBreak/>
        <w:t>24-hour cumulative precipitation levels of 150 mm</w:t>
      </w:r>
    </w:p>
    <w:p w14:paraId="2CB0E9A8" w14:textId="77777777" w:rsidR="00435540" w:rsidRPr="00D35659" w:rsidRDefault="00435540" w:rsidP="00435540">
      <w:pPr>
        <w:spacing w:after="0"/>
        <w:rPr>
          <w:rFonts w:ascii="Times New Roman" w:hAnsi="Times New Roman" w:cs="Times New Roman"/>
          <w:lang w:val="en-US"/>
        </w:rPr>
      </w:pPr>
    </w:p>
    <w:p w14:paraId="1A009698"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Table S12</w:t>
      </w:r>
    </w:p>
    <w:tbl>
      <w:tblPr>
        <w:tblStyle w:val="Tabelraster"/>
        <w:tblpPr w:leftFromText="141" w:rightFromText="141" w:vertAnchor="text" w:tblpY="1"/>
        <w:tblOverlap w:val="never"/>
        <w:tblW w:w="0" w:type="auto"/>
        <w:tblLook w:val="04A0" w:firstRow="1" w:lastRow="0" w:firstColumn="1" w:lastColumn="0" w:noHBand="0" w:noVBand="1"/>
      </w:tblPr>
      <w:tblGrid>
        <w:gridCol w:w="1006"/>
        <w:gridCol w:w="1054"/>
        <w:gridCol w:w="1054"/>
        <w:gridCol w:w="1054"/>
        <w:gridCol w:w="1054"/>
        <w:gridCol w:w="1054"/>
      </w:tblGrid>
      <w:tr w:rsidR="00435540" w:rsidRPr="00D35659" w14:paraId="6F7CD18B" w14:textId="77777777" w:rsidTr="003A799A">
        <w:tc>
          <w:tcPr>
            <w:tcW w:w="1006" w:type="dxa"/>
          </w:tcPr>
          <w:p w14:paraId="239E006A"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MEHS</w:t>
            </w:r>
          </w:p>
        </w:tc>
        <w:tc>
          <w:tcPr>
            <w:tcW w:w="1054" w:type="dxa"/>
          </w:tcPr>
          <w:p w14:paraId="7F82A903"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529AD55E" w14:textId="77777777" w:rsidR="00435540" w:rsidRPr="00D35659" w:rsidRDefault="00435540" w:rsidP="003A799A">
            <w:pPr>
              <w:rPr>
                <w:rFonts w:ascii="Times New Roman" w:eastAsiaTheme="minorEastAsia" w:hAnsi="Times New Roman" w:cs="Times New Roman"/>
                <w:lang w:val="en-US"/>
              </w:rPr>
            </w:pPr>
          </w:p>
        </w:tc>
        <w:tc>
          <w:tcPr>
            <w:tcW w:w="1054" w:type="dxa"/>
          </w:tcPr>
          <w:p w14:paraId="18F86BF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1054" w:type="dxa"/>
          </w:tcPr>
          <w:p w14:paraId="0D529D07"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E[DR]</w:t>
            </w:r>
          </w:p>
        </w:tc>
        <w:tc>
          <w:tcPr>
            <w:tcW w:w="1054" w:type="dxa"/>
          </w:tcPr>
          <w:p w14:paraId="355ED528"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1224418A" w14:textId="77777777" w:rsidR="00435540" w:rsidRPr="00D35659" w:rsidRDefault="00435540" w:rsidP="003A799A">
            <w:pPr>
              <w:rPr>
                <w:rFonts w:ascii="Times New Roman" w:eastAsiaTheme="minorEastAsia" w:hAnsi="Times New Roman" w:cs="Times New Roman"/>
                <w:lang w:val="en-US"/>
              </w:rPr>
            </w:pPr>
          </w:p>
        </w:tc>
        <w:tc>
          <w:tcPr>
            <w:tcW w:w="1054" w:type="dxa"/>
          </w:tcPr>
          <w:p w14:paraId="13F3151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w:t>
            </w:r>
          </w:p>
        </w:tc>
      </w:tr>
      <w:tr w:rsidR="00435540" w:rsidRPr="00D35659" w14:paraId="3E3012CA" w14:textId="77777777" w:rsidTr="003A799A">
        <w:tc>
          <w:tcPr>
            <w:tcW w:w="1006" w:type="dxa"/>
          </w:tcPr>
          <w:p w14:paraId="227FB88F"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0 cm</w:t>
            </w:r>
          </w:p>
        </w:tc>
        <w:tc>
          <w:tcPr>
            <w:tcW w:w="1054" w:type="dxa"/>
            <w:vAlign w:val="bottom"/>
          </w:tcPr>
          <w:p w14:paraId="18D8118E" w14:textId="606CC5C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015</w:t>
            </w:r>
          </w:p>
        </w:tc>
        <w:tc>
          <w:tcPr>
            <w:tcW w:w="1054" w:type="dxa"/>
            <w:vAlign w:val="bottom"/>
          </w:tcPr>
          <w:p w14:paraId="342632A1" w14:textId="6899F47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269</w:t>
            </w:r>
          </w:p>
        </w:tc>
        <w:tc>
          <w:tcPr>
            <w:tcW w:w="1054" w:type="dxa"/>
            <w:vAlign w:val="bottom"/>
          </w:tcPr>
          <w:p w14:paraId="38710D40" w14:textId="03CAA0A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794</w:t>
            </w:r>
          </w:p>
        </w:tc>
        <w:tc>
          <w:tcPr>
            <w:tcW w:w="1054" w:type="dxa"/>
            <w:vAlign w:val="bottom"/>
          </w:tcPr>
          <w:p w14:paraId="64162405" w14:textId="2EF21BE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100</w:t>
            </w:r>
          </w:p>
        </w:tc>
        <w:tc>
          <w:tcPr>
            <w:tcW w:w="1054" w:type="dxa"/>
            <w:vAlign w:val="bottom"/>
          </w:tcPr>
          <w:p w14:paraId="4070B081" w14:textId="594BB50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336</w:t>
            </w:r>
          </w:p>
        </w:tc>
      </w:tr>
      <w:tr w:rsidR="00435540" w:rsidRPr="00D35659" w14:paraId="5C9FD766" w14:textId="77777777" w:rsidTr="003A799A">
        <w:tc>
          <w:tcPr>
            <w:tcW w:w="1006" w:type="dxa"/>
          </w:tcPr>
          <w:p w14:paraId="554DA5A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 cm</w:t>
            </w:r>
          </w:p>
        </w:tc>
        <w:tc>
          <w:tcPr>
            <w:tcW w:w="1054" w:type="dxa"/>
            <w:vAlign w:val="bottom"/>
          </w:tcPr>
          <w:p w14:paraId="1ED7C797" w14:textId="64D4E81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023</w:t>
            </w:r>
          </w:p>
        </w:tc>
        <w:tc>
          <w:tcPr>
            <w:tcW w:w="1054" w:type="dxa"/>
            <w:vAlign w:val="bottom"/>
          </w:tcPr>
          <w:p w14:paraId="5710A4E0" w14:textId="79C3D89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322</w:t>
            </w:r>
          </w:p>
        </w:tc>
        <w:tc>
          <w:tcPr>
            <w:tcW w:w="1054" w:type="dxa"/>
            <w:vAlign w:val="bottom"/>
          </w:tcPr>
          <w:p w14:paraId="349207FB" w14:textId="4089EBE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878</w:t>
            </w:r>
          </w:p>
        </w:tc>
        <w:tc>
          <w:tcPr>
            <w:tcW w:w="1054" w:type="dxa"/>
            <w:vAlign w:val="bottom"/>
          </w:tcPr>
          <w:p w14:paraId="61490385" w14:textId="59A1503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212</w:t>
            </w:r>
          </w:p>
        </w:tc>
        <w:tc>
          <w:tcPr>
            <w:tcW w:w="1054" w:type="dxa"/>
            <w:vAlign w:val="bottom"/>
          </w:tcPr>
          <w:p w14:paraId="4918EF44" w14:textId="6737D74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511</w:t>
            </w:r>
          </w:p>
        </w:tc>
      </w:tr>
      <w:tr w:rsidR="00435540" w:rsidRPr="00D35659" w14:paraId="4C89925A" w14:textId="77777777" w:rsidTr="003A799A">
        <w:tc>
          <w:tcPr>
            <w:tcW w:w="1006" w:type="dxa"/>
          </w:tcPr>
          <w:p w14:paraId="7B1739C5"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 cm</w:t>
            </w:r>
          </w:p>
        </w:tc>
        <w:tc>
          <w:tcPr>
            <w:tcW w:w="1054" w:type="dxa"/>
            <w:vAlign w:val="bottom"/>
          </w:tcPr>
          <w:p w14:paraId="451032FA" w14:textId="2BF9C1C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027</w:t>
            </w:r>
          </w:p>
        </w:tc>
        <w:tc>
          <w:tcPr>
            <w:tcW w:w="1054" w:type="dxa"/>
            <w:vAlign w:val="bottom"/>
          </w:tcPr>
          <w:p w14:paraId="198076C4" w14:textId="602208B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347</w:t>
            </w:r>
          </w:p>
        </w:tc>
        <w:tc>
          <w:tcPr>
            <w:tcW w:w="1054" w:type="dxa"/>
            <w:vAlign w:val="bottom"/>
          </w:tcPr>
          <w:p w14:paraId="7058FDCA" w14:textId="7249519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915</w:t>
            </w:r>
          </w:p>
        </w:tc>
        <w:tc>
          <w:tcPr>
            <w:tcW w:w="1054" w:type="dxa"/>
            <w:vAlign w:val="bottom"/>
          </w:tcPr>
          <w:p w14:paraId="210D1E41" w14:textId="7BE243C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260</w:t>
            </w:r>
          </w:p>
        </w:tc>
        <w:tc>
          <w:tcPr>
            <w:tcW w:w="1054" w:type="dxa"/>
            <w:vAlign w:val="bottom"/>
          </w:tcPr>
          <w:p w14:paraId="0F4E5E6F" w14:textId="4895392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586</w:t>
            </w:r>
          </w:p>
        </w:tc>
      </w:tr>
      <w:tr w:rsidR="00435540" w:rsidRPr="00D35659" w14:paraId="0EA63A49" w14:textId="77777777" w:rsidTr="003A799A">
        <w:tc>
          <w:tcPr>
            <w:tcW w:w="1006" w:type="dxa"/>
          </w:tcPr>
          <w:p w14:paraId="54C0723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3 cm</w:t>
            </w:r>
          </w:p>
        </w:tc>
        <w:tc>
          <w:tcPr>
            <w:tcW w:w="1054" w:type="dxa"/>
            <w:vAlign w:val="bottom"/>
          </w:tcPr>
          <w:p w14:paraId="75EA9AEB" w14:textId="4CB212B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030</w:t>
            </w:r>
          </w:p>
        </w:tc>
        <w:tc>
          <w:tcPr>
            <w:tcW w:w="1054" w:type="dxa"/>
            <w:vAlign w:val="bottom"/>
          </w:tcPr>
          <w:p w14:paraId="44461BA3" w14:textId="15B08C7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366</w:t>
            </w:r>
          </w:p>
        </w:tc>
        <w:tc>
          <w:tcPr>
            <w:tcW w:w="1054" w:type="dxa"/>
            <w:vAlign w:val="bottom"/>
          </w:tcPr>
          <w:p w14:paraId="509F1634" w14:textId="6B47EFF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944</w:t>
            </w:r>
          </w:p>
        </w:tc>
        <w:tc>
          <w:tcPr>
            <w:tcW w:w="1054" w:type="dxa"/>
            <w:vAlign w:val="bottom"/>
          </w:tcPr>
          <w:p w14:paraId="0223A881" w14:textId="7392508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299</w:t>
            </w:r>
          </w:p>
        </w:tc>
        <w:tc>
          <w:tcPr>
            <w:tcW w:w="1054" w:type="dxa"/>
            <w:vAlign w:val="bottom"/>
          </w:tcPr>
          <w:p w14:paraId="2D0407A6" w14:textId="317D5B9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646</w:t>
            </w:r>
          </w:p>
        </w:tc>
      </w:tr>
      <w:tr w:rsidR="00435540" w:rsidRPr="00D35659" w14:paraId="79046269" w14:textId="77777777" w:rsidTr="003A799A">
        <w:tc>
          <w:tcPr>
            <w:tcW w:w="1006" w:type="dxa"/>
          </w:tcPr>
          <w:p w14:paraId="1A16B7DF"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4 cm</w:t>
            </w:r>
          </w:p>
        </w:tc>
        <w:tc>
          <w:tcPr>
            <w:tcW w:w="1054" w:type="dxa"/>
            <w:vAlign w:val="bottom"/>
          </w:tcPr>
          <w:p w14:paraId="7498A613" w14:textId="2C9F3AC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034</w:t>
            </w:r>
          </w:p>
        </w:tc>
        <w:tc>
          <w:tcPr>
            <w:tcW w:w="1054" w:type="dxa"/>
            <w:vAlign w:val="bottom"/>
          </w:tcPr>
          <w:p w14:paraId="1F280C5C" w14:textId="110C85C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384</w:t>
            </w:r>
          </w:p>
        </w:tc>
        <w:tc>
          <w:tcPr>
            <w:tcW w:w="1054" w:type="dxa"/>
            <w:vAlign w:val="bottom"/>
          </w:tcPr>
          <w:p w14:paraId="5E6ED6CC" w14:textId="0FE80C8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970</w:t>
            </w:r>
          </w:p>
        </w:tc>
        <w:tc>
          <w:tcPr>
            <w:tcW w:w="1054" w:type="dxa"/>
            <w:vAlign w:val="bottom"/>
          </w:tcPr>
          <w:p w14:paraId="5D3344D9" w14:textId="06A751C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333</w:t>
            </w:r>
          </w:p>
        </w:tc>
        <w:tc>
          <w:tcPr>
            <w:tcW w:w="1054" w:type="dxa"/>
            <w:vAlign w:val="bottom"/>
          </w:tcPr>
          <w:p w14:paraId="12E51286" w14:textId="6261C04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697</w:t>
            </w:r>
          </w:p>
        </w:tc>
      </w:tr>
      <w:tr w:rsidR="00435540" w:rsidRPr="00D35659" w14:paraId="6F9B83CC" w14:textId="77777777" w:rsidTr="003A799A">
        <w:tc>
          <w:tcPr>
            <w:tcW w:w="1006" w:type="dxa"/>
          </w:tcPr>
          <w:p w14:paraId="38405E24"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5 cm</w:t>
            </w:r>
          </w:p>
        </w:tc>
        <w:tc>
          <w:tcPr>
            <w:tcW w:w="1054" w:type="dxa"/>
            <w:vAlign w:val="bottom"/>
          </w:tcPr>
          <w:p w14:paraId="186858A2" w14:textId="0C39119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037</w:t>
            </w:r>
          </w:p>
        </w:tc>
        <w:tc>
          <w:tcPr>
            <w:tcW w:w="1054" w:type="dxa"/>
            <w:vAlign w:val="bottom"/>
          </w:tcPr>
          <w:p w14:paraId="761CF240" w14:textId="2847FDE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399</w:t>
            </w:r>
          </w:p>
        </w:tc>
        <w:tc>
          <w:tcPr>
            <w:tcW w:w="1054" w:type="dxa"/>
            <w:vAlign w:val="bottom"/>
          </w:tcPr>
          <w:p w14:paraId="4F867251" w14:textId="7306D63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993</w:t>
            </w:r>
          </w:p>
        </w:tc>
        <w:tc>
          <w:tcPr>
            <w:tcW w:w="1054" w:type="dxa"/>
            <w:vAlign w:val="bottom"/>
          </w:tcPr>
          <w:p w14:paraId="73DC6B02" w14:textId="0CE5BD7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363</w:t>
            </w:r>
          </w:p>
        </w:tc>
        <w:tc>
          <w:tcPr>
            <w:tcW w:w="1054" w:type="dxa"/>
            <w:vAlign w:val="bottom"/>
          </w:tcPr>
          <w:p w14:paraId="6A0226E8" w14:textId="13CB3D1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743</w:t>
            </w:r>
          </w:p>
        </w:tc>
      </w:tr>
      <w:tr w:rsidR="00435540" w:rsidRPr="00D35659" w14:paraId="36B39677" w14:textId="77777777" w:rsidTr="003A799A">
        <w:tc>
          <w:tcPr>
            <w:tcW w:w="1006" w:type="dxa"/>
          </w:tcPr>
          <w:p w14:paraId="3C1C0A11"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6 cm</w:t>
            </w:r>
          </w:p>
        </w:tc>
        <w:tc>
          <w:tcPr>
            <w:tcW w:w="1054" w:type="dxa"/>
            <w:vAlign w:val="bottom"/>
          </w:tcPr>
          <w:p w14:paraId="1ABB09D1" w14:textId="4A191DB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040</w:t>
            </w:r>
          </w:p>
        </w:tc>
        <w:tc>
          <w:tcPr>
            <w:tcW w:w="1054" w:type="dxa"/>
            <w:vAlign w:val="bottom"/>
          </w:tcPr>
          <w:p w14:paraId="14745006" w14:textId="33A880B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414</w:t>
            </w:r>
          </w:p>
        </w:tc>
        <w:tc>
          <w:tcPr>
            <w:tcW w:w="1054" w:type="dxa"/>
            <w:vAlign w:val="bottom"/>
          </w:tcPr>
          <w:p w14:paraId="4D2EB964" w14:textId="59C2780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014</w:t>
            </w:r>
          </w:p>
        </w:tc>
        <w:tc>
          <w:tcPr>
            <w:tcW w:w="1054" w:type="dxa"/>
            <w:vAlign w:val="bottom"/>
          </w:tcPr>
          <w:p w14:paraId="148B088C" w14:textId="361E397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391</w:t>
            </w:r>
          </w:p>
        </w:tc>
        <w:tc>
          <w:tcPr>
            <w:tcW w:w="1054" w:type="dxa"/>
            <w:vAlign w:val="bottom"/>
          </w:tcPr>
          <w:p w14:paraId="34D3A6D2" w14:textId="5B34F33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785</w:t>
            </w:r>
          </w:p>
        </w:tc>
      </w:tr>
      <w:tr w:rsidR="00435540" w:rsidRPr="00D35659" w14:paraId="4EFCAC3C" w14:textId="77777777" w:rsidTr="003A799A">
        <w:tc>
          <w:tcPr>
            <w:tcW w:w="1006" w:type="dxa"/>
          </w:tcPr>
          <w:p w14:paraId="22A01458"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 cm</w:t>
            </w:r>
          </w:p>
        </w:tc>
        <w:tc>
          <w:tcPr>
            <w:tcW w:w="1054" w:type="dxa"/>
            <w:vAlign w:val="bottom"/>
          </w:tcPr>
          <w:p w14:paraId="723947E3" w14:textId="213FD9F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043</w:t>
            </w:r>
          </w:p>
        </w:tc>
        <w:tc>
          <w:tcPr>
            <w:tcW w:w="1054" w:type="dxa"/>
            <w:vAlign w:val="bottom"/>
          </w:tcPr>
          <w:p w14:paraId="1A87BA17" w14:textId="681390E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428</w:t>
            </w:r>
          </w:p>
        </w:tc>
        <w:tc>
          <w:tcPr>
            <w:tcW w:w="1054" w:type="dxa"/>
            <w:vAlign w:val="bottom"/>
          </w:tcPr>
          <w:p w14:paraId="63FACA1D" w14:textId="2C1820E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034</w:t>
            </w:r>
          </w:p>
        </w:tc>
        <w:tc>
          <w:tcPr>
            <w:tcW w:w="1054" w:type="dxa"/>
            <w:vAlign w:val="bottom"/>
          </w:tcPr>
          <w:p w14:paraId="2728987F" w14:textId="4361516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417</w:t>
            </w:r>
          </w:p>
        </w:tc>
        <w:tc>
          <w:tcPr>
            <w:tcW w:w="1054" w:type="dxa"/>
            <w:vAlign w:val="bottom"/>
          </w:tcPr>
          <w:p w14:paraId="5B6F116F" w14:textId="026CD8B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825</w:t>
            </w:r>
          </w:p>
        </w:tc>
      </w:tr>
      <w:tr w:rsidR="00435540" w:rsidRPr="00D35659" w14:paraId="21639592" w14:textId="77777777" w:rsidTr="003A799A">
        <w:tc>
          <w:tcPr>
            <w:tcW w:w="1006" w:type="dxa"/>
          </w:tcPr>
          <w:p w14:paraId="4E685CA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8 cm</w:t>
            </w:r>
          </w:p>
        </w:tc>
        <w:tc>
          <w:tcPr>
            <w:tcW w:w="1054" w:type="dxa"/>
            <w:vAlign w:val="bottom"/>
          </w:tcPr>
          <w:p w14:paraId="14B6565F" w14:textId="3AF275B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045</w:t>
            </w:r>
          </w:p>
        </w:tc>
        <w:tc>
          <w:tcPr>
            <w:tcW w:w="1054" w:type="dxa"/>
            <w:vAlign w:val="bottom"/>
          </w:tcPr>
          <w:p w14:paraId="321C31BC" w14:textId="25D821A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441</w:t>
            </w:r>
          </w:p>
        </w:tc>
        <w:tc>
          <w:tcPr>
            <w:tcW w:w="1054" w:type="dxa"/>
            <w:vAlign w:val="bottom"/>
          </w:tcPr>
          <w:p w14:paraId="7EACCE1D" w14:textId="7AF5A6A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053</w:t>
            </w:r>
          </w:p>
        </w:tc>
        <w:tc>
          <w:tcPr>
            <w:tcW w:w="1054" w:type="dxa"/>
            <w:vAlign w:val="bottom"/>
          </w:tcPr>
          <w:p w14:paraId="466C200D" w14:textId="4154830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441</w:t>
            </w:r>
          </w:p>
        </w:tc>
        <w:tc>
          <w:tcPr>
            <w:tcW w:w="1054" w:type="dxa"/>
            <w:vAlign w:val="bottom"/>
          </w:tcPr>
          <w:p w14:paraId="3D1673C1" w14:textId="7CD6CC8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862</w:t>
            </w:r>
          </w:p>
        </w:tc>
      </w:tr>
    </w:tbl>
    <w:p w14:paraId="046DCF72" w14:textId="77777777" w:rsidR="00435540" w:rsidRPr="00D35659" w:rsidRDefault="00435540" w:rsidP="00435540">
      <w:pPr>
        <w:spacing w:after="0"/>
        <w:jc w:val="both"/>
        <w:rPr>
          <w:rFonts w:ascii="Times New Roman" w:hAnsi="Times New Roman" w:cs="Times New Roman"/>
          <w:lang w:val="en-US"/>
        </w:rPr>
      </w:pPr>
      <w:r w:rsidRPr="00D35659">
        <w:rPr>
          <w:rFonts w:ascii="Times New Roman" w:hAnsi="Times New Roman" w:cs="Times New Roman"/>
          <w:lang w:val="en-US"/>
        </w:rPr>
        <w:br w:type="textWrapping" w:clear="all"/>
        <w:t xml:space="preserve">Expected damage ratios (%) and their </w:t>
      </w: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hAnsi="Times New Roman" w:cs="Times New Roman"/>
          <w:lang w:val="en-US"/>
        </w:rPr>
        <w:t>, 25</w:t>
      </w:r>
      <w:r w:rsidRPr="00D35659">
        <w:rPr>
          <w:rFonts w:ascii="Times New Roman" w:hAnsi="Times New Roman" w:cs="Times New Roman"/>
          <w:vertAlign w:val="superscript"/>
          <w:lang w:val="en-US"/>
        </w:rPr>
        <w:t>th</w:t>
      </w:r>
      <w:r w:rsidRPr="00D35659">
        <w:rPr>
          <w:rFonts w:ascii="Times New Roman" w:hAnsi="Times New Roman" w:cs="Times New Roman"/>
          <w:lang w:val="en-US"/>
        </w:rPr>
        <w:t>, 75</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and 99</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quantiles.</w:t>
      </w:r>
    </w:p>
    <w:p w14:paraId="03BBEDE2" w14:textId="77777777" w:rsidR="00435540" w:rsidRPr="00D35659" w:rsidRDefault="00435540" w:rsidP="00435540">
      <w:pPr>
        <w:spacing w:after="0"/>
        <w:jc w:val="both"/>
        <w:rPr>
          <w:rFonts w:ascii="Times New Roman" w:hAnsi="Times New Roman" w:cs="Times New Roman"/>
          <w:lang w:val="en-US"/>
        </w:rPr>
      </w:pPr>
    </w:p>
    <w:p w14:paraId="5BA1A3AF"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Table S13</w:t>
      </w:r>
    </w:p>
    <w:tbl>
      <w:tblPr>
        <w:tblStyle w:val="Tabelraster"/>
        <w:tblW w:w="0" w:type="auto"/>
        <w:tblLook w:val="04A0" w:firstRow="1" w:lastRow="0" w:firstColumn="1" w:lastColumn="0" w:noHBand="0" w:noVBand="1"/>
      </w:tblPr>
      <w:tblGrid>
        <w:gridCol w:w="1000"/>
        <w:gridCol w:w="720"/>
        <w:gridCol w:w="720"/>
        <w:gridCol w:w="720"/>
        <w:gridCol w:w="720"/>
        <w:gridCol w:w="720"/>
        <w:gridCol w:w="222"/>
        <w:gridCol w:w="847"/>
        <w:gridCol w:w="847"/>
        <w:gridCol w:w="848"/>
        <w:gridCol w:w="848"/>
        <w:gridCol w:w="848"/>
      </w:tblGrid>
      <w:tr w:rsidR="00435540" w:rsidRPr="00D35659" w14:paraId="52550F97" w14:textId="77777777" w:rsidTr="003A799A">
        <w:tc>
          <w:tcPr>
            <w:tcW w:w="1002" w:type="dxa"/>
          </w:tcPr>
          <w:p w14:paraId="63114D55"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Wind gust speed</w:t>
            </w:r>
          </w:p>
        </w:tc>
        <w:tc>
          <w:tcPr>
            <w:tcW w:w="720" w:type="dxa"/>
          </w:tcPr>
          <w:p w14:paraId="29D0B123"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46285DD6" w14:textId="77777777" w:rsidR="00435540" w:rsidRPr="00D35659" w:rsidRDefault="00435540" w:rsidP="003A799A">
            <w:pPr>
              <w:rPr>
                <w:rFonts w:ascii="Times New Roman" w:eastAsiaTheme="minorEastAsia" w:hAnsi="Times New Roman" w:cs="Times New Roman"/>
                <w:lang w:val="en-US"/>
              </w:rPr>
            </w:pPr>
          </w:p>
        </w:tc>
        <w:tc>
          <w:tcPr>
            <w:tcW w:w="720" w:type="dxa"/>
          </w:tcPr>
          <w:p w14:paraId="15A4B795"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720" w:type="dxa"/>
          </w:tcPr>
          <w:p w14:paraId="6B2384A0"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75% lower CI</w:t>
            </w:r>
          </w:p>
        </w:tc>
        <w:tc>
          <w:tcPr>
            <w:tcW w:w="720" w:type="dxa"/>
          </w:tcPr>
          <w:p w14:paraId="4CA3E27D"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4634B2B2" w14:textId="77777777" w:rsidR="00435540" w:rsidRPr="00D35659" w:rsidRDefault="00435540" w:rsidP="003A799A">
            <w:pPr>
              <w:rPr>
                <w:rFonts w:ascii="Times New Roman" w:eastAsiaTheme="minorEastAsia" w:hAnsi="Times New Roman" w:cs="Times New Roman"/>
                <w:lang w:val="en-US"/>
              </w:rPr>
            </w:pPr>
          </w:p>
        </w:tc>
        <w:tc>
          <w:tcPr>
            <w:tcW w:w="720" w:type="dxa"/>
          </w:tcPr>
          <w:p w14:paraId="6EB835F8"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222" w:type="dxa"/>
            <w:vMerge w:val="restart"/>
          </w:tcPr>
          <w:p w14:paraId="2BFB6D19" w14:textId="77777777" w:rsidR="00435540" w:rsidRPr="00D35659" w:rsidRDefault="00435540" w:rsidP="003A799A">
            <w:pPr>
              <w:rPr>
                <w:rFonts w:ascii="Times New Roman" w:eastAsiaTheme="minorEastAsia" w:hAnsi="Times New Roman" w:cs="Times New Roman"/>
                <w:lang w:val="en-US"/>
              </w:rPr>
            </w:pPr>
          </w:p>
        </w:tc>
        <w:tc>
          <w:tcPr>
            <w:tcW w:w="847" w:type="dxa"/>
          </w:tcPr>
          <w:p w14:paraId="6795114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5CC3B4CA" w14:textId="77777777" w:rsidR="00435540" w:rsidRPr="00D35659" w:rsidRDefault="00435540" w:rsidP="003A799A">
            <w:pPr>
              <w:rPr>
                <w:rFonts w:ascii="Times New Roman" w:eastAsiaTheme="minorEastAsia" w:hAnsi="Times New Roman" w:cs="Times New Roman"/>
                <w:lang w:val="en-US"/>
              </w:rPr>
            </w:pPr>
          </w:p>
        </w:tc>
        <w:tc>
          <w:tcPr>
            <w:tcW w:w="847" w:type="dxa"/>
          </w:tcPr>
          <w:p w14:paraId="5AFBA2D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848" w:type="dxa"/>
          </w:tcPr>
          <w:p w14:paraId="02A2FCCF"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75% upper CI</w:t>
            </w:r>
          </w:p>
        </w:tc>
        <w:tc>
          <w:tcPr>
            <w:tcW w:w="848" w:type="dxa"/>
          </w:tcPr>
          <w:p w14:paraId="41C9377D"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5F628948" w14:textId="77777777" w:rsidR="00435540" w:rsidRPr="00D35659" w:rsidRDefault="00435540" w:rsidP="003A799A">
            <w:pPr>
              <w:rPr>
                <w:rFonts w:ascii="Times New Roman" w:eastAsiaTheme="minorEastAsia" w:hAnsi="Times New Roman" w:cs="Times New Roman"/>
                <w:lang w:val="en-US"/>
              </w:rPr>
            </w:pPr>
          </w:p>
        </w:tc>
        <w:tc>
          <w:tcPr>
            <w:tcW w:w="848" w:type="dxa"/>
          </w:tcPr>
          <w:p w14:paraId="62397BF3"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r>
      <w:tr w:rsidR="00435540" w:rsidRPr="00D35659" w14:paraId="2E713B9F" w14:textId="77777777" w:rsidTr="003A799A">
        <w:tc>
          <w:tcPr>
            <w:tcW w:w="1002" w:type="dxa"/>
          </w:tcPr>
          <w:p w14:paraId="2443E66E"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0 cm</w:t>
            </w:r>
          </w:p>
        </w:tc>
        <w:tc>
          <w:tcPr>
            <w:tcW w:w="720" w:type="dxa"/>
            <w:vAlign w:val="bottom"/>
          </w:tcPr>
          <w:p w14:paraId="5BEBC3E1" w14:textId="5138D7F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014</w:t>
            </w:r>
          </w:p>
        </w:tc>
        <w:tc>
          <w:tcPr>
            <w:tcW w:w="720" w:type="dxa"/>
            <w:vAlign w:val="bottom"/>
          </w:tcPr>
          <w:p w14:paraId="7EC6783C" w14:textId="13B8687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262</w:t>
            </w:r>
          </w:p>
        </w:tc>
        <w:tc>
          <w:tcPr>
            <w:tcW w:w="720" w:type="dxa"/>
            <w:vAlign w:val="bottom"/>
          </w:tcPr>
          <w:p w14:paraId="1EFF8C69" w14:textId="51AEA2A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784</w:t>
            </w:r>
          </w:p>
        </w:tc>
        <w:tc>
          <w:tcPr>
            <w:tcW w:w="720" w:type="dxa"/>
            <w:vAlign w:val="bottom"/>
          </w:tcPr>
          <w:p w14:paraId="4CBA604D" w14:textId="6EF77AF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086</w:t>
            </w:r>
          </w:p>
        </w:tc>
        <w:tc>
          <w:tcPr>
            <w:tcW w:w="720" w:type="dxa"/>
            <w:vAlign w:val="bottom"/>
          </w:tcPr>
          <w:p w14:paraId="250D40BE" w14:textId="2F37D4F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314</w:t>
            </w:r>
          </w:p>
        </w:tc>
        <w:tc>
          <w:tcPr>
            <w:tcW w:w="222" w:type="dxa"/>
            <w:vMerge/>
          </w:tcPr>
          <w:p w14:paraId="0879798A"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373865AC" w14:textId="3FCAB6B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016</w:t>
            </w:r>
          </w:p>
        </w:tc>
        <w:tc>
          <w:tcPr>
            <w:tcW w:w="847" w:type="dxa"/>
            <w:vAlign w:val="bottom"/>
          </w:tcPr>
          <w:p w14:paraId="09A1365A" w14:textId="6A8014F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275</w:t>
            </w:r>
          </w:p>
        </w:tc>
        <w:tc>
          <w:tcPr>
            <w:tcW w:w="848" w:type="dxa"/>
            <w:vAlign w:val="bottom"/>
          </w:tcPr>
          <w:p w14:paraId="08AEDD63" w14:textId="5A02DB9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805</w:t>
            </w:r>
          </w:p>
        </w:tc>
        <w:tc>
          <w:tcPr>
            <w:tcW w:w="848" w:type="dxa"/>
            <w:vAlign w:val="bottom"/>
          </w:tcPr>
          <w:p w14:paraId="376FC567" w14:textId="55B7F6C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114</w:t>
            </w:r>
          </w:p>
        </w:tc>
        <w:tc>
          <w:tcPr>
            <w:tcW w:w="848" w:type="dxa"/>
            <w:vAlign w:val="bottom"/>
          </w:tcPr>
          <w:p w14:paraId="55F4E139" w14:textId="007D408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359</w:t>
            </w:r>
          </w:p>
        </w:tc>
      </w:tr>
      <w:tr w:rsidR="00435540" w:rsidRPr="00D35659" w14:paraId="518E2FED" w14:textId="77777777" w:rsidTr="003A799A">
        <w:tc>
          <w:tcPr>
            <w:tcW w:w="1002" w:type="dxa"/>
          </w:tcPr>
          <w:p w14:paraId="49091C8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 cm</w:t>
            </w:r>
          </w:p>
        </w:tc>
        <w:tc>
          <w:tcPr>
            <w:tcW w:w="720" w:type="dxa"/>
            <w:vAlign w:val="bottom"/>
          </w:tcPr>
          <w:p w14:paraId="7D9831BE" w14:textId="206556C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022</w:t>
            </w:r>
          </w:p>
        </w:tc>
        <w:tc>
          <w:tcPr>
            <w:tcW w:w="720" w:type="dxa"/>
            <w:vAlign w:val="bottom"/>
          </w:tcPr>
          <w:p w14:paraId="52B949E5" w14:textId="25E449F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316</w:t>
            </w:r>
          </w:p>
        </w:tc>
        <w:tc>
          <w:tcPr>
            <w:tcW w:w="720" w:type="dxa"/>
            <w:vAlign w:val="bottom"/>
          </w:tcPr>
          <w:p w14:paraId="2954CA68" w14:textId="094EC25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868</w:t>
            </w:r>
          </w:p>
        </w:tc>
        <w:tc>
          <w:tcPr>
            <w:tcW w:w="720" w:type="dxa"/>
            <w:vAlign w:val="bottom"/>
          </w:tcPr>
          <w:p w14:paraId="34E5C70E" w14:textId="5BAF330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198</w:t>
            </w:r>
          </w:p>
        </w:tc>
        <w:tc>
          <w:tcPr>
            <w:tcW w:w="720" w:type="dxa"/>
            <w:vAlign w:val="bottom"/>
          </w:tcPr>
          <w:p w14:paraId="6E1244AB" w14:textId="63C6C02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490</w:t>
            </w:r>
          </w:p>
        </w:tc>
        <w:tc>
          <w:tcPr>
            <w:tcW w:w="222" w:type="dxa"/>
            <w:vMerge/>
          </w:tcPr>
          <w:p w14:paraId="4DE13321"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53735F1D" w14:textId="05FA377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024</w:t>
            </w:r>
          </w:p>
        </w:tc>
        <w:tc>
          <w:tcPr>
            <w:tcW w:w="847" w:type="dxa"/>
            <w:vAlign w:val="bottom"/>
          </w:tcPr>
          <w:p w14:paraId="0C14CB7B" w14:textId="0442FBD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329</w:t>
            </w:r>
          </w:p>
        </w:tc>
        <w:tc>
          <w:tcPr>
            <w:tcW w:w="848" w:type="dxa"/>
            <w:vAlign w:val="bottom"/>
          </w:tcPr>
          <w:p w14:paraId="14CEEF66" w14:textId="30C1D6E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888</w:t>
            </w:r>
          </w:p>
        </w:tc>
        <w:tc>
          <w:tcPr>
            <w:tcW w:w="848" w:type="dxa"/>
            <w:vAlign w:val="bottom"/>
          </w:tcPr>
          <w:p w14:paraId="61C2DAFE" w14:textId="221C459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225</w:t>
            </w:r>
          </w:p>
        </w:tc>
        <w:tc>
          <w:tcPr>
            <w:tcW w:w="848" w:type="dxa"/>
            <w:vAlign w:val="bottom"/>
          </w:tcPr>
          <w:p w14:paraId="0B58324B" w14:textId="31C4729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532</w:t>
            </w:r>
          </w:p>
        </w:tc>
      </w:tr>
      <w:tr w:rsidR="00435540" w:rsidRPr="00D35659" w14:paraId="604CF92B" w14:textId="77777777" w:rsidTr="003A799A">
        <w:tc>
          <w:tcPr>
            <w:tcW w:w="1002" w:type="dxa"/>
          </w:tcPr>
          <w:p w14:paraId="56D1784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 cm</w:t>
            </w:r>
          </w:p>
        </w:tc>
        <w:tc>
          <w:tcPr>
            <w:tcW w:w="720" w:type="dxa"/>
            <w:vAlign w:val="bottom"/>
          </w:tcPr>
          <w:p w14:paraId="3D002C30" w14:textId="77D8B42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026</w:t>
            </w:r>
          </w:p>
        </w:tc>
        <w:tc>
          <w:tcPr>
            <w:tcW w:w="720" w:type="dxa"/>
            <w:vAlign w:val="bottom"/>
          </w:tcPr>
          <w:p w14:paraId="4AABF299" w14:textId="1BD0FF8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340</w:t>
            </w:r>
          </w:p>
        </w:tc>
        <w:tc>
          <w:tcPr>
            <w:tcW w:w="720" w:type="dxa"/>
            <w:vAlign w:val="bottom"/>
          </w:tcPr>
          <w:p w14:paraId="4186A429" w14:textId="21A5D0F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904</w:t>
            </w:r>
          </w:p>
        </w:tc>
        <w:tc>
          <w:tcPr>
            <w:tcW w:w="720" w:type="dxa"/>
            <w:vAlign w:val="bottom"/>
          </w:tcPr>
          <w:p w14:paraId="655484CC" w14:textId="52452F4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247</w:t>
            </w:r>
          </w:p>
        </w:tc>
        <w:tc>
          <w:tcPr>
            <w:tcW w:w="720" w:type="dxa"/>
            <w:vAlign w:val="bottom"/>
          </w:tcPr>
          <w:p w14:paraId="76776005" w14:textId="1E5F885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565</w:t>
            </w:r>
          </w:p>
        </w:tc>
        <w:tc>
          <w:tcPr>
            <w:tcW w:w="222" w:type="dxa"/>
            <w:vMerge/>
          </w:tcPr>
          <w:p w14:paraId="5CAB9ED2"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3EF8B3A2" w14:textId="5040642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028</w:t>
            </w:r>
          </w:p>
        </w:tc>
        <w:tc>
          <w:tcPr>
            <w:tcW w:w="847" w:type="dxa"/>
            <w:vAlign w:val="bottom"/>
          </w:tcPr>
          <w:p w14:paraId="6610236B" w14:textId="54B0CA9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354</w:t>
            </w:r>
          </w:p>
        </w:tc>
        <w:tc>
          <w:tcPr>
            <w:tcW w:w="848" w:type="dxa"/>
            <w:vAlign w:val="bottom"/>
          </w:tcPr>
          <w:p w14:paraId="142BAA59" w14:textId="221E23B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925</w:t>
            </w:r>
          </w:p>
        </w:tc>
        <w:tc>
          <w:tcPr>
            <w:tcW w:w="848" w:type="dxa"/>
            <w:vAlign w:val="bottom"/>
          </w:tcPr>
          <w:p w14:paraId="6A32D014" w14:textId="3D6AE82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274</w:t>
            </w:r>
          </w:p>
        </w:tc>
        <w:tc>
          <w:tcPr>
            <w:tcW w:w="848" w:type="dxa"/>
            <w:vAlign w:val="bottom"/>
          </w:tcPr>
          <w:p w14:paraId="3A656E80" w14:textId="0F88C45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608</w:t>
            </w:r>
          </w:p>
        </w:tc>
      </w:tr>
      <w:tr w:rsidR="00435540" w:rsidRPr="00D35659" w14:paraId="1E13F542" w14:textId="77777777" w:rsidTr="003A799A">
        <w:tc>
          <w:tcPr>
            <w:tcW w:w="1002" w:type="dxa"/>
          </w:tcPr>
          <w:p w14:paraId="03FFCA34"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3 cm</w:t>
            </w:r>
          </w:p>
        </w:tc>
        <w:tc>
          <w:tcPr>
            <w:tcW w:w="720" w:type="dxa"/>
            <w:vAlign w:val="bottom"/>
          </w:tcPr>
          <w:p w14:paraId="06FCEFBB" w14:textId="5378840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029</w:t>
            </w:r>
          </w:p>
        </w:tc>
        <w:tc>
          <w:tcPr>
            <w:tcW w:w="720" w:type="dxa"/>
            <w:vAlign w:val="bottom"/>
          </w:tcPr>
          <w:p w14:paraId="30858D4F" w14:textId="2A6F37C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359</w:t>
            </w:r>
          </w:p>
        </w:tc>
        <w:tc>
          <w:tcPr>
            <w:tcW w:w="720" w:type="dxa"/>
            <w:vAlign w:val="bottom"/>
          </w:tcPr>
          <w:p w14:paraId="0E8AE845" w14:textId="64726B2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934</w:t>
            </w:r>
          </w:p>
        </w:tc>
        <w:tc>
          <w:tcPr>
            <w:tcW w:w="720" w:type="dxa"/>
            <w:vAlign w:val="bottom"/>
          </w:tcPr>
          <w:p w14:paraId="01FD4702" w14:textId="7C84A69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285</w:t>
            </w:r>
          </w:p>
        </w:tc>
        <w:tc>
          <w:tcPr>
            <w:tcW w:w="720" w:type="dxa"/>
            <w:vAlign w:val="bottom"/>
          </w:tcPr>
          <w:p w14:paraId="6C99C415" w14:textId="5D9DEBC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625</w:t>
            </w:r>
          </w:p>
        </w:tc>
        <w:tc>
          <w:tcPr>
            <w:tcW w:w="222" w:type="dxa"/>
            <w:vMerge/>
          </w:tcPr>
          <w:p w14:paraId="620447D9"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59454817" w14:textId="3B82C9E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032</w:t>
            </w:r>
          </w:p>
        </w:tc>
        <w:tc>
          <w:tcPr>
            <w:tcW w:w="847" w:type="dxa"/>
            <w:vAlign w:val="bottom"/>
          </w:tcPr>
          <w:p w14:paraId="51EB88A6" w14:textId="6CE6D1D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374</w:t>
            </w:r>
          </w:p>
        </w:tc>
        <w:tc>
          <w:tcPr>
            <w:tcW w:w="848" w:type="dxa"/>
            <w:vAlign w:val="bottom"/>
          </w:tcPr>
          <w:p w14:paraId="53E63087" w14:textId="0AF2672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955</w:t>
            </w:r>
          </w:p>
        </w:tc>
        <w:tc>
          <w:tcPr>
            <w:tcW w:w="848" w:type="dxa"/>
            <w:vAlign w:val="bottom"/>
          </w:tcPr>
          <w:p w14:paraId="40E09E48" w14:textId="06BCBA9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313</w:t>
            </w:r>
          </w:p>
        </w:tc>
        <w:tc>
          <w:tcPr>
            <w:tcW w:w="848" w:type="dxa"/>
            <w:vAlign w:val="bottom"/>
          </w:tcPr>
          <w:p w14:paraId="042517F0" w14:textId="353EAD2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667</w:t>
            </w:r>
          </w:p>
        </w:tc>
      </w:tr>
      <w:tr w:rsidR="00435540" w:rsidRPr="00D35659" w14:paraId="4A258A1B" w14:textId="77777777" w:rsidTr="003A799A">
        <w:tc>
          <w:tcPr>
            <w:tcW w:w="1002" w:type="dxa"/>
          </w:tcPr>
          <w:p w14:paraId="7EB498C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4 cm</w:t>
            </w:r>
          </w:p>
        </w:tc>
        <w:tc>
          <w:tcPr>
            <w:tcW w:w="720" w:type="dxa"/>
            <w:vAlign w:val="bottom"/>
          </w:tcPr>
          <w:p w14:paraId="7154EB4B" w14:textId="5E101EF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032</w:t>
            </w:r>
          </w:p>
        </w:tc>
        <w:tc>
          <w:tcPr>
            <w:tcW w:w="720" w:type="dxa"/>
            <w:vAlign w:val="bottom"/>
          </w:tcPr>
          <w:p w14:paraId="61D38BAA" w14:textId="7074C03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376</w:t>
            </w:r>
          </w:p>
        </w:tc>
        <w:tc>
          <w:tcPr>
            <w:tcW w:w="720" w:type="dxa"/>
            <w:vAlign w:val="bottom"/>
          </w:tcPr>
          <w:p w14:paraId="0BA1D67F" w14:textId="43A3FB0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959</w:t>
            </w:r>
          </w:p>
        </w:tc>
        <w:tc>
          <w:tcPr>
            <w:tcW w:w="720" w:type="dxa"/>
            <w:vAlign w:val="bottom"/>
          </w:tcPr>
          <w:p w14:paraId="5AAE8287" w14:textId="1754816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318</w:t>
            </w:r>
          </w:p>
        </w:tc>
        <w:tc>
          <w:tcPr>
            <w:tcW w:w="720" w:type="dxa"/>
            <w:vAlign w:val="bottom"/>
          </w:tcPr>
          <w:p w14:paraId="73D25E50" w14:textId="7EC5A65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675</w:t>
            </w:r>
          </w:p>
        </w:tc>
        <w:tc>
          <w:tcPr>
            <w:tcW w:w="222" w:type="dxa"/>
            <w:vMerge/>
          </w:tcPr>
          <w:p w14:paraId="68792B21"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0B788BCD" w14:textId="777EE12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035</w:t>
            </w:r>
          </w:p>
        </w:tc>
        <w:tc>
          <w:tcPr>
            <w:tcW w:w="847" w:type="dxa"/>
            <w:vAlign w:val="bottom"/>
          </w:tcPr>
          <w:p w14:paraId="2A97DFC9" w14:textId="7E2E784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391</w:t>
            </w:r>
          </w:p>
        </w:tc>
        <w:tc>
          <w:tcPr>
            <w:tcW w:w="848" w:type="dxa"/>
            <w:vAlign w:val="bottom"/>
          </w:tcPr>
          <w:p w14:paraId="1F70F139" w14:textId="43E8C4A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981</w:t>
            </w:r>
          </w:p>
        </w:tc>
        <w:tc>
          <w:tcPr>
            <w:tcW w:w="848" w:type="dxa"/>
            <w:vAlign w:val="bottom"/>
          </w:tcPr>
          <w:p w14:paraId="4AE2CAF5" w14:textId="066ECB1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347</w:t>
            </w:r>
          </w:p>
        </w:tc>
        <w:tc>
          <w:tcPr>
            <w:tcW w:w="848" w:type="dxa"/>
            <w:vAlign w:val="bottom"/>
          </w:tcPr>
          <w:p w14:paraId="7990FC21" w14:textId="53F4C1B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719</w:t>
            </w:r>
          </w:p>
        </w:tc>
      </w:tr>
      <w:tr w:rsidR="00435540" w:rsidRPr="00D35659" w14:paraId="71214E0D" w14:textId="77777777" w:rsidTr="003A799A">
        <w:tc>
          <w:tcPr>
            <w:tcW w:w="1002" w:type="dxa"/>
          </w:tcPr>
          <w:p w14:paraId="1D2FFB1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5 cm</w:t>
            </w:r>
          </w:p>
        </w:tc>
        <w:tc>
          <w:tcPr>
            <w:tcW w:w="720" w:type="dxa"/>
            <w:vAlign w:val="bottom"/>
          </w:tcPr>
          <w:p w14:paraId="54BF52B4" w14:textId="120318B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035</w:t>
            </w:r>
          </w:p>
        </w:tc>
        <w:tc>
          <w:tcPr>
            <w:tcW w:w="720" w:type="dxa"/>
            <w:vAlign w:val="bottom"/>
          </w:tcPr>
          <w:p w14:paraId="4AD49E94" w14:textId="574A746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392</w:t>
            </w:r>
          </w:p>
        </w:tc>
        <w:tc>
          <w:tcPr>
            <w:tcW w:w="720" w:type="dxa"/>
            <w:vAlign w:val="bottom"/>
          </w:tcPr>
          <w:p w14:paraId="59D46FC7" w14:textId="5286728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982</w:t>
            </w:r>
          </w:p>
        </w:tc>
        <w:tc>
          <w:tcPr>
            <w:tcW w:w="720" w:type="dxa"/>
            <w:vAlign w:val="bottom"/>
          </w:tcPr>
          <w:p w14:paraId="45D1013B" w14:textId="574C4FB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348</w:t>
            </w:r>
          </w:p>
        </w:tc>
        <w:tc>
          <w:tcPr>
            <w:tcW w:w="720" w:type="dxa"/>
            <w:vAlign w:val="bottom"/>
          </w:tcPr>
          <w:p w14:paraId="7E290966" w14:textId="6511233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721</w:t>
            </w:r>
          </w:p>
        </w:tc>
        <w:tc>
          <w:tcPr>
            <w:tcW w:w="222" w:type="dxa"/>
            <w:vMerge/>
          </w:tcPr>
          <w:p w14:paraId="075A8D83"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37F38D04" w14:textId="5D66E6D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038</w:t>
            </w:r>
          </w:p>
        </w:tc>
        <w:tc>
          <w:tcPr>
            <w:tcW w:w="847" w:type="dxa"/>
            <w:vAlign w:val="bottom"/>
          </w:tcPr>
          <w:p w14:paraId="1575B5A9" w14:textId="6CBB0DB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407</w:t>
            </w:r>
          </w:p>
        </w:tc>
        <w:tc>
          <w:tcPr>
            <w:tcW w:w="848" w:type="dxa"/>
            <w:vAlign w:val="bottom"/>
          </w:tcPr>
          <w:p w14:paraId="5FC6DAC0" w14:textId="12827E0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004</w:t>
            </w:r>
          </w:p>
        </w:tc>
        <w:tc>
          <w:tcPr>
            <w:tcW w:w="848" w:type="dxa"/>
            <w:vAlign w:val="bottom"/>
          </w:tcPr>
          <w:p w14:paraId="6AC2E717" w14:textId="03C6CA2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378</w:t>
            </w:r>
          </w:p>
        </w:tc>
        <w:tc>
          <w:tcPr>
            <w:tcW w:w="848" w:type="dxa"/>
            <w:vAlign w:val="bottom"/>
          </w:tcPr>
          <w:p w14:paraId="52285A69" w14:textId="399CB18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766</w:t>
            </w:r>
          </w:p>
        </w:tc>
      </w:tr>
      <w:tr w:rsidR="00435540" w:rsidRPr="00D35659" w14:paraId="240ACA5C" w14:textId="77777777" w:rsidTr="003A799A">
        <w:tc>
          <w:tcPr>
            <w:tcW w:w="1002" w:type="dxa"/>
          </w:tcPr>
          <w:p w14:paraId="25BC35BF"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6 cm</w:t>
            </w:r>
          </w:p>
        </w:tc>
        <w:tc>
          <w:tcPr>
            <w:tcW w:w="720" w:type="dxa"/>
            <w:vAlign w:val="bottom"/>
          </w:tcPr>
          <w:p w14:paraId="40669EF4" w14:textId="674406F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038</w:t>
            </w:r>
          </w:p>
        </w:tc>
        <w:tc>
          <w:tcPr>
            <w:tcW w:w="720" w:type="dxa"/>
            <w:vAlign w:val="bottom"/>
          </w:tcPr>
          <w:p w14:paraId="3BECC3D1" w14:textId="3CB658F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406</w:t>
            </w:r>
          </w:p>
        </w:tc>
        <w:tc>
          <w:tcPr>
            <w:tcW w:w="720" w:type="dxa"/>
            <w:vAlign w:val="bottom"/>
          </w:tcPr>
          <w:p w14:paraId="05210637" w14:textId="4F26994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003</w:t>
            </w:r>
          </w:p>
        </w:tc>
        <w:tc>
          <w:tcPr>
            <w:tcW w:w="720" w:type="dxa"/>
            <w:vAlign w:val="bottom"/>
          </w:tcPr>
          <w:p w14:paraId="5EF824ED" w14:textId="4A7BEA5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375</w:t>
            </w:r>
          </w:p>
        </w:tc>
        <w:tc>
          <w:tcPr>
            <w:tcW w:w="720" w:type="dxa"/>
            <w:vAlign w:val="bottom"/>
          </w:tcPr>
          <w:p w14:paraId="70AD73BB" w14:textId="7ADF498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762</w:t>
            </w:r>
          </w:p>
        </w:tc>
        <w:tc>
          <w:tcPr>
            <w:tcW w:w="222" w:type="dxa"/>
            <w:vMerge/>
          </w:tcPr>
          <w:p w14:paraId="493DD2C1"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63CB1FD6" w14:textId="056357D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041</w:t>
            </w:r>
          </w:p>
        </w:tc>
        <w:tc>
          <w:tcPr>
            <w:tcW w:w="847" w:type="dxa"/>
            <w:vAlign w:val="bottom"/>
          </w:tcPr>
          <w:p w14:paraId="029139E6" w14:textId="1478FF1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422</w:t>
            </w:r>
          </w:p>
        </w:tc>
        <w:tc>
          <w:tcPr>
            <w:tcW w:w="848" w:type="dxa"/>
            <w:vAlign w:val="bottom"/>
          </w:tcPr>
          <w:p w14:paraId="1866E846" w14:textId="7BF6DA2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026</w:t>
            </w:r>
          </w:p>
        </w:tc>
        <w:tc>
          <w:tcPr>
            <w:tcW w:w="848" w:type="dxa"/>
            <w:vAlign w:val="bottom"/>
          </w:tcPr>
          <w:p w14:paraId="3EE9965B" w14:textId="51658A3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406</w:t>
            </w:r>
          </w:p>
        </w:tc>
        <w:tc>
          <w:tcPr>
            <w:tcW w:w="848" w:type="dxa"/>
            <w:vAlign w:val="bottom"/>
          </w:tcPr>
          <w:p w14:paraId="2239F222" w14:textId="1A1D679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808</w:t>
            </w:r>
          </w:p>
        </w:tc>
      </w:tr>
      <w:tr w:rsidR="00435540" w:rsidRPr="00D35659" w14:paraId="224B2F6F" w14:textId="77777777" w:rsidTr="003A799A">
        <w:tc>
          <w:tcPr>
            <w:tcW w:w="1002" w:type="dxa"/>
          </w:tcPr>
          <w:p w14:paraId="4D01F44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 cm</w:t>
            </w:r>
          </w:p>
        </w:tc>
        <w:tc>
          <w:tcPr>
            <w:tcW w:w="720" w:type="dxa"/>
            <w:vAlign w:val="bottom"/>
          </w:tcPr>
          <w:p w14:paraId="5F042A5E" w14:textId="6576D63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041</w:t>
            </w:r>
          </w:p>
        </w:tc>
        <w:tc>
          <w:tcPr>
            <w:tcW w:w="720" w:type="dxa"/>
            <w:vAlign w:val="bottom"/>
          </w:tcPr>
          <w:p w14:paraId="3DDA404D" w14:textId="459722D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420</w:t>
            </w:r>
          </w:p>
        </w:tc>
        <w:tc>
          <w:tcPr>
            <w:tcW w:w="720" w:type="dxa"/>
            <w:vAlign w:val="bottom"/>
          </w:tcPr>
          <w:p w14:paraId="78E18FE1" w14:textId="483D5F7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022</w:t>
            </w:r>
          </w:p>
        </w:tc>
        <w:tc>
          <w:tcPr>
            <w:tcW w:w="720" w:type="dxa"/>
            <w:vAlign w:val="bottom"/>
          </w:tcPr>
          <w:p w14:paraId="005996A4" w14:textId="0FC08CC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401</w:t>
            </w:r>
          </w:p>
        </w:tc>
        <w:tc>
          <w:tcPr>
            <w:tcW w:w="720" w:type="dxa"/>
            <w:vAlign w:val="bottom"/>
          </w:tcPr>
          <w:p w14:paraId="07F4B446" w14:textId="1BFF543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801</w:t>
            </w:r>
          </w:p>
        </w:tc>
        <w:tc>
          <w:tcPr>
            <w:tcW w:w="222" w:type="dxa"/>
            <w:vMerge/>
          </w:tcPr>
          <w:p w14:paraId="51B498BA"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185401BD" w14:textId="47CBCE1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044</w:t>
            </w:r>
          </w:p>
        </w:tc>
        <w:tc>
          <w:tcPr>
            <w:tcW w:w="847" w:type="dxa"/>
            <w:vAlign w:val="bottom"/>
          </w:tcPr>
          <w:p w14:paraId="69D3629C" w14:textId="3EB0D07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436</w:t>
            </w:r>
          </w:p>
        </w:tc>
        <w:tc>
          <w:tcPr>
            <w:tcW w:w="848" w:type="dxa"/>
            <w:vAlign w:val="bottom"/>
          </w:tcPr>
          <w:p w14:paraId="6D7AE84A" w14:textId="0156DFA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046</w:t>
            </w:r>
          </w:p>
        </w:tc>
        <w:tc>
          <w:tcPr>
            <w:tcW w:w="848" w:type="dxa"/>
            <w:vAlign w:val="bottom"/>
          </w:tcPr>
          <w:p w14:paraId="1F2E551F" w14:textId="4CD4DB7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432</w:t>
            </w:r>
          </w:p>
        </w:tc>
        <w:tc>
          <w:tcPr>
            <w:tcW w:w="848" w:type="dxa"/>
            <w:vAlign w:val="bottom"/>
          </w:tcPr>
          <w:p w14:paraId="4F845203" w14:textId="4E3222B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848</w:t>
            </w:r>
          </w:p>
        </w:tc>
      </w:tr>
      <w:tr w:rsidR="00435540" w:rsidRPr="00D35659" w14:paraId="58D70DD6" w14:textId="77777777" w:rsidTr="003A799A">
        <w:tc>
          <w:tcPr>
            <w:tcW w:w="1002" w:type="dxa"/>
          </w:tcPr>
          <w:p w14:paraId="39676FD8"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8 cm</w:t>
            </w:r>
          </w:p>
        </w:tc>
        <w:tc>
          <w:tcPr>
            <w:tcW w:w="720" w:type="dxa"/>
            <w:vAlign w:val="bottom"/>
          </w:tcPr>
          <w:p w14:paraId="503A85FD" w14:textId="27420E8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044</w:t>
            </w:r>
          </w:p>
        </w:tc>
        <w:tc>
          <w:tcPr>
            <w:tcW w:w="720" w:type="dxa"/>
            <w:vAlign w:val="bottom"/>
          </w:tcPr>
          <w:p w14:paraId="7033108D" w14:textId="5E9EE20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432</w:t>
            </w:r>
          </w:p>
        </w:tc>
        <w:tc>
          <w:tcPr>
            <w:tcW w:w="720" w:type="dxa"/>
            <w:vAlign w:val="bottom"/>
          </w:tcPr>
          <w:p w14:paraId="720EE2A9" w14:textId="3638B20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041</w:t>
            </w:r>
          </w:p>
        </w:tc>
        <w:tc>
          <w:tcPr>
            <w:tcW w:w="720" w:type="dxa"/>
            <w:vAlign w:val="bottom"/>
          </w:tcPr>
          <w:p w14:paraId="401A6DE6" w14:textId="2606C57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425</w:t>
            </w:r>
          </w:p>
        </w:tc>
        <w:tc>
          <w:tcPr>
            <w:tcW w:w="720" w:type="dxa"/>
            <w:vAlign w:val="bottom"/>
          </w:tcPr>
          <w:p w14:paraId="50F6D7D0" w14:textId="354D1EB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837</w:t>
            </w:r>
          </w:p>
        </w:tc>
        <w:tc>
          <w:tcPr>
            <w:tcW w:w="222" w:type="dxa"/>
            <w:vMerge/>
          </w:tcPr>
          <w:p w14:paraId="28C21670" w14:textId="77777777" w:rsidR="00435540" w:rsidRPr="00D35659" w:rsidRDefault="00435540" w:rsidP="003A799A">
            <w:pPr>
              <w:rPr>
                <w:rFonts w:ascii="Times New Roman" w:eastAsiaTheme="minorEastAsia" w:hAnsi="Times New Roman" w:cs="Times New Roman"/>
                <w:lang w:val="en-US"/>
              </w:rPr>
            </w:pPr>
          </w:p>
        </w:tc>
        <w:tc>
          <w:tcPr>
            <w:tcW w:w="847" w:type="dxa"/>
            <w:vAlign w:val="bottom"/>
          </w:tcPr>
          <w:p w14:paraId="38E3924A" w14:textId="7B02285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047</w:t>
            </w:r>
          </w:p>
        </w:tc>
        <w:tc>
          <w:tcPr>
            <w:tcW w:w="847" w:type="dxa"/>
            <w:vAlign w:val="bottom"/>
          </w:tcPr>
          <w:p w14:paraId="0D70054A" w14:textId="7D68F4B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450</w:t>
            </w:r>
          </w:p>
        </w:tc>
        <w:tc>
          <w:tcPr>
            <w:tcW w:w="848" w:type="dxa"/>
            <w:vAlign w:val="bottom"/>
          </w:tcPr>
          <w:p w14:paraId="1D87AAA5" w14:textId="5DE16CD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066</w:t>
            </w:r>
          </w:p>
        </w:tc>
        <w:tc>
          <w:tcPr>
            <w:tcW w:w="848" w:type="dxa"/>
            <w:vAlign w:val="bottom"/>
          </w:tcPr>
          <w:p w14:paraId="78AA4FB5" w14:textId="668FF7E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458</w:t>
            </w:r>
          </w:p>
        </w:tc>
        <w:tc>
          <w:tcPr>
            <w:tcW w:w="848" w:type="dxa"/>
            <w:vAlign w:val="bottom"/>
          </w:tcPr>
          <w:p w14:paraId="38C0D5CE" w14:textId="011F571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886</w:t>
            </w:r>
          </w:p>
        </w:tc>
      </w:tr>
    </w:tbl>
    <w:p w14:paraId="4D3AA7F4"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 xml:space="preserve">The 75% confidence intervals of the expected damage ratios (%) and their </w:t>
      </w: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hAnsi="Times New Roman" w:cs="Times New Roman"/>
          <w:lang w:val="en-US"/>
        </w:rPr>
        <w:t>, 25</w:t>
      </w:r>
      <w:r w:rsidRPr="00D35659">
        <w:rPr>
          <w:rFonts w:ascii="Times New Roman" w:hAnsi="Times New Roman" w:cs="Times New Roman"/>
          <w:vertAlign w:val="superscript"/>
          <w:lang w:val="en-US"/>
        </w:rPr>
        <w:t>th</w:t>
      </w:r>
      <w:r w:rsidRPr="00D35659">
        <w:rPr>
          <w:rFonts w:ascii="Times New Roman" w:hAnsi="Times New Roman" w:cs="Times New Roman"/>
          <w:lang w:val="en-US"/>
        </w:rPr>
        <w:t>, 75</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and 99</w:t>
      </w:r>
      <w:r w:rsidRPr="00D35659">
        <w:rPr>
          <w:rFonts w:ascii="Times New Roman" w:hAnsi="Times New Roman" w:cs="Times New Roman"/>
          <w:vertAlign w:val="superscript"/>
          <w:lang w:val="en-US"/>
        </w:rPr>
        <w:t>th</w:t>
      </w:r>
      <w:r w:rsidRPr="00D35659">
        <w:rPr>
          <w:rFonts w:ascii="Times New Roman" w:hAnsi="Times New Roman" w:cs="Times New Roman"/>
          <w:lang w:val="en-US"/>
        </w:rPr>
        <w:t xml:space="preserve"> quantiles.</w:t>
      </w:r>
    </w:p>
    <w:p w14:paraId="5E4A13FB" w14:textId="77777777" w:rsidR="00435540" w:rsidRPr="00D35659" w:rsidRDefault="00435540" w:rsidP="00435540">
      <w:pPr>
        <w:spacing w:after="0"/>
        <w:rPr>
          <w:rFonts w:ascii="Times New Roman" w:hAnsi="Times New Roman" w:cs="Times New Roman"/>
          <w:lang w:val="en-US"/>
        </w:rPr>
      </w:pPr>
    </w:p>
    <w:p w14:paraId="5AED63F1" w14:textId="77777777" w:rsidR="00435540" w:rsidRPr="00D35659" w:rsidRDefault="00435540" w:rsidP="00435540">
      <w:pPr>
        <w:spacing w:after="0"/>
        <w:rPr>
          <w:rFonts w:ascii="Times New Roman" w:hAnsi="Times New Roman" w:cs="Times New Roman"/>
          <w:lang w:val="en-US"/>
        </w:rPr>
      </w:pPr>
      <w:r w:rsidRPr="00D35659">
        <w:rPr>
          <w:rFonts w:ascii="Times New Roman" w:hAnsi="Times New Roman" w:cs="Times New Roman"/>
          <w:lang w:val="en-US"/>
        </w:rPr>
        <w:t>Table S14</w:t>
      </w:r>
    </w:p>
    <w:tbl>
      <w:tblPr>
        <w:tblStyle w:val="Tabelraster"/>
        <w:tblW w:w="0" w:type="auto"/>
        <w:tblLook w:val="04A0" w:firstRow="1" w:lastRow="0" w:firstColumn="1" w:lastColumn="0" w:noHBand="0" w:noVBand="1"/>
      </w:tblPr>
      <w:tblGrid>
        <w:gridCol w:w="858"/>
        <w:gridCol w:w="750"/>
        <w:gridCol w:w="796"/>
        <w:gridCol w:w="859"/>
        <w:gridCol w:w="796"/>
        <w:gridCol w:w="797"/>
        <w:gridCol w:w="604"/>
        <w:gridCol w:w="720"/>
        <w:gridCol w:w="720"/>
        <w:gridCol w:w="720"/>
        <w:gridCol w:w="720"/>
        <w:gridCol w:w="720"/>
      </w:tblGrid>
      <w:tr w:rsidR="00435540" w:rsidRPr="00D35659" w14:paraId="02E016F1" w14:textId="77777777" w:rsidTr="003A799A">
        <w:tc>
          <w:tcPr>
            <w:tcW w:w="859" w:type="dxa"/>
          </w:tcPr>
          <w:p w14:paraId="601FF3A2"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Wind gust speed</w:t>
            </w:r>
          </w:p>
        </w:tc>
        <w:tc>
          <w:tcPr>
            <w:tcW w:w="750" w:type="dxa"/>
          </w:tcPr>
          <w:p w14:paraId="44D27AF2"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59C381BC" w14:textId="77777777" w:rsidR="00435540" w:rsidRPr="00D35659" w:rsidRDefault="00435540" w:rsidP="003A799A">
            <w:pPr>
              <w:rPr>
                <w:rFonts w:ascii="Times New Roman" w:eastAsiaTheme="minorEastAsia" w:hAnsi="Times New Roman" w:cs="Times New Roman"/>
                <w:lang w:val="en-US"/>
              </w:rPr>
            </w:pPr>
          </w:p>
        </w:tc>
        <w:tc>
          <w:tcPr>
            <w:tcW w:w="796" w:type="dxa"/>
          </w:tcPr>
          <w:p w14:paraId="3C54F1BF"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859" w:type="dxa"/>
          </w:tcPr>
          <w:p w14:paraId="21CB0E2C"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99% lower CI</w:t>
            </w:r>
          </w:p>
        </w:tc>
        <w:tc>
          <w:tcPr>
            <w:tcW w:w="796" w:type="dxa"/>
          </w:tcPr>
          <w:p w14:paraId="05EB630A"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32431AD3" w14:textId="77777777" w:rsidR="00435540" w:rsidRPr="00D35659" w:rsidRDefault="00435540" w:rsidP="003A799A">
            <w:pPr>
              <w:rPr>
                <w:rFonts w:ascii="Times New Roman" w:eastAsiaTheme="minorEastAsia" w:hAnsi="Times New Roman" w:cs="Times New Roman"/>
                <w:lang w:val="en-US"/>
              </w:rPr>
            </w:pPr>
          </w:p>
        </w:tc>
        <w:tc>
          <w:tcPr>
            <w:tcW w:w="797" w:type="dxa"/>
          </w:tcPr>
          <w:p w14:paraId="5368E03A"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605" w:type="dxa"/>
            <w:vMerge w:val="restart"/>
          </w:tcPr>
          <w:p w14:paraId="796EE729" w14:textId="77777777" w:rsidR="00435540" w:rsidRPr="00D35659" w:rsidRDefault="00435540" w:rsidP="003A799A">
            <w:pPr>
              <w:rPr>
                <w:rFonts w:ascii="Times New Roman" w:eastAsiaTheme="minorEastAsia" w:hAnsi="Times New Roman" w:cs="Times New Roman"/>
                <w:lang w:val="en-US"/>
              </w:rPr>
            </w:pPr>
          </w:p>
        </w:tc>
        <w:tc>
          <w:tcPr>
            <w:tcW w:w="720" w:type="dxa"/>
          </w:tcPr>
          <w:p w14:paraId="2EA704C9"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w:t>
            </w:r>
            <w:r w:rsidRPr="00D35659">
              <w:rPr>
                <w:rFonts w:ascii="Times New Roman" w:eastAsiaTheme="minorEastAsia" w:hAnsi="Times New Roman" w:cs="Times New Roman"/>
                <w:vertAlign w:val="superscript"/>
                <w:lang w:val="en-US"/>
              </w:rPr>
              <w:t>st</w:t>
            </w:r>
            <w:r w:rsidRPr="00D35659">
              <w:rPr>
                <w:rFonts w:ascii="Times New Roman" w:eastAsiaTheme="minorEastAsia" w:hAnsi="Times New Roman" w:cs="Times New Roman"/>
                <w:lang w:val="en-US"/>
              </w:rPr>
              <w:t xml:space="preserve"> Q </w:t>
            </w:r>
          </w:p>
          <w:p w14:paraId="586F5448" w14:textId="77777777" w:rsidR="00435540" w:rsidRPr="00D35659" w:rsidRDefault="00435540" w:rsidP="003A799A">
            <w:pPr>
              <w:rPr>
                <w:rFonts w:ascii="Times New Roman" w:eastAsiaTheme="minorEastAsia" w:hAnsi="Times New Roman" w:cs="Times New Roman"/>
                <w:lang w:val="en-US"/>
              </w:rPr>
            </w:pPr>
          </w:p>
        </w:tc>
        <w:tc>
          <w:tcPr>
            <w:tcW w:w="720" w:type="dxa"/>
          </w:tcPr>
          <w:p w14:paraId="42013003"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c>
          <w:tcPr>
            <w:tcW w:w="720" w:type="dxa"/>
          </w:tcPr>
          <w:p w14:paraId="429BC579" w14:textId="7777777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lang w:val="en-US"/>
              </w:rPr>
              <w:t>99% upper CI</w:t>
            </w:r>
          </w:p>
        </w:tc>
        <w:tc>
          <w:tcPr>
            <w:tcW w:w="720" w:type="dxa"/>
          </w:tcPr>
          <w:p w14:paraId="6CF37963"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75</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p w14:paraId="5384C147" w14:textId="77777777" w:rsidR="00435540" w:rsidRPr="00D35659" w:rsidRDefault="00435540" w:rsidP="003A799A">
            <w:pPr>
              <w:rPr>
                <w:rFonts w:ascii="Times New Roman" w:eastAsiaTheme="minorEastAsia" w:hAnsi="Times New Roman" w:cs="Times New Roman"/>
                <w:lang w:val="en-US"/>
              </w:rPr>
            </w:pPr>
          </w:p>
        </w:tc>
        <w:tc>
          <w:tcPr>
            <w:tcW w:w="720" w:type="dxa"/>
          </w:tcPr>
          <w:p w14:paraId="26F79371"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99</w:t>
            </w:r>
            <w:r w:rsidRPr="00D35659">
              <w:rPr>
                <w:rFonts w:ascii="Times New Roman" w:eastAsiaTheme="minorEastAsia" w:hAnsi="Times New Roman" w:cs="Times New Roman"/>
                <w:vertAlign w:val="superscript"/>
                <w:lang w:val="en-US"/>
              </w:rPr>
              <w:t>th</w:t>
            </w:r>
            <w:r w:rsidRPr="00D35659">
              <w:rPr>
                <w:rFonts w:ascii="Times New Roman" w:eastAsiaTheme="minorEastAsia" w:hAnsi="Times New Roman" w:cs="Times New Roman"/>
                <w:lang w:val="en-US"/>
              </w:rPr>
              <w:t xml:space="preserve"> Q </w:t>
            </w:r>
          </w:p>
        </w:tc>
      </w:tr>
      <w:tr w:rsidR="00435540" w:rsidRPr="00D35659" w14:paraId="038EFB4B" w14:textId="77777777" w:rsidTr="003A799A">
        <w:tc>
          <w:tcPr>
            <w:tcW w:w="859" w:type="dxa"/>
          </w:tcPr>
          <w:p w14:paraId="69DCDA90"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0 cm</w:t>
            </w:r>
          </w:p>
        </w:tc>
        <w:tc>
          <w:tcPr>
            <w:tcW w:w="750" w:type="dxa"/>
            <w:vAlign w:val="bottom"/>
          </w:tcPr>
          <w:p w14:paraId="58B9BD4D" w14:textId="537B637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013</w:t>
            </w:r>
          </w:p>
        </w:tc>
        <w:tc>
          <w:tcPr>
            <w:tcW w:w="796" w:type="dxa"/>
            <w:vAlign w:val="bottom"/>
          </w:tcPr>
          <w:p w14:paraId="68A00E88" w14:textId="0AB136D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254</w:t>
            </w:r>
          </w:p>
        </w:tc>
        <w:tc>
          <w:tcPr>
            <w:tcW w:w="859" w:type="dxa"/>
            <w:vAlign w:val="bottom"/>
          </w:tcPr>
          <w:p w14:paraId="5F5A7642" w14:textId="30F4D31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771</w:t>
            </w:r>
          </w:p>
        </w:tc>
        <w:tc>
          <w:tcPr>
            <w:tcW w:w="796" w:type="dxa"/>
            <w:vAlign w:val="bottom"/>
          </w:tcPr>
          <w:p w14:paraId="2C77AFAC" w14:textId="216CBCF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069</w:t>
            </w:r>
          </w:p>
        </w:tc>
        <w:tc>
          <w:tcPr>
            <w:tcW w:w="797" w:type="dxa"/>
            <w:vAlign w:val="bottom"/>
          </w:tcPr>
          <w:p w14:paraId="069B3055" w14:textId="4B3CF28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287</w:t>
            </w:r>
          </w:p>
        </w:tc>
        <w:tc>
          <w:tcPr>
            <w:tcW w:w="605" w:type="dxa"/>
            <w:vMerge/>
          </w:tcPr>
          <w:p w14:paraId="0A99CE00"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4980946A" w14:textId="69596B7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017</w:t>
            </w:r>
          </w:p>
        </w:tc>
        <w:tc>
          <w:tcPr>
            <w:tcW w:w="720" w:type="dxa"/>
            <w:vAlign w:val="bottom"/>
          </w:tcPr>
          <w:p w14:paraId="64CA8C1C" w14:textId="3C2B448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284</w:t>
            </w:r>
          </w:p>
        </w:tc>
        <w:tc>
          <w:tcPr>
            <w:tcW w:w="720" w:type="dxa"/>
            <w:vAlign w:val="bottom"/>
          </w:tcPr>
          <w:p w14:paraId="496DF3B3" w14:textId="2121F26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818</w:t>
            </w:r>
          </w:p>
        </w:tc>
        <w:tc>
          <w:tcPr>
            <w:tcW w:w="720" w:type="dxa"/>
            <w:vAlign w:val="bottom"/>
          </w:tcPr>
          <w:p w14:paraId="1A2AF897" w14:textId="4411EFD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132</w:t>
            </w:r>
          </w:p>
        </w:tc>
        <w:tc>
          <w:tcPr>
            <w:tcW w:w="720" w:type="dxa"/>
            <w:vAlign w:val="bottom"/>
          </w:tcPr>
          <w:p w14:paraId="7D8F752B" w14:textId="4B64BB9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387</w:t>
            </w:r>
          </w:p>
        </w:tc>
      </w:tr>
      <w:tr w:rsidR="00435540" w:rsidRPr="00D35659" w14:paraId="02FA847D" w14:textId="77777777" w:rsidTr="003A799A">
        <w:tc>
          <w:tcPr>
            <w:tcW w:w="859" w:type="dxa"/>
          </w:tcPr>
          <w:p w14:paraId="1F4B2BB6"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1 cm</w:t>
            </w:r>
          </w:p>
        </w:tc>
        <w:tc>
          <w:tcPr>
            <w:tcW w:w="750" w:type="dxa"/>
            <w:vAlign w:val="bottom"/>
          </w:tcPr>
          <w:p w14:paraId="21D8B930" w14:textId="55F5622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020</w:t>
            </w:r>
          </w:p>
        </w:tc>
        <w:tc>
          <w:tcPr>
            <w:tcW w:w="796" w:type="dxa"/>
            <w:vAlign w:val="bottom"/>
          </w:tcPr>
          <w:p w14:paraId="124538A3" w14:textId="012D020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308</w:t>
            </w:r>
          </w:p>
        </w:tc>
        <w:tc>
          <w:tcPr>
            <w:tcW w:w="859" w:type="dxa"/>
            <w:vAlign w:val="bottom"/>
          </w:tcPr>
          <w:p w14:paraId="049A82A9" w14:textId="0DFDE00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855</w:t>
            </w:r>
          </w:p>
        </w:tc>
        <w:tc>
          <w:tcPr>
            <w:tcW w:w="796" w:type="dxa"/>
            <w:vAlign w:val="bottom"/>
          </w:tcPr>
          <w:p w14:paraId="36933EC6" w14:textId="26388A4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181</w:t>
            </w:r>
          </w:p>
        </w:tc>
        <w:tc>
          <w:tcPr>
            <w:tcW w:w="797" w:type="dxa"/>
            <w:vAlign w:val="bottom"/>
          </w:tcPr>
          <w:p w14:paraId="49DC004E" w14:textId="25B8791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464</w:t>
            </w:r>
          </w:p>
        </w:tc>
        <w:tc>
          <w:tcPr>
            <w:tcW w:w="605" w:type="dxa"/>
            <w:vMerge/>
          </w:tcPr>
          <w:p w14:paraId="18048A07"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012FF248" w14:textId="4EA7DD9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025</w:t>
            </w:r>
          </w:p>
        </w:tc>
        <w:tc>
          <w:tcPr>
            <w:tcW w:w="720" w:type="dxa"/>
            <w:vAlign w:val="bottom"/>
          </w:tcPr>
          <w:p w14:paraId="276E6F6D" w14:textId="75B6AD3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338</w:t>
            </w:r>
          </w:p>
        </w:tc>
        <w:tc>
          <w:tcPr>
            <w:tcW w:w="720" w:type="dxa"/>
            <w:vAlign w:val="bottom"/>
          </w:tcPr>
          <w:p w14:paraId="52B57613" w14:textId="5FCB193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901</w:t>
            </w:r>
          </w:p>
        </w:tc>
        <w:tc>
          <w:tcPr>
            <w:tcW w:w="720" w:type="dxa"/>
            <w:vAlign w:val="bottom"/>
          </w:tcPr>
          <w:p w14:paraId="167F9534" w14:textId="7E2683A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242</w:t>
            </w:r>
          </w:p>
        </w:tc>
        <w:tc>
          <w:tcPr>
            <w:tcW w:w="720" w:type="dxa"/>
            <w:vAlign w:val="bottom"/>
          </w:tcPr>
          <w:p w14:paraId="378BA30A" w14:textId="7903E51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558</w:t>
            </w:r>
          </w:p>
        </w:tc>
      </w:tr>
      <w:tr w:rsidR="00435540" w:rsidRPr="00D35659" w14:paraId="04728810" w14:textId="77777777" w:rsidTr="003A799A">
        <w:tc>
          <w:tcPr>
            <w:tcW w:w="859" w:type="dxa"/>
          </w:tcPr>
          <w:p w14:paraId="5FB95852"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2 cm</w:t>
            </w:r>
          </w:p>
        </w:tc>
        <w:tc>
          <w:tcPr>
            <w:tcW w:w="750" w:type="dxa"/>
            <w:vAlign w:val="bottom"/>
          </w:tcPr>
          <w:p w14:paraId="647E225F" w14:textId="7DFC602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024</w:t>
            </w:r>
          </w:p>
        </w:tc>
        <w:tc>
          <w:tcPr>
            <w:tcW w:w="796" w:type="dxa"/>
            <w:vAlign w:val="bottom"/>
          </w:tcPr>
          <w:p w14:paraId="55F98C86" w14:textId="200FCC87"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332</w:t>
            </w:r>
          </w:p>
        </w:tc>
        <w:tc>
          <w:tcPr>
            <w:tcW w:w="859" w:type="dxa"/>
            <w:vAlign w:val="bottom"/>
          </w:tcPr>
          <w:p w14:paraId="6190CDBD" w14:textId="6559EBD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892</w:t>
            </w:r>
          </w:p>
        </w:tc>
        <w:tc>
          <w:tcPr>
            <w:tcW w:w="796" w:type="dxa"/>
            <w:vAlign w:val="bottom"/>
          </w:tcPr>
          <w:p w14:paraId="0B31BC6E" w14:textId="27BBEAD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230</w:t>
            </w:r>
          </w:p>
        </w:tc>
        <w:tc>
          <w:tcPr>
            <w:tcW w:w="797" w:type="dxa"/>
            <w:vAlign w:val="bottom"/>
          </w:tcPr>
          <w:p w14:paraId="0E16899A" w14:textId="5D020F2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539</w:t>
            </w:r>
          </w:p>
        </w:tc>
        <w:tc>
          <w:tcPr>
            <w:tcW w:w="605" w:type="dxa"/>
            <w:vMerge/>
          </w:tcPr>
          <w:p w14:paraId="11A990EB"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31295526" w14:textId="5A49770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030</w:t>
            </w:r>
          </w:p>
        </w:tc>
        <w:tc>
          <w:tcPr>
            <w:tcW w:w="720" w:type="dxa"/>
            <w:vAlign w:val="bottom"/>
          </w:tcPr>
          <w:p w14:paraId="19B45B1D" w14:textId="7785551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363</w:t>
            </w:r>
          </w:p>
        </w:tc>
        <w:tc>
          <w:tcPr>
            <w:tcW w:w="720" w:type="dxa"/>
            <w:vAlign w:val="bottom"/>
          </w:tcPr>
          <w:p w14:paraId="371825E0" w14:textId="32FA3BC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938</w:t>
            </w:r>
          </w:p>
        </w:tc>
        <w:tc>
          <w:tcPr>
            <w:tcW w:w="720" w:type="dxa"/>
            <w:vAlign w:val="bottom"/>
          </w:tcPr>
          <w:p w14:paraId="3471E103" w14:textId="44A7183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292</w:t>
            </w:r>
          </w:p>
        </w:tc>
        <w:tc>
          <w:tcPr>
            <w:tcW w:w="720" w:type="dxa"/>
            <w:vAlign w:val="bottom"/>
          </w:tcPr>
          <w:p w14:paraId="0FD1F361" w14:textId="6D80873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634</w:t>
            </w:r>
          </w:p>
        </w:tc>
      </w:tr>
      <w:tr w:rsidR="00435540" w:rsidRPr="00D35659" w14:paraId="636E65F3" w14:textId="77777777" w:rsidTr="003A799A">
        <w:tc>
          <w:tcPr>
            <w:tcW w:w="859" w:type="dxa"/>
          </w:tcPr>
          <w:p w14:paraId="38DA8DA7"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3 cm</w:t>
            </w:r>
          </w:p>
        </w:tc>
        <w:tc>
          <w:tcPr>
            <w:tcW w:w="750" w:type="dxa"/>
            <w:vAlign w:val="bottom"/>
          </w:tcPr>
          <w:p w14:paraId="33791038" w14:textId="449C4F8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028</w:t>
            </w:r>
          </w:p>
        </w:tc>
        <w:tc>
          <w:tcPr>
            <w:tcW w:w="796" w:type="dxa"/>
            <w:vAlign w:val="bottom"/>
          </w:tcPr>
          <w:p w14:paraId="466FF1EF" w14:textId="08820D2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351</w:t>
            </w:r>
          </w:p>
        </w:tc>
        <w:tc>
          <w:tcPr>
            <w:tcW w:w="859" w:type="dxa"/>
            <w:vAlign w:val="bottom"/>
          </w:tcPr>
          <w:p w14:paraId="4FA14380" w14:textId="365C0D7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921</w:t>
            </w:r>
          </w:p>
        </w:tc>
        <w:tc>
          <w:tcPr>
            <w:tcW w:w="796" w:type="dxa"/>
            <w:vAlign w:val="bottom"/>
          </w:tcPr>
          <w:p w14:paraId="78A771FE" w14:textId="74322D8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268</w:t>
            </w:r>
          </w:p>
        </w:tc>
        <w:tc>
          <w:tcPr>
            <w:tcW w:w="797" w:type="dxa"/>
            <w:vAlign w:val="bottom"/>
          </w:tcPr>
          <w:p w14:paraId="4ACD1E13" w14:textId="378D171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598</w:t>
            </w:r>
          </w:p>
        </w:tc>
        <w:tc>
          <w:tcPr>
            <w:tcW w:w="605" w:type="dxa"/>
            <w:vMerge/>
          </w:tcPr>
          <w:p w14:paraId="3A07A208"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51DFF2A8" w14:textId="34F6E49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033</w:t>
            </w:r>
          </w:p>
        </w:tc>
        <w:tc>
          <w:tcPr>
            <w:tcW w:w="720" w:type="dxa"/>
            <w:vAlign w:val="bottom"/>
          </w:tcPr>
          <w:p w14:paraId="176D0A80" w14:textId="4314BEE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383</w:t>
            </w:r>
          </w:p>
        </w:tc>
        <w:tc>
          <w:tcPr>
            <w:tcW w:w="720" w:type="dxa"/>
            <w:vAlign w:val="bottom"/>
          </w:tcPr>
          <w:p w14:paraId="4D388074" w14:textId="34FA416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968</w:t>
            </w:r>
          </w:p>
        </w:tc>
        <w:tc>
          <w:tcPr>
            <w:tcW w:w="720" w:type="dxa"/>
            <w:vAlign w:val="bottom"/>
          </w:tcPr>
          <w:p w14:paraId="0BA4C593" w14:textId="276485B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331</w:t>
            </w:r>
          </w:p>
        </w:tc>
        <w:tc>
          <w:tcPr>
            <w:tcW w:w="720" w:type="dxa"/>
            <w:vAlign w:val="bottom"/>
          </w:tcPr>
          <w:p w14:paraId="4B3C4D4D" w14:textId="6CB045C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694</w:t>
            </w:r>
          </w:p>
        </w:tc>
      </w:tr>
      <w:tr w:rsidR="00435540" w:rsidRPr="00D35659" w14:paraId="16CF0C09" w14:textId="77777777" w:rsidTr="003A799A">
        <w:tc>
          <w:tcPr>
            <w:tcW w:w="859" w:type="dxa"/>
          </w:tcPr>
          <w:p w14:paraId="1D4A1976"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4 cm</w:t>
            </w:r>
          </w:p>
        </w:tc>
        <w:tc>
          <w:tcPr>
            <w:tcW w:w="750" w:type="dxa"/>
            <w:vAlign w:val="bottom"/>
          </w:tcPr>
          <w:p w14:paraId="3EBF72D9" w14:textId="37625DF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031</w:t>
            </w:r>
          </w:p>
        </w:tc>
        <w:tc>
          <w:tcPr>
            <w:tcW w:w="796" w:type="dxa"/>
            <w:vAlign w:val="bottom"/>
          </w:tcPr>
          <w:p w14:paraId="51A5C466" w14:textId="0C4C6D6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367</w:t>
            </w:r>
          </w:p>
        </w:tc>
        <w:tc>
          <w:tcPr>
            <w:tcW w:w="859" w:type="dxa"/>
            <w:vAlign w:val="bottom"/>
          </w:tcPr>
          <w:p w14:paraId="5F6C6787" w14:textId="73452B5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946</w:t>
            </w:r>
          </w:p>
        </w:tc>
        <w:tc>
          <w:tcPr>
            <w:tcW w:w="796" w:type="dxa"/>
            <w:vAlign w:val="bottom"/>
          </w:tcPr>
          <w:p w14:paraId="5CCC8427" w14:textId="67F657E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301</w:t>
            </w:r>
          </w:p>
        </w:tc>
        <w:tc>
          <w:tcPr>
            <w:tcW w:w="797" w:type="dxa"/>
            <w:vAlign w:val="bottom"/>
          </w:tcPr>
          <w:p w14:paraId="2CF6AB67" w14:textId="50B9A79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649</w:t>
            </w:r>
          </w:p>
        </w:tc>
        <w:tc>
          <w:tcPr>
            <w:tcW w:w="605" w:type="dxa"/>
            <w:vMerge/>
          </w:tcPr>
          <w:p w14:paraId="0E1A6317"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25582693" w14:textId="34783BAC"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037</w:t>
            </w:r>
          </w:p>
        </w:tc>
        <w:tc>
          <w:tcPr>
            <w:tcW w:w="720" w:type="dxa"/>
            <w:vAlign w:val="bottom"/>
          </w:tcPr>
          <w:p w14:paraId="41CC983D" w14:textId="2D38C77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401</w:t>
            </w:r>
          </w:p>
        </w:tc>
        <w:tc>
          <w:tcPr>
            <w:tcW w:w="720" w:type="dxa"/>
            <w:vAlign w:val="bottom"/>
          </w:tcPr>
          <w:p w14:paraId="60F936E6" w14:textId="4E90430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995</w:t>
            </w:r>
          </w:p>
        </w:tc>
        <w:tc>
          <w:tcPr>
            <w:tcW w:w="720" w:type="dxa"/>
            <w:vAlign w:val="bottom"/>
          </w:tcPr>
          <w:p w14:paraId="53BBEE1E" w14:textId="266D765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365</w:t>
            </w:r>
          </w:p>
        </w:tc>
        <w:tc>
          <w:tcPr>
            <w:tcW w:w="720" w:type="dxa"/>
            <w:vAlign w:val="bottom"/>
          </w:tcPr>
          <w:p w14:paraId="6BAAE98F" w14:textId="2FA8C74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747</w:t>
            </w:r>
          </w:p>
        </w:tc>
      </w:tr>
      <w:tr w:rsidR="00435540" w:rsidRPr="00D35659" w14:paraId="1F45A6C2" w14:textId="77777777" w:rsidTr="003A799A">
        <w:tc>
          <w:tcPr>
            <w:tcW w:w="859" w:type="dxa"/>
          </w:tcPr>
          <w:p w14:paraId="200D7D21"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5 cm</w:t>
            </w:r>
          </w:p>
        </w:tc>
        <w:tc>
          <w:tcPr>
            <w:tcW w:w="750" w:type="dxa"/>
            <w:vAlign w:val="bottom"/>
          </w:tcPr>
          <w:p w14:paraId="408615E2" w14:textId="7DAB13B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033</w:t>
            </w:r>
          </w:p>
        </w:tc>
        <w:tc>
          <w:tcPr>
            <w:tcW w:w="796" w:type="dxa"/>
            <w:vAlign w:val="bottom"/>
          </w:tcPr>
          <w:p w14:paraId="73025019" w14:textId="4373057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382</w:t>
            </w:r>
          </w:p>
        </w:tc>
        <w:tc>
          <w:tcPr>
            <w:tcW w:w="859" w:type="dxa"/>
            <w:vAlign w:val="bottom"/>
          </w:tcPr>
          <w:p w14:paraId="3AC7B67C" w14:textId="2F31E04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968</w:t>
            </w:r>
          </w:p>
        </w:tc>
        <w:tc>
          <w:tcPr>
            <w:tcW w:w="796" w:type="dxa"/>
            <w:vAlign w:val="bottom"/>
          </w:tcPr>
          <w:p w14:paraId="1AB08000" w14:textId="76EB6F2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330</w:t>
            </w:r>
          </w:p>
        </w:tc>
        <w:tc>
          <w:tcPr>
            <w:tcW w:w="797" w:type="dxa"/>
            <w:vAlign w:val="bottom"/>
          </w:tcPr>
          <w:p w14:paraId="002B4863" w14:textId="2A0AB11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693</w:t>
            </w:r>
          </w:p>
        </w:tc>
        <w:tc>
          <w:tcPr>
            <w:tcW w:w="605" w:type="dxa"/>
            <w:vMerge/>
          </w:tcPr>
          <w:p w14:paraId="17849CEA"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55847129" w14:textId="3D5A6B2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040</w:t>
            </w:r>
          </w:p>
        </w:tc>
        <w:tc>
          <w:tcPr>
            <w:tcW w:w="720" w:type="dxa"/>
            <w:vAlign w:val="bottom"/>
          </w:tcPr>
          <w:p w14:paraId="54F603EC" w14:textId="0C46305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417</w:t>
            </w:r>
          </w:p>
        </w:tc>
        <w:tc>
          <w:tcPr>
            <w:tcW w:w="720" w:type="dxa"/>
            <w:vAlign w:val="bottom"/>
          </w:tcPr>
          <w:p w14:paraId="7D015277" w14:textId="731B581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019</w:t>
            </w:r>
          </w:p>
        </w:tc>
        <w:tc>
          <w:tcPr>
            <w:tcW w:w="720" w:type="dxa"/>
            <w:vAlign w:val="bottom"/>
          </w:tcPr>
          <w:p w14:paraId="36C5A85A" w14:textId="4839272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396</w:t>
            </w:r>
          </w:p>
        </w:tc>
        <w:tc>
          <w:tcPr>
            <w:tcW w:w="720" w:type="dxa"/>
            <w:vAlign w:val="bottom"/>
          </w:tcPr>
          <w:p w14:paraId="57D847C1" w14:textId="6428DE7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794</w:t>
            </w:r>
          </w:p>
        </w:tc>
      </w:tr>
      <w:tr w:rsidR="00435540" w:rsidRPr="00D35659" w14:paraId="2D7ADDEE" w14:textId="77777777" w:rsidTr="003A799A">
        <w:tc>
          <w:tcPr>
            <w:tcW w:w="859" w:type="dxa"/>
          </w:tcPr>
          <w:p w14:paraId="4E1B2CAE"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6 cm</w:t>
            </w:r>
          </w:p>
        </w:tc>
        <w:tc>
          <w:tcPr>
            <w:tcW w:w="750" w:type="dxa"/>
            <w:vAlign w:val="bottom"/>
          </w:tcPr>
          <w:p w14:paraId="038DDEA4" w14:textId="025A0D6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036</w:t>
            </w:r>
          </w:p>
        </w:tc>
        <w:tc>
          <w:tcPr>
            <w:tcW w:w="796" w:type="dxa"/>
            <w:vAlign w:val="bottom"/>
          </w:tcPr>
          <w:p w14:paraId="74A2DB5E" w14:textId="1109C30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396</w:t>
            </w:r>
          </w:p>
        </w:tc>
        <w:tc>
          <w:tcPr>
            <w:tcW w:w="859" w:type="dxa"/>
            <w:vAlign w:val="bottom"/>
          </w:tcPr>
          <w:p w14:paraId="26C6A248" w14:textId="6C583B2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988</w:t>
            </w:r>
          </w:p>
        </w:tc>
        <w:tc>
          <w:tcPr>
            <w:tcW w:w="796" w:type="dxa"/>
            <w:vAlign w:val="bottom"/>
          </w:tcPr>
          <w:p w14:paraId="2D4C64D2" w14:textId="4BE5E801"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357</w:t>
            </w:r>
          </w:p>
        </w:tc>
        <w:tc>
          <w:tcPr>
            <w:tcW w:w="797" w:type="dxa"/>
            <w:vAlign w:val="bottom"/>
          </w:tcPr>
          <w:p w14:paraId="66C49CC3" w14:textId="49FA54A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734</w:t>
            </w:r>
          </w:p>
        </w:tc>
        <w:tc>
          <w:tcPr>
            <w:tcW w:w="605" w:type="dxa"/>
            <w:vMerge/>
          </w:tcPr>
          <w:p w14:paraId="1FBEC1D4"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741EA573" w14:textId="2D27CD8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044</w:t>
            </w:r>
          </w:p>
        </w:tc>
        <w:tc>
          <w:tcPr>
            <w:tcW w:w="720" w:type="dxa"/>
            <w:vAlign w:val="bottom"/>
          </w:tcPr>
          <w:p w14:paraId="56BE18E6" w14:textId="52F922A3"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432</w:t>
            </w:r>
          </w:p>
        </w:tc>
        <w:tc>
          <w:tcPr>
            <w:tcW w:w="720" w:type="dxa"/>
            <w:vAlign w:val="bottom"/>
          </w:tcPr>
          <w:p w14:paraId="55CE0D97" w14:textId="72F31B1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041</w:t>
            </w:r>
          </w:p>
        </w:tc>
        <w:tc>
          <w:tcPr>
            <w:tcW w:w="720" w:type="dxa"/>
            <w:vAlign w:val="bottom"/>
          </w:tcPr>
          <w:p w14:paraId="5CEC321F" w14:textId="333E04D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425</w:t>
            </w:r>
          </w:p>
        </w:tc>
        <w:tc>
          <w:tcPr>
            <w:tcW w:w="720" w:type="dxa"/>
            <w:vAlign w:val="bottom"/>
          </w:tcPr>
          <w:p w14:paraId="6C4BA80D" w14:textId="0DF43D9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837</w:t>
            </w:r>
          </w:p>
        </w:tc>
      </w:tr>
      <w:tr w:rsidR="00435540" w:rsidRPr="00D35659" w14:paraId="5CDAF9C8" w14:textId="77777777" w:rsidTr="003A799A">
        <w:tc>
          <w:tcPr>
            <w:tcW w:w="859" w:type="dxa"/>
          </w:tcPr>
          <w:p w14:paraId="5DA0B9D1"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7 cm</w:t>
            </w:r>
          </w:p>
        </w:tc>
        <w:tc>
          <w:tcPr>
            <w:tcW w:w="750" w:type="dxa"/>
            <w:vAlign w:val="bottom"/>
          </w:tcPr>
          <w:p w14:paraId="7A057644" w14:textId="553DCF55"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039</w:t>
            </w:r>
          </w:p>
        </w:tc>
        <w:tc>
          <w:tcPr>
            <w:tcW w:w="796" w:type="dxa"/>
            <w:vAlign w:val="bottom"/>
          </w:tcPr>
          <w:p w14:paraId="3E970BC2" w14:textId="3F4EF24F"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409</w:t>
            </w:r>
          </w:p>
        </w:tc>
        <w:tc>
          <w:tcPr>
            <w:tcW w:w="859" w:type="dxa"/>
            <w:vAlign w:val="bottom"/>
          </w:tcPr>
          <w:p w14:paraId="43AAF176" w14:textId="2A8E9E6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007</w:t>
            </w:r>
          </w:p>
        </w:tc>
        <w:tc>
          <w:tcPr>
            <w:tcW w:w="796" w:type="dxa"/>
            <w:vAlign w:val="bottom"/>
          </w:tcPr>
          <w:p w14:paraId="0FFE097F" w14:textId="42DB0EB6"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382</w:t>
            </w:r>
          </w:p>
        </w:tc>
        <w:tc>
          <w:tcPr>
            <w:tcW w:w="797" w:type="dxa"/>
            <w:vAlign w:val="bottom"/>
          </w:tcPr>
          <w:p w14:paraId="1FBF0782" w14:textId="15E992B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772</w:t>
            </w:r>
          </w:p>
        </w:tc>
        <w:tc>
          <w:tcPr>
            <w:tcW w:w="605" w:type="dxa"/>
            <w:vMerge/>
          </w:tcPr>
          <w:p w14:paraId="7E8FCCCE"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6DB0FF15" w14:textId="1A76C33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047</w:t>
            </w:r>
          </w:p>
        </w:tc>
        <w:tc>
          <w:tcPr>
            <w:tcW w:w="720" w:type="dxa"/>
            <w:vAlign w:val="bottom"/>
          </w:tcPr>
          <w:p w14:paraId="3A36B966" w14:textId="634D895E"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447</w:t>
            </w:r>
          </w:p>
        </w:tc>
        <w:tc>
          <w:tcPr>
            <w:tcW w:w="720" w:type="dxa"/>
            <w:vAlign w:val="bottom"/>
          </w:tcPr>
          <w:p w14:paraId="60733FC4" w14:textId="64E1ECE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062</w:t>
            </w:r>
          </w:p>
        </w:tc>
        <w:tc>
          <w:tcPr>
            <w:tcW w:w="720" w:type="dxa"/>
            <w:vAlign w:val="bottom"/>
          </w:tcPr>
          <w:p w14:paraId="40622782" w14:textId="03FF3C0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452</w:t>
            </w:r>
          </w:p>
        </w:tc>
        <w:tc>
          <w:tcPr>
            <w:tcW w:w="720" w:type="dxa"/>
            <w:vAlign w:val="bottom"/>
          </w:tcPr>
          <w:p w14:paraId="10926FE2" w14:textId="53F8C28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878</w:t>
            </w:r>
          </w:p>
        </w:tc>
      </w:tr>
      <w:tr w:rsidR="00435540" w:rsidRPr="00D35659" w14:paraId="17F69820" w14:textId="77777777" w:rsidTr="003A799A">
        <w:tc>
          <w:tcPr>
            <w:tcW w:w="859" w:type="dxa"/>
          </w:tcPr>
          <w:p w14:paraId="57AD4ED6" w14:textId="77777777" w:rsidR="00435540" w:rsidRPr="00D35659" w:rsidRDefault="00435540" w:rsidP="003A799A">
            <w:pPr>
              <w:rPr>
                <w:rFonts w:ascii="Times New Roman" w:eastAsiaTheme="minorEastAsia" w:hAnsi="Times New Roman" w:cs="Times New Roman"/>
                <w:lang w:val="en-US"/>
              </w:rPr>
            </w:pPr>
            <w:r w:rsidRPr="00D35659">
              <w:rPr>
                <w:rFonts w:ascii="Times New Roman" w:eastAsiaTheme="minorEastAsia" w:hAnsi="Times New Roman" w:cs="Times New Roman"/>
                <w:lang w:val="en-US"/>
              </w:rPr>
              <w:t>8 cm</w:t>
            </w:r>
          </w:p>
        </w:tc>
        <w:tc>
          <w:tcPr>
            <w:tcW w:w="750" w:type="dxa"/>
            <w:vAlign w:val="bottom"/>
          </w:tcPr>
          <w:p w14:paraId="2EB65823" w14:textId="5716A2C2"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041</w:t>
            </w:r>
          </w:p>
        </w:tc>
        <w:tc>
          <w:tcPr>
            <w:tcW w:w="796" w:type="dxa"/>
            <w:vAlign w:val="bottom"/>
          </w:tcPr>
          <w:p w14:paraId="245FFBE0" w14:textId="2664A6F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422</w:t>
            </w:r>
          </w:p>
        </w:tc>
        <w:tc>
          <w:tcPr>
            <w:tcW w:w="859" w:type="dxa"/>
            <w:vAlign w:val="bottom"/>
          </w:tcPr>
          <w:p w14:paraId="114E8CF4" w14:textId="4317FD1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025</w:t>
            </w:r>
          </w:p>
        </w:tc>
        <w:tc>
          <w:tcPr>
            <w:tcW w:w="796" w:type="dxa"/>
            <w:vAlign w:val="bottom"/>
          </w:tcPr>
          <w:p w14:paraId="0D82388C" w14:textId="0FA4F28B"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405</w:t>
            </w:r>
          </w:p>
        </w:tc>
        <w:tc>
          <w:tcPr>
            <w:tcW w:w="797" w:type="dxa"/>
            <w:vAlign w:val="bottom"/>
          </w:tcPr>
          <w:p w14:paraId="57C00669" w14:textId="107BCDC4"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807</w:t>
            </w:r>
          </w:p>
        </w:tc>
        <w:tc>
          <w:tcPr>
            <w:tcW w:w="605" w:type="dxa"/>
            <w:vMerge/>
          </w:tcPr>
          <w:p w14:paraId="7CC2C2C8" w14:textId="77777777" w:rsidR="00435540" w:rsidRPr="00D35659" w:rsidRDefault="00435540" w:rsidP="003A799A">
            <w:pPr>
              <w:rPr>
                <w:rFonts w:ascii="Times New Roman" w:eastAsiaTheme="minorEastAsia" w:hAnsi="Times New Roman" w:cs="Times New Roman"/>
                <w:lang w:val="en-US"/>
              </w:rPr>
            </w:pPr>
          </w:p>
        </w:tc>
        <w:tc>
          <w:tcPr>
            <w:tcW w:w="720" w:type="dxa"/>
            <w:vAlign w:val="bottom"/>
          </w:tcPr>
          <w:p w14:paraId="56B76E49" w14:textId="043AD1C8"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050</w:t>
            </w:r>
          </w:p>
        </w:tc>
        <w:tc>
          <w:tcPr>
            <w:tcW w:w="720" w:type="dxa"/>
            <w:vAlign w:val="bottom"/>
          </w:tcPr>
          <w:p w14:paraId="560EDBA2" w14:textId="7C508220"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0</w:t>
            </w:r>
            <w:r w:rsidR="005214D7">
              <w:rPr>
                <w:rFonts w:ascii="Times New Roman" w:hAnsi="Times New Roman" w:cs="Times New Roman"/>
                <w:color w:val="000000"/>
              </w:rPr>
              <w:t>.</w:t>
            </w:r>
            <w:r w:rsidRPr="00D35659">
              <w:rPr>
                <w:rFonts w:ascii="Times New Roman" w:hAnsi="Times New Roman" w:cs="Times New Roman"/>
                <w:color w:val="000000"/>
              </w:rPr>
              <w:t>461</w:t>
            </w:r>
          </w:p>
        </w:tc>
        <w:tc>
          <w:tcPr>
            <w:tcW w:w="720" w:type="dxa"/>
            <w:vAlign w:val="bottom"/>
          </w:tcPr>
          <w:p w14:paraId="130CAC06" w14:textId="1B77447A"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082</w:t>
            </w:r>
          </w:p>
        </w:tc>
        <w:tc>
          <w:tcPr>
            <w:tcW w:w="720" w:type="dxa"/>
            <w:vAlign w:val="bottom"/>
          </w:tcPr>
          <w:p w14:paraId="6830114F" w14:textId="68A0D59D"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1</w:t>
            </w:r>
            <w:r w:rsidR="005214D7">
              <w:rPr>
                <w:rFonts w:ascii="Times New Roman" w:hAnsi="Times New Roman" w:cs="Times New Roman"/>
                <w:color w:val="000000"/>
              </w:rPr>
              <w:t>.</w:t>
            </w:r>
            <w:r w:rsidRPr="00D35659">
              <w:rPr>
                <w:rFonts w:ascii="Times New Roman" w:hAnsi="Times New Roman" w:cs="Times New Roman"/>
                <w:color w:val="000000"/>
              </w:rPr>
              <w:t>478</w:t>
            </w:r>
          </w:p>
        </w:tc>
        <w:tc>
          <w:tcPr>
            <w:tcW w:w="720" w:type="dxa"/>
            <w:vAlign w:val="bottom"/>
          </w:tcPr>
          <w:p w14:paraId="1714E735" w14:textId="320CDC69" w:rsidR="00435540" w:rsidRPr="00D35659" w:rsidRDefault="00435540" w:rsidP="003A799A">
            <w:pPr>
              <w:rPr>
                <w:rFonts w:ascii="Times New Roman" w:eastAsiaTheme="minorEastAsia" w:hAnsi="Times New Roman" w:cs="Times New Roman"/>
                <w:lang w:val="en-US"/>
              </w:rPr>
            </w:pPr>
            <w:r w:rsidRPr="00D35659">
              <w:rPr>
                <w:rFonts w:ascii="Times New Roman" w:hAnsi="Times New Roman" w:cs="Times New Roman"/>
                <w:color w:val="000000"/>
              </w:rPr>
              <w:t>3</w:t>
            </w:r>
            <w:r w:rsidR="005214D7">
              <w:rPr>
                <w:rFonts w:ascii="Times New Roman" w:hAnsi="Times New Roman" w:cs="Times New Roman"/>
                <w:color w:val="000000"/>
              </w:rPr>
              <w:t>.</w:t>
            </w:r>
            <w:r w:rsidRPr="00D35659">
              <w:rPr>
                <w:rFonts w:ascii="Times New Roman" w:hAnsi="Times New Roman" w:cs="Times New Roman"/>
                <w:color w:val="000000"/>
              </w:rPr>
              <w:t>917</w:t>
            </w:r>
          </w:p>
        </w:tc>
      </w:tr>
    </w:tbl>
    <w:p w14:paraId="327D83C6" w14:textId="77777777" w:rsidR="00435540" w:rsidRDefault="00435540" w:rsidP="00435540">
      <w:pPr>
        <w:spacing w:after="0"/>
        <w:rPr>
          <w:rFonts w:ascii="Times New Roman" w:hAnsi="Times New Roman" w:cs="Times New Roman"/>
          <w:lang w:val="en-US"/>
        </w:rPr>
      </w:pPr>
      <w:r>
        <w:rPr>
          <w:rFonts w:ascii="Times New Roman" w:hAnsi="Times New Roman" w:cs="Times New Roman"/>
          <w:lang w:val="en-US"/>
        </w:rPr>
        <w:t xml:space="preserve">The 99% confidence intervals of the expected damage ratios (%) and their </w:t>
      </w:r>
      <w:r>
        <w:rPr>
          <w:rFonts w:ascii="Times New Roman" w:eastAsiaTheme="minorEastAsia" w:hAnsi="Times New Roman" w:cs="Times New Roman"/>
          <w:lang w:val="en-US"/>
        </w:rPr>
        <w:t>1</w:t>
      </w:r>
      <w:r w:rsidRPr="003163C5">
        <w:rPr>
          <w:rFonts w:ascii="Times New Roman" w:eastAsiaTheme="minorEastAsia" w:hAnsi="Times New Roman" w:cs="Times New Roman"/>
          <w:vertAlign w:val="superscript"/>
          <w:lang w:val="en-US"/>
        </w:rPr>
        <w:t>st</w:t>
      </w:r>
      <w:r>
        <w:rPr>
          <w:rFonts w:ascii="Times New Roman" w:hAnsi="Times New Roman" w:cs="Times New Roman"/>
          <w:lang w:val="en-US"/>
        </w:rPr>
        <w:t>, 25</w:t>
      </w:r>
      <w:r w:rsidRPr="007D23D5">
        <w:rPr>
          <w:rFonts w:ascii="Times New Roman" w:hAnsi="Times New Roman" w:cs="Times New Roman"/>
          <w:vertAlign w:val="superscript"/>
          <w:lang w:val="en-US"/>
        </w:rPr>
        <w:t>th</w:t>
      </w:r>
      <w:r>
        <w:rPr>
          <w:rFonts w:ascii="Times New Roman" w:hAnsi="Times New Roman" w:cs="Times New Roman"/>
          <w:lang w:val="en-US"/>
        </w:rPr>
        <w:t>, 75</w:t>
      </w:r>
      <w:r w:rsidRPr="00D94F07">
        <w:rPr>
          <w:rFonts w:ascii="Times New Roman" w:hAnsi="Times New Roman" w:cs="Times New Roman"/>
          <w:vertAlign w:val="superscript"/>
          <w:lang w:val="en-US"/>
        </w:rPr>
        <w:t>th</w:t>
      </w:r>
      <w:r>
        <w:rPr>
          <w:rFonts w:ascii="Times New Roman" w:hAnsi="Times New Roman" w:cs="Times New Roman"/>
          <w:lang w:val="en-US"/>
        </w:rPr>
        <w:t xml:space="preserve"> and 99</w:t>
      </w:r>
      <w:r w:rsidRPr="00D94F07">
        <w:rPr>
          <w:rFonts w:ascii="Times New Roman" w:hAnsi="Times New Roman" w:cs="Times New Roman"/>
          <w:vertAlign w:val="superscript"/>
          <w:lang w:val="en-US"/>
        </w:rPr>
        <w:t>th</w:t>
      </w:r>
      <w:r>
        <w:rPr>
          <w:rFonts w:ascii="Times New Roman" w:hAnsi="Times New Roman" w:cs="Times New Roman"/>
          <w:lang w:val="en-US"/>
        </w:rPr>
        <w:t xml:space="preserve"> quantiles.</w:t>
      </w:r>
    </w:p>
    <w:p w14:paraId="0C9E62E0" w14:textId="77777777" w:rsidR="002F3441" w:rsidRDefault="002F3441" w:rsidP="00435540">
      <w:pPr>
        <w:spacing w:after="0"/>
        <w:rPr>
          <w:rFonts w:ascii="Times New Roman" w:hAnsi="Times New Roman" w:cs="Times New Roman"/>
          <w:lang w:val="en-US"/>
        </w:rPr>
      </w:pPr>
    </w:p>
    <w:p w14:paraId="502A8773" w14:textId="77777777" w:rsidR="002F3441" w:rsidRDefault="002F3441" w:rsidP="00435540">
      <w:pPr>
        <w:spacing w:after="0"/>
        <w:rPr>
          <w:rFonts w:ascii="Times New Roman" w:hAnsi="Times New Roman" w:cs="Times New Roman"/>
          <w:lang w:val="en-US"/>
        </w:rPr>
      </w:pPr>
    </w:p>
    <w:p w14:paraId="7D7B50D7" w14:textId="77777777" w:rsidR="002F3441" w:rsidRDefault="002F3441" w:rsidP="00435540">
      <w:pPr>
        <w:spacing w:after="0"/>
        <w:rPr>
          <w:rFonts w:ascii="Times New Roman" w:hAnsi="Times New Roman" w:cs="Times New Roman"/>
          <w:lang w:val="en-US"/>
        </w:rPr>
      </w:pPr>
    </w:p>
    <w:p w14:paraId="71B4C510" w14:textId="77777777" w:rsidR="002F3441" w:rsidRDefault="002F3441" w:rsidP="00435540">
      <w:pPr>
        <w:spacing w:after="0"/>
        <w:rPr>
          <w:rFonts w:ascii="Times New Roman" w:hAnsi="Times New Roman" w:cs="Times New Roman"/>
          <w:lang w:val="en-US"/>
        </w:rPr>
      </w:pPr>
    </w:p>
    <w:p w14:paraId="475C47F2" w14:textId="77777777" w:rsidR="004766F8" w:rsidRDefault="004766F8" w:rsidP="00435540">
      <w:pPr>
        <w:spacing w:after="0"/>
        <w:rPr>
          <w:rFonts w:ascii="Times New Roman" w:hAnsi="Times New Roman" w:cs="Times New Roman"/>
          <w:lang w:val="en-US"/>
        </w:rPr>
      </w:pPr>
    </w:p>
    <w:p w14:paraId="6B1B7547" w14:textId="6D8A6B2A" w:rsidR="00B317D0" w:rsidRDefault="00B317D0" w:rsidP="00435540">
      <w:pPr>
        <w:spacing w:after="0"/>
        <w:rPr>
          <w:rFonts w:ascii="Times New Roman" w:hAnsi="Times New Roman" w:cs="Times New Roman"/>
          <w:lang w:val="en-US"/>
        </w:rPr>
      </w:pPr>
      <w:r w:rsidRPr="001343F2">
        <w:rPr>
          <w:rFonts w:ascii="Times New Roman" w:hAnsi="Times New Roman" w:cs="Times New Roman"/>
          <w:lang w:val="en-US"/>
        </w:rPr>
        <w:lastRenderedPageBreak/>
        <w:t>Table S</w:t>
      </w:r>
      <w:r>
        <w:rPr>
          <w:rFonts w:ascii="Times New Roman" w:hAnsi="Times New Roman" w:cs="Times New Roman"/>
          <w:lang w:val="en-US"/>
        </w:rPr>
        <w:t>1</w:t>
      </w:r>
      <w:r w:rsidR="005F27D3">
        <w:rPr>
          <w:rFonts w:ascii="Times New Roman" w:hAnsi="Times New Roman" w:cs="Times New Roman"/>
          <w:lang w:val="en-US"/>
        </w:rPr>
        <w:t>5</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Pr="001343F2">
        <w:rPr>
          <w:rFonts w:ascii="Times New Roman" w:hAnsi="Times New Roman" w:cs="Times New Roman"/>
          <w:lang w:val="en-US"/>
        </w:rPr>
        <w:t>Table S</w:t>
      </w:r>
      <w:r>
        <w:rPr>
          <w:rFonts w:ascii="Times New Roman" w:hAnsi="Times New Roman" w:cs="Times New Roman"/>
          <w:lang w:val="en-US"/>
        </w:rPr>
        <w:t>1</w:t>
      </w:r>
      <w:r w:rsidR="005F27D3">
        <w:rPr>
          <w:rFonts w:ascii="Times New Roman" w:hAnsi="Times New Roman" w:cs="Times New Roman"/>
          <w:lang w:val="en-US"/>
        </w:rPr>
        <w:t>6</w:t>
      </w:r>
    </w:p>
    <w:tbl>
      <w:tblPr>
        <w:tblStyle w:val="Tabelraster"/>
        <w:tblpPr w:leftFromText="141" w:rightFromText="141" w:vertAnchor="text" w:horzAnchor="margin" w:tblpY="51"/>
        <w:tblW w:w="0" w:type="auto"/>
        <w:tblLook w:val="04A0" w:firstRow="1" w:lastRow="0" w:firstColumn="1" w:lastColumn="0" w:noHBand="0" w:noVBand="1"/>
      </w:tblPr>
      <w:tblGrid>
        <w:gridCol w:w="1048"/>
        <w:gridCol w:w="1397"/>
      </w:tblGrid>
      <w:tr w:rsidR="00435540" w:rsidRPr="00A45FA3" w14:paraId="35F2BB56" w14:textId="77777777" w:rsidTr="00435540">
        <w:tc>
          <w:tcPr>
            <w:tcW w:w="1048" w:type="dxa"/>
          </w:tcPr>
          <w:p w14:paraId="29221F7B" w14:textId="77777777" w:rsidR="00435540" w:rsidRPr="00A45FA3" w:rsidRDefault="00435540" w:rsidP="00435540">
            <w:pPr>
              <w:rPr>
                <w:rFonts w:ascii="Times New Roman" w:hAnsi="Times New Roman" w:cs="Times New Roman"/>
                <w:lang w:val="en-US"/>
              </w:rPr>
            </w:pPr>
          </w:p>
        </w:tc>
        <w:tc>
          <w:tcPr>
            <w:tcW w:w="1397" w:type="dxa"/>
          </w:tcPr>
          <w:p w14:paraId="1D1E7ECA" w14:textId="77777777" w:rsidR="00435540" w:rsidRPr="00A45FA3" w:rsidRDefault="00435540" w:rsidP="00435540">
            <w:pPr>
              <w:jc w:val="right"/>
              <w:rPr>
                <w:rFonts w:ascii="Times New Roman" w:hAnsi="Times New Roman" w:cs="Times New Roman"/>
                <w:lang w:val="en-US"/>
              </w:rPr>
            </w:pPr>
            <w:r>
              <w:rPr>
                <w:rFonts w:ascii="Times New Roman" w:hAnsi="Times New Roman" w:cs="Times New Roman"/>
                <w:lang w:val="en-US"/>
              </w:rPr>
              <w:t>Pearson residuals</w:t>
            </w:r>
          </w:p>
        </w:tc>
      </w:tr>
      <w:tr w:rsidR="00435540" w:rsidRPr="00A45FA3" w14:paraId="0D581C5F" w14:textId="77777777" w:rsidTr="00435540">
        <w:tc>
          <w:tcPr>
            <w:tcW w:w="1048" w:type="dxa"/>
          </w:tcPr>
          <w:p w14:paraId="3C09B5AC" w14:textId="77777777" w:rsidR="00435540" w:rsidRPr="00A45FA3" w:rsidRDefault="00435540" w:rsidP="00435540">
            <w:pPr>
              <w:rPr>
                <w:rFonts w:ascii="Times New Roman" w:hAnsi="Times New Roman" w:cs="Times New Roman"/>
                <w:lang w:val="en-US"/>
              </w:rPr>
            </w:pPr>
            <w:r w:rsidRPr="00A45FA3">
              <w:rPr>
                <w:rFonts w:ascii="Times New Roman" w:hAnsi="Times New Roman" w:cs="Times New Roman"/>
                <w:lang w:val="en-US"/>
              </w:rPr>
              <w:t>mean</w:t>
            </w:r>
          </w:p>
        </w:tc>
        <w:tc>
          <w:tcPr>
            <w:tcW w:w="1397" w:type="dxa"/>
          </w:tcPr>
          <w:p w14:paraId="5B8B62BF" w14:textId="77777777" w:rsidR="00435540" w:rsidRPr="00A45FA3" w:rsidRDefault="00435540" w:rsidP="00435540">
            <w:pPr>
              <w:jc w:val="right"/>
              <w:rPr>
                <w:rFonts w:ascii="Times New Roman" w:hAnsi="Times New Roman" w:cs="Times New Roman"/>
                <w:lang w:val="en-US"/>
              </w:rPr>
            </w:pPr>
            <w:r>
              <w:rPr>
                <w:rFonts w:ascii="Times New Roman" w:hAnsi="Times New Roman" w:cs="Times New Roman"/>
                <w:lang w:val="en-US"/>
              </w:rPr>
              <w:t>-0.028</w:t>
            </w:r>
          </w:p>
        </w:tc>
      </w:tr>
      <w:tr w:rsidR="00435540" w:rsidRPr="00A45FA3" w14:paraId="0B172479" w14:textId="77777777" w:rsidTr="00435540">
        <w:tc>
          <w:tcPr>
            <w:tcW w:w="1048" w:type="dxa"/>
          </w:tcPr>
          <w:p w14:paraId="084519F8" w14:textId="77777777" w:rsidR="00435540" w:rsidRPr="00A45FA3" w:rsidRDefault="00435540" w:rsidP="00435540">
            <w:pPr>
              <w:rPr>
                <w:rFonts w:ascii="Times New Roman" w:hAnsi="Times New Roman" w:cs="Times New Roman"/>
                <w:lang w:val="en-US"/>
              </w:rPr>
            </w:pPr>
            <w:r w:rsidRPr="00A45FA3">
              <w:rPr>
                <w:rFonts w:ascii="Times New Roman" w:hAnsi="Times New Roman" w:cs="Times New Roman"/>
                <w:lang w:val="en-US"/>
              </w:rPr>
              <w:t>std</w:t>
            </w:r>
          </w:p>
        </w:tc>
        <w:tc>
          <w:tcPr>
            <w:tcW w:w="1397" w:type="dxa"/>
          </w:tcPr>
          <w:p w14:paraId="5E01EE13" w14:textId="77777777" w:rsidR="00435540" w:rsidRPr="00A45FA3" w:rsidRDefault="00435540" w:rsidP="00435540">
            <w:pPr>
              <w:jc w:val="right"/>
              <w:rPr>
                <w:rFonts w:ascii="Times New Roman" w:hAnsi="Times New Roman" w:cs="Times New Roman"/>
                <w:lang w:val="en-US"/>
              </w:rPr>
            </w:pPr>
            <w:r>
              <w:rPr>
                <w:rFonts w:ascii="Times New Roman" w:hAnsi="Times New Roman" w:cs="Times New Roman"/>
                <w:lang w:val="en-US"/>
              </w:rPr>
              <w:t>1.942</w:t>
            </w:r>
          </w:p>
        </w:tc>
      </w:tr>
      <w:tr w:rsidR="00435540" w:rsidRPr="00A45FA3" w14:paraId="66119BC0" w14:textId="77777777" w:rsidTr="00435540">
        <w:tc>
          <w:tcPr>
            <w:tcW w:w="1048" w:type="dxa"/>
          </w:tcPr>
          <w:p w14:paraId="11DEFA12" w14:textId="77777777" w:rsidR="00435540" w:rsidRPr="00A45FA3" w:rsidRDefault="00435540" w:rsidP="00435540">
            <w:pPr>
              <w:rPr>
                <w:rFonts w:ascii="Times New Roman" w:hAnsi="Times New Roman" w:cs="Times New Roman"/>
                <w:lang w:val="en-US"/>
              </w:rPr>
            </w:pPr>
            <w:r>
              <w:rPr>
                <w:rFonts w:ascii="Times New Roman" w:hAnsi="Times New Roman" w:cs="Times New Roman"/>
                <w:lang w:val="en-US"/>
              </w:rPr>
              <w:t>min</w:t>
            </w:r>
          </w:p>
        </w:tc>
        <w:tc>
          <w:tcPr>
            <w:tcW w:w="1397" w:type="dxa"/>
          </w:tcPr>
          <w:p w14:paraId="322C3C49" w14:textId="77777777" w:rsidR="00435540" w:rsidRPr="00A45FA3" w:rsidRDefault="00435540" w:rsidP="00435540">
            <w:pPr>
              <w:jc w:val="right"/>
              <w:rPr>
                <w:rFonts w:ascii="Times New Roman" w:hAnsi="Times New Roman" w:cs="Times New Roman"/>
                <w:lang w:val="en-US"/>
              </w:rPr>
            </w:pPr>
            <w:r>
              <w:rPr>
                <w:rFonts w:ascii="Times New Roman" w:hAnsi="Times New Roman" w:cs="Times New Roman"/>
                <w:lang w:val="en-US"/>
              </w:rPr>
              <w:t>-1.220</w:t>
            </w:r>
          </w:p>
        </w:tc>
      </w:tr>
      <w:tr w:rsidR="00435540" w:rsidRPr="00A45FA3" w14:paraId="3D4799FF" w14:textId="77777777" w:rsidTr="00435540">
        <w:tc>
          <w:tcPr>
            <w:tcW w:w="1048" w:type="dxa"/>
          </w:tcPr>
          <w:p w14:paraId="4C910FC8" w14:textId="77777777" w:rsidR="00435540" w:rsidRPr="00A45FA3" w:rsidRDefault="00435540" w:rsidP="00435540">
            <w:pPr>
              <w:rPr>
                <w:rFonts w:ascii="Times New Roman" w:hAnsi="Times New Roman" w:cs="Times New Roman"/>
                <w:lang w:val="en-US"/>
              </w:rPr>
            </w:pPr>
            <w:r>
              <w:rPr>
                <w:rFonts w:ascii="Times New Roman" w:hAnsi="Times New Roman" w:cs="Times New Roman"/>
                <w:lang w:val="en-US"/>
              </w:rPr>
              <w:t>Q25</w:t>
            </w:r>
          </w:p>
        </w:tc>
        <w:tc>
          <w:tcPr>
            <w:tcW w:w="1397" w:type="dxa"/>
          </w:tcPr>
          <w:p w14:paraId="74174F3C" w14:textId="77777777" w:rsidR="00435540" w:rsidRPr="00A45FA3" w:rsidRDefault="00435540" w:rsidP="00435540">
            <w:pPr>
              <w:jc w:val="right"/>
              <w:rPr>
                <w:rFonts w:ascii="Times New Roman" w:hAnsi="Times New Roman" w:cs="Times New Roman"/>
                <w:lang w:val="en-US"/>
              </w:rPr>
            </w:pPr>
            <w:r>
              <w:rPr>
                <w:rFonts w:ascii="Times New Roman" w:hAnsi="Times New Roman" w:cs="Times New Roman"/>
                <w:lang w:val="en-US"/>
              </w:rPr>
              <w:t>-0.705</w:t>
            </w:r>
          </w:p>
        </w:tc>
      </w:tr>
      <w:tr w:rsidR="00435540" w:rsidRPr="00A45FA3" w14:paraId="7957827F" w14:textId="77777777" w:rsidTr="00435540">
        <w:tc>
          <w:tcPr>
            <w:tcW w:w="1048" w:type="dxa"/>
          </w:tcPr>
          <w:p w14:paraId="7EEBA65F" w14:textId="77777777" w:rsidR="00435540" w:rsidRPr="00A45FA3" w:rsidRDefault="00435540" w:rsidP="00435540">
            <w:pPr>
              <w:rPr>
                <w:rFonts w:ascii="Times New Roman" w:hAnsi="Times New Roman" w:cs="Times New Roman"/>
                <w:lang w:val="en-US"/>
              </w:rPr>
            </w:pPr>
            <w:r>
              <w:rPr>
                <w:rFonts w:ascii="Times New Roman" w:hAnsi="Times New Roman" w:cs="Times New Roman"/>
                <w:lang w:val="en-US"/>
              </w:rPr>
              <w:t>Q50</w:t>
            </w:r>
          </w:p>
        </w:tc>
        <w:tc>
          <w:tcPr>
            <w:tcW w:w="1397" w:type="dxa"/>
          </w:tcPr>
          <w:p w14:paraId="315A8971" w14:textId="77777777" w:rsidR="00435540" w:rsidRPr="00A45FA3" w:rsidRDefault="00435540" w:rsidP="00435540">
            <w:pPr>
              <w:jc w:val="right"/>
              <w:rPr>
                <w:rFonts w:ascii="Times New Roman" w:hAnsi="Times New Roman" w:cs="Times New Roman"/>
                <w:lang w:val="en-US"/>
              </w:rPr>
            </w:pPr>
            <w:r>
              <w:rPr>
                <w:rFonts w:ascii="Times New Roman" w:hAnsi="Times New Roman" w:cs="Times New Roman"/>
                <w:lang w:val="en-US"/>
              </w:rPr>
              <w:t>-0.448</w:t>
            </w:r>
          </w:p>
        </w:tc>
      </w:tr>
      <w:tr w:rsidR="00435540" w:rsidRPr="00A45FA3" w14:paraId="495F41F9" w14:textId="77777777" w:rsidTr="00435540">
        <w:tc>
          <w:tcPr>
            <w:tcW w:w="1048" w:type="dxa"/>
          </w:tcPr>
          <w:p w14:paraId="2D364929" w14:textId="77777777" w:rsidR="00435540" w:rsidRPr="00A45FA3" w:rsidRDefault="00435540" w:rsidP="00435540">
            <w:pPr>
              <w:rPr>
                <w:rFonts w:ascii="Times New Roman" w:hAnsi="Times New Roman" w:cs="Times New Roman"/>
                <w:lang w:val="en-US"/>
              </w:rPr>
            </w:pPr>
            <w:r>
              <w:rPr>
                <w:rFonts w:ascii="Times New Roman" w:hAnsi="Times New Roman" w:cs="Times New Roman"/>
                <w:lang w:val="en-US"/>
              </w:rPr>
              <w:t>Q75</w:t>
            </w:r>
          </w:p>
        </w:tc>
        <w:tc>
          <w:tcPr>
            <w:tcW w:w="1397" w:type="dxa"/>
          </w:tcPr>
          <w:p w14:paraId="16A169A9" w14:textId="77777777" w:rsidR="00435540" w:rsidRPr="00A45FA3" w:rsidRDefault="00435540" w:rsidP="00435540">
            <w:pPr>
              <w:jc w:val="right"/>
              <w:rPr>
                <w:rFonts w:ascii="Times New Roman" w:hAnsi="Times New Roman" w:cs="Times New Roman"/>
                <w:lang w:val="en-US"/>
              </w:rPr>
            </w:pPr>
            <w:r>
              <w:rPr>
                <w:rFonts w:ascii="Times New Roman" w:hAnsi="Times New Roman" w:cs="Times New Roman"/>
                <w:lang w:val="en-US"/>
              </w:rPr>
              <w:t>0.040</w:t>
            </w:r>
          </w:p>
        </w:tc>
      </w:tr>
      <w:tr w:rsidR="00435540" w:rsidRPr="00A45FA3" w14:paraId="090CBAC6" w14:textId="77777777" w:rsidTr="00435540">
        <w:tc>
          <w:tcPr>
            <w:tcW w:w="1048" w:type="dxa"/>
          </w:tcPr>
          <w:p w14:paraId="6672D588" w14:textId="77777777" w:rsidR="00435540" w:rsidRPr="00A45FA3" w:rsidRDefault="00435540" w:rsidP="00435540">
            <w:pPr>
              <w:rPr>
                <w:rFonts w:ascii="Times New Roman" w:hAnsi="Times New Roman" w:cs="Times New Roman"/>
                <w:lang w:val="en-US"/>
              </w:rPr>
            </w:pPr>
            <w:r>
              <w:rPr>
                <w:rFonts w:ascii="Times New Roman" w:hAnsi="Times New Roman" w:cs="Times New Roman"/>
                <w:lang w:val="en-US"/>
              </w:rPr>
              <w:t>max</w:t>
            </w:r>
          </w:p>
        </w:tc>
        <w:tc>
          <w:tcPr>
            <w:tcW w:w="1397" w:type="dxa"/>
          </w:tcPr>
          <w:p w14:paraId="5E76A7B5" w14:textId="77777777" w:rsidR="00435540" w:rsidRPr="00A45FA3" w:rsidRDefault="00435540" w:rsidP="00435540">
            <w:pPr>
              <w:jc w:val="right"/>
              <w:rPr>
                <w:rFonts w:ascii="Times New Roman" w:hAnsi="Times New Roman" w:cs="Times New Roman"/>
                <w:lang w:val="en-US"/>
              </w:rPr>
            </w:pPr>
            <w:r>
              <w:rPr>
                <w:rFonts w:ascii="Times New Roman" w:hAnsi="Times New Roman" w:cs="Times New Roman"/>
                <w:lang w:val="en-US"/>
              </w:rPr>
              <w:t>131.897</w:t>
            </w:r>
          </w:p>
        </w:tc>
      </w:tr>
      <w:tr w:rsidR="00435540" w:rsidRPr="00A45FA3" w14:paraId="7D87EE96" w14:textId="77777777" w:rsidTr="00435540">
        <w:tc>
          <w:tcPr>
            <w:tcW w:w="1048" w:type="dxa"/>
          </w:tcPr>
          <w:p w14:paraId="4866069C" w14:textId="77777777" w:rsidR="00435540" w:rsidRDefault="00435540" w:rsidP="00435540">
            <w:pPr>
              <w:rPr>
                <w:rFonts w:ascii="Times New Roman" w:hAnsi="Times New Roman" w:cs="Times New Roman"/>
                <w:lang w:val="en-US"/>
              </w:rPr>
            </w:pPr>
            <w:r>
              <w:rPr>
                <w:rFonts w:ascii="Times New Roman" w:hAnsi="Times New Roman" w:cs="Times New Roman"/>
                <w:lang w:val="en-US"/>
              </w:rPr>
              <w:t>skewness</w:t>
            </w:r>
          </w:p>
        </w:tc>
        <w:tc>
          <w:tcPr>
            <w:tcW w:w="1397" w:type="dxa"/>
          </w:tcPr>
          <w:p w14:paraId="0D186FDB" w14:textId="77777777" w:rsidR="00435540" w:rsidRDefault="00435540" w:rsidP="00435540">
            <w:pPr>
              <w:jc w:val="right"/>
              <w:rPr>
                <w:rFonts w:ascii="Times New Roman" w:hAnsi="Times New Roman" w:cs="Times New Roman"/>
                <w:lang w:val="en-US"/>
              </w:rPr>
            </w:pPr>
            <w:r>
              <w:rPr>
                <w:rFonts w:ascii="Times New Roman" w:hAnsi="Times New Roman" w:cs="Times New Roman"/>
                <w:lang w:val="en-US"/>
              </w:rPr>
              <w:t>17.865</w:t>
            </w:r>
          </w:p>
        </w:tc>
      </w:tr>
      <w:tr w:rsidR="00435540" w:rsidRPr="00A45FA3" w14:paraId="46C3A8AE" w14:textId="77777777" w:rsidTr="00435540">
        <w:tc>
          <w:tcPr>
            <w:tcW w:w="1048" w:type="dxa"/>
          </w:tcPr>
          <w:p w14:paraId="62D8DC03" w14:textId="77777777" w:rsidR="00435540" w:rsidRDefault="00435540" w:rsidP="00435540">
            <w:pPr>
              <w:rPr>
                <w:rFonts w:ascii="Times New Roman" w:hAnsi="Times New Roman" w:cs="Times New Roman"/>
                <w:lang w:val="en-US"/>
              </w:rPr>
            </w:pPr>
            <w:r>
              <w:rPr>
                <w:rFonts w:ascii="Times New Roman" w:hAnsi="Times New Roman" w:cs="Times New Roman"/>
                <w:lang w:val="en-US"/>
              </w:rPr>
              <w:t>kurtosis</w:t>
            </w:r>
          </w:p>
        </w:tc>
        <w:tc>
          <w:tcPr>
            <w:tcW w:w="1397" w:type="dxa"/>
          </w:tcPr>
          <w:p w14:paraId="347D521B" w14:textId="77777777" w:rsidR="00435540" w:rsidRDefault="00435540" w:rsidP="00435540">
            <w:pPr>
              <w:jc w:val="right"/>
              <w:rPr>
                <w:rFonts w:ascii="Times New Roman" w:hAnsi="Times New Roman" w:cs="Times New Roman"/>
                <w:lang w:val="en-US"/>
              </w:rPr>
            </w:pPr>
            <w:r>
              <w:rPr>
                <w:rFonts w:ascii="Times New Roman" w:hAnsi="Times New Roman" w:cs="Times New Roman"/>
                <w:lang w:val="en-US"/>
              </w:rPr>
              <w:t>698.932</w:t>
            </w:r>
          </w:p>
        </w:tc>
      </w:tr>
    </w:tbl>
    <w:tbl>
      <w:tblPr>
        <w:tblStyle w:val="Tabelraster"/>
        <w:tblpPr w:leftFromText="141" w:rightFromText="141" w:vertAnchor="text" w:horzAnchor="page" w:tblpX="7050" w:tblpY="13"/>
        <w:tblW w:w="0" w:type="auto"/>
        <w:tblLook w:val="04A0" w:firstRow="1" w:lastRow="0" w:firstColumn="1" w:lastColumn="0" w:noHBand="0" w:noVBand="1"/>
      </w:tblPr>
      <w:tblGrid>
        <w:gridCol w:w="1048"/>
        <w:gridCol w:w="1397"/>
      </w:tblGrid>
      <w:tr w:rsidR="002F3441" w:rsidRPr="00A45FA3" w14:paraId="0D3FA0C8" w14:textId="77777777" w:rsidTr="002F3441">
        <w:tc>
          <w:tcPr>
            <w:tcW w:w="1048" w:type="dxa"/>
          </w:tcPr>
          <w:p w14:paraId="11407D0E" w14:textId="77777777" w:rsidR="002F3441" w:rsidRPr="00A45FA3" w:rsidRDefault="002F3441" w:rsidP="002F3441">
            <w:pPr>
              <w:rPr>
                <w:rFonts w:ascii="Times New Roman" w:hAnsi="Times New Roman" w:cs="Times New Roman"/>
                <w:lang w:val="en-US"/>
              </w:rPr>
            </w:pPr>
          </w:p>
        </w:tc>
        <w:tc>
          <w:tcPr>
            <w:tcW w:w="1397" w:type="dxa"/>
          </w:tcPr>
          <w:p w14:paraId="720A3928" w14:textId="77777777" w:rsidR="002F3441" w:rsidRPr="00A45FA3" w:rsidRDefault="002F3441" w:rsidP="002F3441">
            <w:pPr>
              <w:jc w:val="right"/>
              <w:rPr>
                <w:rFonts w:ascii="Times New Roman" w:hAnsi="Times New Roman" w:cs="Times New Roman"/>
                <w:lang w:val="en-US"/>
              </w:rPr>
            </w:pPr>
            <w:r>
              <w:rPr>
                <w:rFonts w:ascii="Times New Roman" w:hAnsi="Times New Roman" w:cs="Times New Roman"/>
                <w:lang w:val="en-US"/>
              </w:rPr>
              <w:t>Quantile residuals</w:t>
            </w:r>
          </w:p>
        </w:tc>
      </w:tr>
      <w:tr w:rsidR="002F3441" w:rsidRPr="00A45FA3" w14:paraId="6AEC2EC0" w14:textId="77777777" w:rsidTr="002F3441">
        <w:tc>
          <w:tcPr>
            <w:tcW w:w="1048" w:type="dxa"/>
          </w:tcPr>
          <w:p w14:paraId="5D07C5D6" w14:textId="77777777" w:rsidR="002F3441" w:rsidRPr="00A45FA3" w:rsidRDefault="002F3441" w:rsidP="002F3441">
            <w:pPr>
              <w:rPr>
                <w:rFonts w:ascii="Times New Roman" w:hAnsi="Times New Roman" w:cs="Times New Roman"/>
                <w:lang w:val="en-US"/>
              </w:rPr>
            </w:pPr>
            <w:r w:rsidRPr="00A45FA3">
              <w:rPr>
                <w:rFonts w:ascii="Times New Roman" w:hAnsi="Times New Roman" w:cs="Times New Roman"/>
                <w:lang w:val="en-US"/>
              </w:rPr>
              <w:t>mean</w:t>
            </w:r>
          </w:p>
        </w:tc>
        <w:tc>
          <w:tcPr>
            <w:tcW w:w="1397" w:type="dxa"/>
          </w:tcPr>
          <w:p w14:paraId="0E3D90E4" w14:textId="77777777" w:rsidR="002F3441" w:rsidRPr="00A45FA3" w:rsidRDefault="002F3441" w:rsidP="002F3441">
            <w:pPr>
              <w:jc w:val="right"/>
              <w:rPr>
                <w:rFonts w:ascii="Times New Roman" w:hAnsi="Times New Roman" w:cs="Times New Roman"/>
                <w:lang w:val="en-US"/>
              </w:rPr>
            </w:pPr>
            <w:r>
              <w:rPr>
                <w:rFonts w:ascii="Times New Roman" w:hAnsi="Times New Roman" w:cs="Times New Roman"/>
                <w:lang w:val="en-US"/>
              </w:rPr>
              <w:t>-0.045</w:t>
            </w:r>
          </w:p>
        </w:tc>
      </w:tr>
      <w:tr w:rsidR="002F3441" w:rsidRPr="00A45FA3" w14:paraId="570AF457" w14:textId="77777777" w:rsidTr="002F3441">
        <w:tc>
          <w:tcPr>
            <w:tcW w:w="1048" w:type="dxa"/>
          </w:tcPr>
          <w:p w14:paraId="01CA773C" w14:textId="77777777" w:rsidR="002F3441" w:rsidRPr="00A45FA3" w:rsidRDefault="002F3441" w:rsidP="002F3441">
            <w:pPr>
              <w:rPr>
                <w:rFonts w:ascii="Times New Roman" w:hAnsi="Times New Roman" w:cs="Times New Roman"/>
                <w:lang w:val="en-US"/>
              </w:rPr>
            </w:pPr>
            <w:r w:rsidRPr="00A45FA3">
              <w:rPr>
                <w:rFonts w:ascii="Times New Roman" w:hAnsi="Times New Roman" w:cs="Times New Roman"/>
                <w:lang w:val="en-US"/>
              </w:rPr>
              <w:t>std</w:t>
            </w:r>
          </w:p>
        </w:tc>
        <w:tc>
          <w:tcPr>
            <w:tcW w:w="1397" w:type="dxa"/>
          </w:tcPr>
          <w:p w14:paraId="4F4CF976" w14:textId="77777777" w:rsidR="002F3441" w:rsidRPr="00A45FA3" w:rsidRDefault="002F3441" w:rsidP="002F3441">
            <w:pPr>
              <w:jc w:val="right"/>
              <w:rPr>
                <w:rFonts w:ascii="Times New Roman" w:hAnsi="Times New Roman" w:cs="Times New Roman"/>
                <w:lang w:val="en-US"/>
              </w:rPr>
            </w:pPr>
            <w:r>
              <w:rPr>
                <w:rFonts w:ascii="Times New Roman" w:hAnsi="Times New Roman" w:cs="Times New Roman"/>
                <w:lang w:val="en-US"/>
              </w:rPr>
              <w:t>0.929</w:t>
            </w:r>
          </w:p>
        </w:tc>
      </w:tr>
      <w:tr w:rsidR="002F3441" w:rsidRPr="00A45FA3" w14:paraId="59F66B39" w14:textId="77777777" w:rsidTr="002F3441">
        <w:tc>
          <w:tcPr>
            <w:tcW w:w="1048" w:type="dxa"/>
          </w:tcPr>
          <w:p w14:paraId="5A4CA198" w14:textId="77777777" w:rsidR="002F3441" w:rsidRPr="00A45FA3" w:rsidRDefault="002F3441" w:rsidP="002F3441">
            <w:pPr>
              <w:rPr>
                <w:rFonts w:ascii="Times New Roman" w:hAnsi="Times New Roman" w:cs="Times New Roman"/>
                <w:lang w:val="en-US"/>
              </w:rPr>
            </w:pPr>
            <w:r>
              <w:rPr>
                <w:rFonts w:ascii="Times New Roman" w:hAnsi="Times New Roman" w:cs="Times New Roman"/>
                <w:lang w:val="en-US"/>
              </w:rPr>
              <w:t>min</w:t>
            </w:r>
          </w:p>
        </w:tc>
        <w:tc>
          <w:tcPr>
            <w:tcW w:w="1397" w:type="dxa"/>
          </w:tcPr>
          <w:p w14:paraId="48E024F3" w14:textId="77777777" w:rsidR="002F3441" w:rsidRPr="00A45FA3" w:rsidRDefault="002F3441" w:rsidP="002F3441">
            <w:pPr>
              <w:jc w:val="right"/>
              <w:rPr>
                <w:rFonts w:ascii="Times New Roman" w:hAnsi="Times New Roman" w:cs="Times New Roman"/>
                <w:lang w:val="en-US"/>
              </w:rPr>
            </w:pPr>
            <w:r>
              <w:rPr>
                <w:rFonts w:ascii="Times New Roman" w:hAnsi="Times New Roman" w:cs="Times New Roman"/>
                <w:lang w:val="en-US"/>
              </w:rPr>
              <w:t>-2.995</w:t>
            </w:r>
          </w:p>
        </w:tc>
      </w:tr>
      <w:tr w:rsidR="002F3441" w:rsidRPr="00A45FA3" w14:paraId="5E9247E4" w14:textId="77777777" w:rsidTr="002F3441">
        <w:tc>
          <w:tcPr>
            <w:tcW w:w="1048" w:type="dxa"/>
          </w:tcPr>
          <w:p w14:paraId="5D7C4797" w14:textId="77777777" w:rsidR="002F3441" w:rsidRPr="00A45FA3" w:rsidRDefault="002F3441" w:rsidP="002F3441">
            <w:pPr>
              <w:rPr>
                <w:rFonts w:ascii="Times New Roman" w:hAnsi="Times New Roman" w:cs="Times New Roman"/>
                <w:lang w:val="en-US"/>
              </w:rPr>
            </w:pPr>
            <w:r>
              <w:rPr>
                <w:rFonts w:ascii="Times New Roman" w:hAnsi="Times New Roman" w:cs="Times New Roman"/>
                <w:lang w:val="en-US"/>
              </w:rPr>
              <w:t>Q25</w:t>
            </w:r>
          </w:p>
        </w:tc>
        <w:tc>
          <w:tcPr>
            <w:tcW w:w="1397" w:type="dxa"/>
          </w:tcPr>
          <w:p w14:paraId="03D35C8D" w14:textId="77777777" w:rsidR="002F3441" w:rsidRPr="00A45FA3" w:rsidRDefault="002F3441" w:rsidP="002F3441">
            <w:pPr>
              <w:jc w:val="right"/>
              <w:rPr>
                <w:rFonts w:ascii="Times New Roman" w:hAnsi="Times New Roman" w:cs="Times New Roman"/>
                <w:lang w:val="en-US"/>
              </w:rPr>
            </w:pPr>
            <w:r>
              <w:rPr>
                <w:rFonts w:ascii="Times New Roman" w:hAnsi="Times New Roman" w:cs="Times New Roman"/>
                <w:lang w:val="en-US"/>
              </w:rPr>
              <w:t>-0.657</w:t>
            </w:r>
          </w:p>
        </w:tc>
      </w:tr>
      <w:tr w:rsidR="002F3441" w:rsidRPr="00A45FA3" w14:paraId="65BB6A8F" w14:textId="77777777" w:rsidTr="002F3441">
        <w:tc>
          <w:tcPr>
            <w:tcW w:w="1048" w:type="dxa"/>
          </w:tcPr>
          <w:p w14:paraId="2CDCD849" w14:textId="77777777" w:rsidR="002F3441" w:rsidRPr="00A45FA3" w:rsidRDefault="002F3441" w:rsidP="002F3441">
            <w:pPr>
              <w:rPr>
                <w:rFonts w:ascii="Times New Roman" w:hAnsi="Times New Roman" w:cs="Times New Roman"/>
                <w:lang w:val="en-US"/>
              </w:rPr>
            </w:pPr>
            <w:r>
              <w:rPr>
                <w:rFonts w:ascii="Times New Roman" w:hAnsi="Times New Roman" w:cs="Times New Roman"/>
                <w:lang w:val="en-US"/>
              </w:rPr>
              <w:t>Q50</w:t>
            </w:r>
          </w:p>
        </w:tc>
        <w:tc>
          <w:tcPr>
            <w:tcW w:w="1397" w:type="dxa"/>
          </w:tcPr>
          <w:p w14:paraId="2F6235EC" w14:textId="77777777" w:rsidR="002F3441" w:rsidRPr="00A45FA3" w:rsidRDefault="002F3441" w:rsidP="002F3441">
            <w:pPr>
              <w:jc w:val="right"/>
              <w:rPr>
                <w:rFonts w:ascii="Times New Roman" w:hAnsi="Times New Roman" w:cs="Times New Roman"/>
                <w:lang w:val="en-US"/>
              </w:rPr>
            </w:pPr>
            <w:r>
              <w:rPr>
                <w:rFonts w:ascii="Times New Roman" w:hAnsi="Times New Roman" w:cs="Times New Roman"/>
                <w:lang w:val="en-US"/>
              </w:rPr>
              <w:t>-0.202</w:t>
            </w:r>
          </w:p>
        </w:tc>
      </w:tr>
      <w:tr w:rsidR="002F3441" w:rsidRPr="00A45FA3" w14:paraId="2573D88E" w14:textId="77777777" w:rsidTr="002F3441">
        <w:tc>
          <w:tcPr>
            <w:tcW w:w="1048" w:type="dxa"/>
          </w:tcPr>
          <w:p w14:paraId="61F3E942" w14:textId="77777777" w:rsidR="002F3441" w:rsidRPr="00A45FA3" w:rsidRDefault="002F3441" w:rsidP="002F3441">
            <w:pPr>
              <w:rPr>
                <w:rFonts w:ascii="Times New Roman" w:hAnsi="Times New Roman" w:cs="Times New Roman"/>
                <w:lang w:val="en-US"/>
              </w:rPr>
            </w:pPr>
            <w:r>
              <w:rPr>
                <w:rFonts w:ascii="Times New Roman" w:hAnsi="Times New Roman" w:cs="Times New Roman"/>
                <w:lang w:val="en-US"/>
              </w:rPr>
              <w:t>Q75</w:t>
            </w:r>
          </w:p>
        </w:tc>
        <w:tc>
          <w:tcPr>
            <w:tcW w:w="1397" w:type="dxa"/>
          </w:tcPr>
          <w:p w14:paraId="654865BC" w14:textId="77777777" w:rsidR="002F3441" w:rsidRPr="00A45FA3" w:rsidRDefault="002F3441" w:rsidP="002F3441">
            <w:pPr>
              <w:jc w:val="right"/>
              <w:rPr>
                <w:rFonts w:ascii="Times New Roman" w:hAnsi="Times New Roman" w:cs="Times New Roman"/>
                <w:lang w:val="en-US"/>
              </w:rPr>
            </w:pPr>
            <w:r>
              <w:rPr>
                <w:rFonts w:ascii="Times New Roman" w:hAnsi="Times New Roman" w:cs="Times New Roman"/>
                <w:lang w:val="en-US"/>
              </w:rPr>
              <w:t>0.359</w:t>
            </w:r>
          </w:p>
        </w:tc>
      </w:tr>
      <w:tr w:rsidR="002F3441" w:rsidRPr="00A45FA3" w14:paraId="4D4FE1B8" w14:textId="77777777" w:rsidTr="002F3441">
        <w:tc>
          <w:tcPr>
            <w:tcW w:w="1048" w:type="dxa"/>
          </w:tcPr>
          <w:p w14:paraId="684791B5" w14:textId="77777777" w:rsidR="002F3441" w:rsidRPr="00A45FA3" w:rsidRDefault="002F3441" w:rsidP="002F3441">
            <w:pPr>
              <w:rPr>
                <w:rFonts w:ascii="Times New Roman" w:hAnsi="Times New Roman" w:cs="Times New Roman"/>
                <w:lang w:val="en-US"/>
              </w:rPr>
            </w:pPr>
            <w:r>
              <w:rPr>
                <w:rFonts w:ascii="Times New Roman" w:hAnsi="Times New Roman" w:cs="Times New Roman"/>
                <w:lang w:val="en-US"/>
              </w:rPr>
              <w:t>max</w:t>
            </w:r>
          </w:p>
        </w:tc>
        <w:tc>
          <w:tcPr>
            <w:tcW w:w="1397" w:type="dxa"/>
          </w:tcPr>
          <w:p w14:paraId="1CADA998" w14:textId="77777777" w:rsidR="002F3441" w:rsidRPr="00A45FA3" w:rsidRDefault="002F3441" w:rsidP="002F3441">
            <w:pPr>
              <w:jc w:val="right"/>
              <w:rPr>
                <w:rFonts w:ascii="Times New Roman" w:hAnsi="Times New Roman" w:cs="Times New Roman"/>
                <w:lang w:val="en-US"/>
              </w:rPr>
            </w:pPr>
            <w:r>
              <w:rPr>
                <w:rFonts w:ascii="Times New Roman" w:hAnsi="Times New Roman" w:cs="Times New Roman"/>
                <w:lang w:val="en-US"/>
              </w:rPr>
              <w:t>8.126</w:t>
            </w:r>
          </w:p>
        </w:tc>
      </w:tr>
      <w:tr w:rsidR="002F3441" w:rsidRPr="00A45FA3" w14:paraId="50421F8D" w14:textId="77777777" w:rsidTr="002F3441">
        <w:tc>
          <w:tcPr>
            <w:tcW w:w="1048" w:type="dxa"/>
          </w:tcPr>
          <w:p w14:paraId="0C931DD9" w14:textId="77777777" w:rsidR="002F3441" w:rsidRDefault="002F3441" w:rsidP="002F3441">
            <w:pPr>
              <w:rPr>
                <w:rFonts w:ascii="Times New Roman" w:hAnsi="Times New Roman" w:cs="Times New Roman"/>
                <w:lang w:val="en-US"/>
              </w:rPr>
            </w:pPr>
            <w:r>
              <w:rPr>
                <w:rFonts w:ascii="Times New Roman" w:hAnsi="Times New Roman" w:cs="Times New Roman"/>
                <w:lang w:val="en-US"/>
              </w:rPr>
              <w:t>skewness</w:t>
            </w:r>
          </w:p>
        </w:tc>
        <w:tc>
          <w:tcPr>
            <w:tcW w:w="1397" w:type="dxa"/>
          </w:tcPr>
          <w:p w14:paraId="02ECC4AF" w14:textId="77777777" w:rsidR="002F3441" w:rsidRDefault="002F3441" w:rsidP="002F3441">
            <w:pPr>
              <w:jc w:val="right"/>
              <w:rPr>
                <w:rFonts w:ascii="Times New Roman" w:hAnsi="Times New Roman" w:cs="Times New Roman"/>
                <w:lang w:val="en-US"/>
              </w:rPr>
            </w:pPr>
            <w:r>
              <w:rPr>
                <w:rFonts w:ascii="Times New Roman" w:hAnsi="Times New Roman" w:cs="Times New Roman"/>
                <w:lang w:val="en-US"/>
              </w:rPr>
              <w:t>1.880</w:t>
            </w:r>
          </w:p>
        </w:tc>
      </w:tr>
      <w:tr w:rsidR="002F3441" w:rsidRPr="00A45FA3" w14:paraId="2C7D3D19" w14:textId="77777777" w:rsidTr="002F3441">
        <w:tc>
          <w:tcPr>
            <w:tcW w:w="1048" w:type="dxa"/>
          </w:tcPr>
          <w:p w14:paraId="13C143FD" w14:textId="77777777" w:rsidR="002F3441" w:rsidRDefault="002F3441" w:rsidP="002F3441">
            <w:pPr>
              <w:rPr>
                <w:rFonts w:ascii="Times New Roman" w:hAnsi="Times New Roman" w:cs="Times New Roman"/>
                <w:lang w:val="en-US"/>
              </w:rPr>
            </w:pPr>
            <w:r>
              <w:rPr>
                <w:rFonts w:ascii="Times New Roman" w:hAnsi="Times New Roman" w:cs="Times New Roman"/>
                <w:lang w:val="en-US"/>
              </w:rPr>
              <w:t>kurtosis</w:t>
            </w:r>
          </w:p>
        </w:tc>
        <w:tc>
          <w:tcPr>
            <w:tcW w:w="1397" w:type="dxa"/>
          </w:tcPr>
          <w:p w14:paraId="7859EA44" w14:textId="77777777" w:rsidR="002F3441" w:rsidRDefault="002F3441" w:rsidP="002F3441">
            <w:pPr>
              <w:jc w:val="right"/>
              <w:rPr>
                <w:rFonts w:ascii="Times New Roman" w:hAnsi="Times New Roman" w:cs="Times New Roman"/>
                <w:lang w:val="en-US"/>
              </w:rPr>
            </w:pPr>
            <w:r>
              <w:rPr>
                <w:rFonts w:ascii="Times New Roman" w:hAnsi="Times New Roman" w:cs="Times New Roman"/>
                <w:lang w:val="en-US"/>
              </w:rPr>
              <w:t>10.696</w:t>
            </w:r>
          </w:p>
        </w:tc>
      </w:tr>
    </w:tbl>
    <w:p w14:paraId="7BC12301" w14:textId="77777777" w:rsidR="00B317D0" w:rsidRDefault="00B317D0" w:rsidP="00B317D0">
      <w:pPr>
        <w:spacing w:after="0"/>
        <w:rPr>
          <w:rFonts w:ascii="Times New Roman" w:hAnsi="Times New Roman" w:cs="Times New Roman"/>
          <w:lang w:val="en-US"/>
        </w:rPr>
      </w:pPr>
    </w:p>
    <w:p w14:paraId="42F45F62" w14:textId="77777777" w:rsidR="00B317D0" w:rsidRDefault="00B317D0" w:rsidP="00B317D0">
      <w:pPr>
        <w:spacing w:after="0"/>
        <w:rPr>
          <w:rFonts w:ascii="Times New Roman" w:hAnsi="Times New Roman" w:cs="Times New Roman"/>
          <w:lang w:val="en-US"/>
        </w:rPr>
      </w:pPr>
    </w:p>
    <w:p w14:paraId="675C3DE2" w14:textId="77777777" w:rsidR="00B317D0" w:rsidRDefault="00B317D0" w:rsidP="00B317D0">
      <w:pPr>
        <w:spacing w:after="0"/>
        <w:rPr>
          <w:rFonts w:ascii="Times New Roman" w:hAnsi="Times New Roman" w:cs="Times New Roman"/>
          <w:lang w:val="en-US"/>
        </w:rPr>
      </w:pPr>
    </w:p>
    <w:p w14:paraId="3345EFFC" w14:textId="77777777" w:rsidR="00B317D0" w:rsidRDefault="00B317D0" w:rsidP="00B317D0">
      <w:pPr>
        <w:spacing w:after="0"/>
        <w:rPr>
          <w:rFonts w:ascii="Times New Roman" w:hAnsi="Times New Roman" w:cs="Times New Roman"/>
          <w:lang w:val="en-US"/>
        </w:rPr>
      </w:pPr>
    </w:p>
    <w:p w14:paraId="310C1B76" w14:textId="77777777" w:rsidR="00B317D0" w:rsidRDefault="00B317D0" w:rsidP="00B317D0">
      <w:pPr>
        <w:spacing w:after="0"/>
        <w:rPr>
          <w:rFonts w:ascii="Times New Roman" w:hAnsi="Times New Roman" w:cs="Times New Roman"/>
          <w:lang w:val="en-US"/>
        </w:rPr>
      </w:pPr>
    </w:p>
    <w:p w14:paraId="1366FD5F" w14:textId="77777777" w:rsidR="00B317D0" w:rsidRDefault="00B317D0" w:rsidP="00B317D0">
      <w:pPr>
        <w:spacing w:after="0"/>
        <w:rPr>
          <w:rFonts w:ascii="Times New Roman" w:hAnsi="Times New Roman" w:cs="Times New Roman"/>
          <w:lang w:val="en-US"/>
        </w:rPr>
      </w:pPr>
    </w:p>
    <w:p w14:paraId="7B744F92" w14:textId="77777777" w:rsidR="00B317D0" w:rsidRDefault="00B317D0" w:rsidP="00B317D0">
      <w:pPr>
        <w:spacing w:after="0"/>
        <w:rPr>
          <w:rFonts w:ascii="Times New Roman" w:hAnsi="Times New Roman" w:cs="Times New Roman"/>
          <w:lang w:val="en-US"/>
        </w:rPr>
      </w:pPr>
    </w:p>
    <w:p w14:paraId="5FD8B6C5" w14:textId="77777777" w:rsidR="00B317D0" w:rsidRDefault="00B317D0" w:rsidP="00B317D0">
      <w:pPr>
        <w:spacing w:after="0"/>
        <w:rPr>
          <w:rFonts w:ascii="Times New Roman" w:hAnsi="Times New Roman" w:cs="Times New Roman"/>
          <w:lang w:val="en-US"/>
        </w:rPr>
      </w:pPr>
    </w:p>
    <w:p w14:paraId="5213776B" w14:textId="77777777" w:rsidR="00B317D0" w:rsidRDefault="00B317D0" w:rsidP="00B317D0">
      <w:pPr>
        <w:spacing w:after="0"/>
        <w:rPr>
          <w:rFonts w:ascii="Times New Roman" w:hAnsi="Times New Roman" w:cs="Times New Roman"/>
          <w:lang w:val="en-US"/>
        </w:rPr>
      </w:pPr>
    </w:p>
    <w:p w14:paraId="5ADF180D" w14:textId="77777777" w:rsidR="00B317D0" w:rsidRDefault="00B317D0" w:rsidP="00B317D0">
      <w:pPr>
        <w:spacing w:after="0"/>
        <w:rPr>
          <w:rFonts w:ascii="Times New Roman" w:hAnsi="Times New Roman" w:cs="Times New Roman"/>
          <w:lang w:val="en-US"/>
        </w:rPr>
      </w:pPr>
    </w:p>
    <w:p w14:paraId="1889B007" w14:textId="2A600A9F" w:rsidR="00B317D0" w:rsidRDefault="00B317D0" w:rsidP="00B317D0">
      <w:pPr>
        <w:spacing w:after="0"/>
        <w:rPr>
          <w:rFonts w:ascii="Times New Roman" w:hAnsi="Times New Roman" w:cs="Times New Roman"/>
          <w:lang w:val="en-US"/>
        </w:rPr>
      </w:pPr>
      <w:r w:rsidRPr="00121E3E">
        <w:rPr>
          <w:rFonts w:ascii="Times New Roman" w:hAnsi="Times New Roman" w:cs="Times New Roman"/>
          <w:noProof/>
          <w:lang w:val="en-US"/>
        </w:rPr>
        <mc:AlternateContent>
          <mc:Choice Requires="wps">
            <w:drawing>
              <wp:anchor distT="45720" distB="45720" distL="114300" distR="114300" simplePos="0" relativeHeight="251661312" behindDoc="0" locked="0" layoutInCell="1" allowOverlap="1" wp14:anchorId="471C284F" wp14:editId="4B7B5EE0">
                <wp:simplePos x="0" y="0"/>
                <wp:positionH relativeFrom="margin">
                  <wp:posOffset>3499181</wp:posOffset>
                </wp:positionH>
                <wp:positionV relativeFrom="paragraph">
                  <wp:posOffset>151407</wp:posOffset>
                </wp:positionV>
                <wp:extent cx="2118995" cy="1404620"/>
                <wp:effectExtent l="0" t="0" r="0" b="1905"/>
                <wp:wrapSquare wrapText="bothSides"/>
                <wp:docPr id="18676613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1404620"/>
                        </a:xfrm>
                        <a:prstGeom prst="rect">
                          <a:avLst/>
                        </a:prstGeom>
                        <a:solidFill>
                          <a:srgbClr val="FFFFFF"/>
                        </a:solidFill>
                        <a:ln w="9525">
                          <a:noFill/>
                          <a:miter lim="800000"/>
                          <a:headEnd/>
                          <a:tailEnd/>
                        </a:ln>
                      </wps:spPr>
                      <wps:txbx>
                        <w:txbxContent>
                          <w:p w14:paraId="49454DAF" w14:textId="77777777" w:rsidR="00B317D0" w:rsidRDefault="00B317D0" w:rsidP="00B317D0">
                            <w:pPr>
                              <w:spacing w:after="0"/>
                              <w:rPr>
                                <w:rFonts w:ascii="Times New Roman" w:hAnsi="Times New Roman" w:cs="Times New Roman"/>
                                <w:lang w:val="en-US"/>
                              </w:rPr>
                            </w:pPr>
                            <w:r>
                              <w:rPr>
                                <w:rFonts w:ascii="Times New Roman" w:hAnsi="Times New Roman" w:cs="Times New Roman"/>
                                <w:lang w:val="en-US"/>
                              </w:rPr>
                              <w:t xml:space="preserve">This table provides the descriptive </w:t>
                            </w:r>
                          </w:p>
                          <w:p w14:paraId="02C20094" w14:textId="77777777" w:rsidR="00B317D0" w:rsidRPr="00121E3E" w:rsidRDefault="00B317D0" w:rsidP="00B317D0">
                            <w:pPr>
                              <w:rPr>
                                <w:lang w:val="en-US"/>
                              </w:rPr>
                            </w:pPr>
                            <w:r>
                              <w:rPr>
                                <w:rFonts w:ascii="Times New Roman" w:hAnsi="Times New Roman" w:cs="Times New Roman"/>
                                <w:lang w:val="en-US"/>
                              </w:rPr>
                              <w:t>statistics for the quantile residuals.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1C284F" id="_x0000_s1027" type="#_x0000_t202" style="position:absolute;margin-left:275.55pt;margin-top:11.9pt;width:166.8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8aYEAIAAP4DAAAOAAAAZHJzL2Uyb0RvYy54bWysk8GO2yAQhu+V+g6Ie2M7SraJFWe1zTZV&#10;pe220rYPgAHHqJihQGKnT98Be7PR9lbVBwQe+Jn55mdzO3SanKTzCkxFi1lOiTQchDKHiv74vn+3&#10;osQHZgTTYGRFz9LT2+3bN5velnIOLWghHUER48veVrQNwZZZ5nkrO+ZnYKXBYAOuYwGX7pAJx3pU&#10;73Q2z/ObrAcnrAMuvce/92OQbpN+00gevjaNl4HoimJuIY0ujXUcs+2GlQfHbKv4lAb7hyw6pgxe&#10;epG6Z4GRo1N/SXWKO/DQhBmHLoOmUVymGrCaIn9VzVPLrEy1IBxvL5j8/5Plj6cn+82RMHyAARuY&#10;ivD2AfhPTwzsWmYO8s456FvJBF5cRGRZb305HY2ofemjSN1/AYFNZscASWhoXBepYJ0E1bEB5wt0&#10;OQTC8ee8KFbr9ZISjrFikS9u5qktGSufj1vnwycJHYmTijrsapJnpwcfYjqsfN4Sb/OgldgrrdPC&#10;HeqdduTE0AH79KUKXm3ThvQVXS/ny6RsIJ5P5uhUQIdq1VV0lcdv9EzE8dGItCUwpcc5ZqLNxCci&#10;GeGEoR6IEhO8iKsGcUZgDkZD4gPCSQvuNyU9mrGi/teROUmJ/mwQ+rpYLKJ702KxfI+EiLuO1NcR&#10;ZjhKVTRQMk53ITk+4bB32Jy9StheMplSRpMlmtODiC6+XqddL892+wcAAP//AwBQSwMEFAAGAAgA&#10;AAAhAFQod9/fAAAACgEAAA8AAABkcnMvZG93bnJldi54bWxMj8FOwzAQRO9I/IO1SNyok9KgKMSp&#10;KiouHJBokeDoxk4cYa8t203D37Oc4La7M5p9024XZ9msY5o8CihXBTCNvVcTjgLej893NbCUJSpp&#10;PWoB3zrBtru+amWj/AXf9HzII6MQTI0UYHIODeepN9rJtPJBI2mDj05mWuPIVZQXCneWr4vigTs5&#10;IX0wMugno/uvw9kJ+HBmUvv4+jkoO+9fhl0VlhiEuL1Zdo/Asl7ynxl+8QkdOmI6+TOqxKyAqipL&#10;sgpY31MFMtT1hoYTHTZVAbxr+f8K3Q8AAAD//wMAUEsBAi0AFAAGAAgAAAAhALaDOJL+AAAA4QEA&#10;ABMAAAAAAAAAAAAAAAAAAAAAAFtDb250ZW50X1R5cGVzXS54bWxQSwECLQAUAAYACAAAACEAOP0h&#10;/9YAAACUAQAACwAAAAAAAAAAAAAAAAAvAQAAX3JlbHMvLnJlbHNQSwECLQAUAAYACAAAACEAivfG&#10;mBACAAD+AwAADgAAAAAAAAAAAAAAAAAuAgAAZHJzL2Uyb0RvYy54bWxQSwECLQAUAAYACAAAACEA&#10;VCh3398AAAAKAQAADwAAAAAAAAAAAAAAAABqBAAAZHJzL2Rvd25yZXYueG1sUEsFBgAAAAAEAAQA&#10;8wAAAHYFAAAAAA==&#10;" stroked="f">
                <v:textbox style="mso-fit-shape-to-text:t">
                  <w:txbxContent>
                    <w:p w14:paraId="49454DAF" w14:textId="77777777" w:rsidR="00B317D0" w:rsidRDefault="00B317D0" w:rsidP="00B317D0">
                      <w:pPr>
                        <w:spacing w:after="0"/>
                        <w:rPr>
                          <w:rFonts w:ascii="Times New Roman" w:hAnsi="Times New Roman" w:cs="Times New Roman"/>
                          <w:lang w:val="en-US"/>
                        </w:rPr>
                      </w:pPr>
                      <w:r>
                        <w:rPr>
                          <w:rFonts w:ascii="Times New Roman" w:hAnsi="Times New Roman" w:cs="Times New Roman"/>
                          <w:lang w:val="en-US"/>
                        </w:rPr>
                        <w:t xml:space="preserve">This table provides the descriptive </w:t>
                      </w:r>
                    </w:p>
                    <w:p w14:paraId="02C20094" w14:textId="77777777" w:rsidR="00B317D0" w:rsidRPr="00121E3E" w:rsidRDefault="00B317D0" w:rsidP="00B317D0">
                      <w:pPr>
                        <w:rPr>
                          <w:lang w:val="en-US"/>
                        </w:rPr>
                      </w:pPr>
                      <w:r>
                        <w:rPr>
                          <w:rFonts w:ascii="Times New Roman" w:hAnsi="Times New Roman" w:cs="Times New Roman"/>
                          <w:lang w:val="en-US"/>
                        </w:rPr>
                        <w:t>statistics for the quantile residuals.</w:t>
                      </w:r>
                    </w:p>
                  </w:txbxContent>
                </v:textbox>
                <w10:wrap type="square" anchorx="margin"/>
              </v:shape>
            </w:pict>
          </mc:Fallback>
        </mc:AlternateContent>
      </w:r>
    </w:p>
    <w:p w14:paraId="0440F6E4" w14:textId="16AF93B9" w:rsidR="00B317D0" w:rsidRDefault="00B317D0" w:rsidP="00B317D0">
      <w:pPr>
        <w:spacing w:after="0"/>
        <w:rPr>
          <w:rFonts w:ascii="Times New Roman" w:hAnsi="Times New Roman" w:cs="Times New Roman"/>
          <w:lang w:val="en-US"/>
        </w:rPr>
      </w:pPr>
      <w:r>
        <w:rPr>
          <w:rFonts w:ascii="Times New Roman" w:hAnsi="Times New Roman" w:cs="Times New Roman"/>
          <w:lang w:val="en-US"/>
        </w:rPr>
        <w:t xml:space="preserve">This table provides the descriptive </w:t>
      </w:r>
    </w:p>
    <w:p w14:paraId="4B4C4465" w14:textId="4AE4CA9E" w:rsidR="00B317D0" w:rsidRDefault="00B317D0" w:rsidP="00B317D0">
      <w:pPr>
        <w:spacing w:after="0"/>
        <w:rPr>
          <w:rFonts w:ascii="Times New Roman" w:hAnsi="Times New Roman" w:cs="Times New Roman"/>
          <w:lang w:val="en-US"/>
        </w:rPr>
      </w:pPr>
      <w:r>
        <w:rPr>
          <w:rFonts w:ascii="Times New Roman" w:hAnsi="Times New Roman" w:cs="Times New Roman"/>
          <w:lang w:val="en-US"/>
        </w:rPr>
        <w:t xml:space="preserve">statistics for the Pearson </w:t>
      </w:r>
    </w:p>
    <w:p w14:paraId="47E8C00A" w14:textId="77777777" w:rsidR="00B317D0" w:rsidRPr="001343F2" w:rsidRDefault="00B317D0" w:rsidP="00B317D0">
      <w:pPr>
        <w:spacing w:after="0"/>
        <w:rPr>
          <w:rFonts w:ascii="Times New Roman" w:hAnsi="Times New Roman" w:cs="Times New Roman"/>
          <w:lang w:val="en-US"/>
        </w:rPr>
      </w:pPr>
      <w:r>
        <w:rPr>
          <w:rFonts w:ascii="Times New Roman" w:hAnsi="Times New Roman" w:cs="Times New Roman"/>
          <w:lang w:val="en-US"/>
        </w:rPr>
        <w:t xml:space="preserve">residuals. </w:t>
      </w:r>
      <w:r>
        <w:rPr>
          <w:rFonts w:ascii="Times New Roman" w:hAnsi="Times New Roman" w:cs="Times New Roman"/>
          <w:lang w:val="en-US"/>
        </w:rPr>
        <w:tab/>
      </w:r>
    </w:p>
    <w:p w14:paraId="095B0B2C" w14:textId="72584CB1" w:rsidR="00117B1C" w:rsidRDefault="00117B1C">
      <w:pPr>
        <w:rPr>
          <w:lang w:val="en-US"/>
        </w:rPr>
      </w:pPr>
    </w:p>
    <w:p w14:paraId="72F3FC9B" w14:textId="5ED14E2E" w:rsidR="00112C1E" w:rsidRDefault="00112C1E">
      <w:pPr>
        <w:rPr>
          <w:lang w:val="en-US"/>
        </w:rPr>
      </w:pPr>
    </w:p>
    <w:p w14:paraId="471C0E52" w14:textId="77777777" w:rsidR="00296F14" w:rsidRDefault="00296F14">
      <w:pPr>
        <w:rPr>
          <w:lang w:val="en-US"/>
        </w:rPr>
      </w:pPr>
    </w:p>
    <w:p w14:paraId="2DE96F3C" w14:textId="77777777" w:rsidR="00296F14" w:rsidRDefault="00296F14">
      <w:pPr>
        <w:rPr>
          <w:lang w:val="en-US"/>
        </w:rPr>
      </w:pPr>
    </w:p>
    <w:p w14:paraId="64E31941" w14:textId="77777777" w:rsidR="00296F14" w:rsidRDefault="00296F14">
      <w:pPr>
        <w:rPr>
          <w:lang w:val="en-US"/>
        </w:rPr>
      </w:pPr>
    </w:p>
    <w:p w14:paraId="5740C49E" w14:textId="77777777" w:rsidR="00296F14" w:rsidRDefault="00296F14">
      <w:pPr>
        <w:rPr>
          <w:lang w:val="en-US"/>
        </w:rPr>
      </w:pPr>
    </w:p>
    <w:p w14:paraId="7293DD96" w14:textId="77777777" w:rsidR="00296F14" w:rsidRDefault="00296F14">
      <w:pPr>
        <w:rPr>
          <w:lang w:val="en-US"/>
        </w:rPr>
      </w:pPr>
    </w:p>
    <w:p w14:paraId="3E401739" w14:textId="77777777" w:rsidR="00296F14" w:rsidRDefault="00296F14">
      <w:pPr>
        <w:rPr>
          <w:lang w:val="en-US"/>
        </w:rPr>
      </w:pPr>
    </w:p>
    <w:p w14:paraId="772C2520" w14:textId="77777777" w:rsidR="00296F14" w:rsidRDefault="00296F14">
      <w:pPr>
        <w:rPr>
          <w:lang w:val="en-US"/>
        </w:rPr>
      </w:pPr>
    </w:p>
    <w:p w14:paraId="5855079F" w14:textId="77777777" w:rsidR="00296F14" w:rsidRDefault="00296F14">
      <w:pPr>
        <w:rPr>
          <w:lang w:val="en-US"/>
        </w:rPr>
      </w:pPr>
    </w:p>
    <w:p w14:paraId="44F527E4" w14:textId="77777777" w:rsidR="00296F14" w:rsidRDefault="00296F14">
      <w:pPr>
        <w:rPr>
          <w:lang w:val="en-US"/>
        </w:rPr>
      </w:pPr>
    </w:p>
    <w:p w14:paraId="30C348AD" w14:textId="77777777" w:rsidR="00296F14" w:rsidRDefault="00296F14">
      <w:pPr>
        <w:rPr>
          <w:lang w:val="en-US"/>
        </w:rPr>
      </w:pPr>
    </w:p>
    <w:p w14:paraId="62935BDB" w14:textId="77777777" w:rsidR="00296F14" w:rsidRDefault="00296F14">
      <w:pPr>
        <w:rPr>
          <w:lang w:val="en-US"/>
        </w:rPr>
      </w:pPr>
    </w:p>
    <w:p w14:paraId="592FD31E" w14:textId="77777777" w:rsidR="00296F14" w:rsidRDefault="00296F14">
      <w:pPr>
        <w:rPr>
          <w:lang w:val="en-US"/>
        </w:rPr>
      </w:pPr>
    </w:p>
    <w:p w14:paraId="49FB97BD" w14:textId="77777777" w:rsidR="00296F14" w:rsidRDefault="00296F14">
      <w:pPr>
        <w:rPr>
          <w:lang w:val="en-US"/>
        </w:rPr>
      </w:pPr>
    </w:p>
    <w:p w14:paraId="73025AE9" w14:textId="791E547C" w:rsidR="00296F14" w:rsidRDefault="00296F14">
      <w:pPr>
        <w:rPr>
          <w:lang w:val="en-US"/>
        </w:rPr>
      </w:pPr>
    </w:p>
    <w:p w14:paraId="02D1AC67" w14:textId="77777777" w:rsidR="00296F14" w:rsidRDefault="00296F14">
      <w:pPr>
        <w:rPr>
          <w:lang w:val="en-US"/>
        </w:rPr>
      </w:pPr>
    </w:p>
    <w:p w14:paraId="7A1AB153" w14:textId="77777777" w:rsidR="00296F14" w:rsidRDefault="00296F14">
      <w:pPr>
        <w:rPr>
          <w:lang w:val="en-US"/>
        </w:rPr>
      </w:pPr>
    </w:p>
    <w:p w14:paraId="5CD0BB6C" w14:textId="77777777" w:rsidR="00296F14" w:rsidRDefault="00296F14">
      <w:pPr>
        <w:rPr>
          <w:lang w:val="en-US"/>
        </w:rPr>
      </w:pPr>
    </w:p>
    <w:p w14:paraId="44AFADE2" w14:textId="77777777" w:rsidR="00296F14" w:rsidRDefault="00296F14">
      <w:pPr>
        <w:rPr>
          <w:lang w:val="en-US"/>
        </w:rPr>
      </w:pPr>
    </w:p>
    <w:p w14:paraId="11F1B9DD" w14:textId="5D4821EC" w:rsidR="00296F14" w:rsidRDefault="00296F14">
      <w:pPr>
        <w:rPr>
          <w:lang w:val="en-US"/>
        </w:rPr>
      </w:pPr>
    </w:p>
    <w:p w14:paraId="4329A8AD" w14:textId="77777777" w:rsidR="00296F14" w:rsidRDefault="00296F14">
      <w:pPr>
        <w:rPr>
          <w:lang w:val="en-US"/>
        </w:rPr>
        <w:sectPr w:rsidR="00296F14" w:rsidSect="00296F14">
          <w:pgSz w:w="11906" w:h="16838" w:code="9"/>
          <w:pgMar w:top="1418" w:right="1418" w:bottom="1418" w:left="1418" w:header="709" w:footer="709" w:gutter="0"/>
          <w:cols w:space="708"/>
          <w:docGrid w:linePitch="360"/>
        </w:sectPr>
      </w:pPr>
    </w:p>
    <w:p w14:paraId="5882A42F" w14:textId="77777777" w:rsidR="006F67F3" w:rsidRPr="00435540" w:rsidRDefault="006F67F3" w:rsidP="006F67F3">
      <w:pPr>
        <w:spacing w:after="0"/>
        <w:rPr>
          <w:rFonts w:ascii="Times New Roman" w:hAnsi="Times New Roman" w:cs="Times New Roman"/>
          <w:b/>
          <w:bCs/>
          <w:lang w:val="en-US"/>
        </w:rPr>
      </w:pPr>
      <w:r w:rsidRPr="00435540">
        <w:rPr>
          <w:rFonts w:ascii="Times New Roman" w:hAnsi="Times New Roman" w:cs="Times New Roman"/>
          <w:b/>
          <w:bCs/>
          <w:lang w:val="en-US"/>
        </w:rPr>
        <w:lastRenderedPageBreak/>
        <w:t>References</w:t>
      </w:r>
    </w:p>
    <w:p w14:paraId="26E18BCC" w14:textId="77777777" w:rsidR="006F67F3" w:rsidRPr="00435540" w:rsidRDefault="006F67F3" w:rsidP="006F67F3">
      <w:pPr>
        <w:spacing w:after="0"/>
        <w:rPr>
          <w:rFonts w:ascii="Times New Roman" w:hAnsi="Times New Roman" w:cs="Times New Roman"/>
          <w:b/>
          <w:bCs/>
          <w:lang w:val="en-US"/>
        </w:rPr>
      </w:pPr>
    </w:p>
    <w:p w14:paraId="35BCDA17" w14:textId="77777777" w:rsidR="006F67F3" w:rsidRPr="00D77DA8" w:rsidRDefault="006F67F3" w:rsidP="006F67F3">
      <w:pPr>
        <w:spacing w:after="0"/>
        <w:rPr>
          <w:rStyle w:val="Hyperlink"/>
          <w:rFonts w:ascii="Times New Roman" w:hAnsi="Times New Roman" w:cs="Times New Roman"/>
        </w:rPr>
      </w:pPr>
      <w:r w:rsidRPr="00D77DA8">
        <w:rPr>
          <w:rFonts w:ascii="Times New Roman" w:hAnsi="Times New Roman" w:cs="Times New Roman"/>
        </w:rPr>
        <w:t>Centraal Bureau voor de Statistiek</w:t>
      </w:r>
      <w:r>
        <w:rPr>
          <w:rFonts w:ascii="Times New Roman" w:hAnsi="Times New Roman" w:cs="Times New Roman"/>
        </w:rPr>
        <w:t>.</w:t>
      </w:r>
      <w:r w:rsidRPr="00D77DA8">
        <w:rPr>
          <w:rFonts w:ascii="Times New Roman" w:hAnsi="Times New Roman" w:cs="Times New Roman"/>
        </w:rPr>
        <w:t xml:space="preserve"> (2023). Woningvoorraad; woningtype op 1 januari, regio</w:t>
      </w:r>
      <w:r w:rsidRPr="00D77DA8">
        <w:rPr>
          <w:rFonts w:ascii="Times New Roman" w:hAnsi="Times New Roman" w:cs="Times New Roman"/>
          <w:i/>
          <w:iCs/>
        </w:rPr>
        <w:t xml:space="preserve"> </w:t>
      </w:r>
      <w:r w:rsidRPr="00D77DA8">
        <w:rPr>
          <w:rFonts w:ascii="Times New Roman" w:hAnsi="Times New Roman" w:cs="Times New Roman"/>
        </w:rPr>
        <w:t>(</w:t>
      </w:r>
      <w:proofErr w:type="spellStart"/>
      <w:r w:rsidRPr="00D77DA8">
        <w:rPr>
          <w:rFonts w:ascii="Times New Roman" w:hAnsi="Times New Roman" w:cs="Times New Roman"/>
        </w:rPr>
        <w:t>updated</w:t>
      </w:r>
      <w:proofErr w:type="spellEnd"/>
      <w:r w:rsidRPr="00D77DA8">
        <w:rPr>
          <w:rFonts w:ascii="Times New Roman" w:hAnsi="Times New Roman" w:cs="Times New Roman"/>
        </w:rPr>
        <w:t xml:space="preserve"> on 22-09-2023) [Data set]. https://opendata.cbs.nl/#/CBS/nl/dataset/85035NED/table</w:t>
      </w:r>
    </w:p>
    <w:p w14:paraId="29077B0D" w14:textId="77777777" w:rsidR="006F67F3" w:rsidRPr="00D77DA8" w:rsidRDefault="006F67F3" w:rsidP="006F67F3">
      <w:pPr>
        <w:spacing w:after="0"/>
        <w:rPr>
          <w:rStyle w:val="Hyperlink"/>
          <w:rFonts w:ascii="Times New Roman" w:hAnsi="Times New Roman" w:cs="Times New Roman"/>
        </w:rPr>
      </w:pPr>
    </w:p>
    <w:p w14:paraId="1F085B45" w14:textId="77777777" w:rsidR="006F67F3" w:rsidRPr="004D2D62" w:rsidRDefault="006F67F3" w:rsidP="006F67F3">
      <w:pPr>
        <w:spacing w:after="0"/>
        <w:rPr>
          <w:rFonts w:ascii="Times New Roman" w:hAnsi="Times New Roman" w:cs="Times New Roman"/>
          <w:lang w:val="en-US"/>
        </w:rPr>
      </w:pPr>
      <w:r w:rsidRPr="00D77DA8">
        <w:rPr>
          <w:rFonts w:ascii="Times New Roman" w:hAnsi="Times New Roman" w:cs="Times New Roman"/>
        </w:rPr>
        <w:t xml:space="preserve">Dunn, P. K., &amp; </w:t>
      </w:r>
      <w:proofErr w:type="spellStart"/>
      <w:r w:rsidRPr="00D77DA8">
        <w:rPr>
          <w:rFonts w:ascii="Times New Roman" w:hAnsi="Times New Roman" w:cs="Times New Roman"/>
        </w:rPr>
        <w:t>Smyth</w:t>
      </w:r>
      <w:proofErr w:type="spellEnd"/>
      <w:r w:rsidRPr="00D77DA8">
        <w:rPr>
          <w:rFonts w:ascii="Times New Roman" w:hAnsi="Times New Roman" w:cs="Times New Roman"/>
        </w:rPr>
        <w:t xml:space="preserve">, G. K. (1996). </w:t>
      </w:r>
      <w:r w:rsidRPr="00D77DA8">
        <w:rPr>
          <w:rFonts w:ascii="Times New Roman" w:hAnsi="Times New Roman" w:cs="Times New Roman"/>
          <w:lang w:val="en-US"/>
        </w:rPr>
        <w:t xml:space="preserve">Randomized quantile residuals. </w:t>
      </w:r>
      <w:r w:rsidRPr="00D77DA8">
        <w:rPr>
          <w:rFonts w:ascii="Times New Roman" w:hAnsi="Times New Roman" w:cs="Times New Roman"/>
          <w:i/>
          <w:iCs/>
          <w:lang w:val="en-US"/>
        </w:rPr>
        <w:t>Journal of Computational and Graphical Statistics</w:t>
      </w:r>
      <w:r w:rsidRPr="00D77DA8">
        <w:rPr>
          <w:rFonts w:ascii="Times New Roman" w:hAnsi="Times New Roman" w:cs="Times New Roman"/>
          <w:lang w:val="en-US"/>
        </w:rPr>
        <w:t xml:space="preserve">, </w:t>
      </w:r>
      <w:r w:rsidRPr="00D77DA8">
        <w:rPr>
          <w:rFonts w:ascii="Times New Roman" w:hAnsi="Times New Roman" w:cs="Times New Roman"/>
          <w:i/>
          <w:iCs/>
          <w:lang w:val="en-US"/>
        </w:rPr>
        <w:t>5(3)</w:t>
      </w:r>
      <w:r w:rsidRPr="00D77DA8">
        <w:rPr>
          <w:rFonts w:ascii="Times New Roman" w:hAnsi="Times New Roman" w:cs="Times New Roman"/>
          <w:lang w:val="en-US"/>
        </w:rPr>
        <w:t>, 236-244</w:t>
      </w:r>
    </w:p>
    <w:p w14:paraId="1EA22CBA" w14:textId="77777777" w:rsidR="006F67F3" w:rsidRPr="004D2D62" w:rsidRDefault="006F67F3" w:rsidP="006F67F3">
      <w:pPr>
        <w:spacing w:after="0"/>
        <w:rPr>
          <w:rFonts w:ascii="Times New Roman" w:hAnsi="Times New Roman" w:cs="Times New Roman"/>
          <w:lang w:val="en-US"/>
        </w:rPr>
      </w:pPr>
    </w:p>
    <w:p w14:paraId="4E9A9A0F" w14:textId="77777777" w:rsidR="006F67F3" w:rsidRPr="00D77DA8" w:rsidRDefault="006F67F3" w:rsidP="006F67F3">
      <w:pPr>
        <w:spacing w:after="0"/>
        <w:rPr>
          <w:rFonts w:ascii="Times New Roman" w:hAnsi="Times New Roman" w:cs="Times New Roman"/>
          <w:lang w:val="en-US"/>
        </w:rPr>
      </w:pPr>
      <w:proofErr w:type="spellStart"/>
      <w:r w:rsidRPr="00D77DA8">
        <w:rPr>
          <w:rFonts w:ascii="Times New Roman" w:hAnsi="Times New Roman" w:cs="Times New Roman"/>
          <w:lang w:val="en-US"/>
        </w:rPr>
        <w:t>Koninklijk</w:t>
      </w:r>
      <w:proofErr w:type="spellEnd"/>
      <w:r w:rsidRPr="00D77DA8">
        <w:rPr>
          <w:rFonts w:ascii="Times New Roman" w:hAnsi="Times New Roman" w:cs="Times New Roman"/>
          <w:lang w:val="en-US"/>
        </w:rPr>
        <w:t xml:space="preserve"> </w:t>
      </w:r>
      <w:proofErr w:type="spellStart"/>
      <w:r w:rsidRPr="00D77DA8">
        <w:rPr>
          <w:rFonts w:ascii="Times New Roman" w:hAnsi="Times New Roman" w:cs="Times New Roman"/>
          <w:lang w:val="en-US"/>
        </w:rPr>
        <w:t>Nederlands</w:t>
      </w:r>
      <w:proofErr w:type="spellEnd"/>
      <w:r w:rsidRPr="00D77DA8">
        <w:rPr>
          <w:rFonts w:ascii="Times New Roman" w:hAnsi="Times New Roman" w:cs="Times New Roman"/>
          <w:lang w:val="en-US"/>
        </w:rPr>
        <w:t xml:space="preserve"> </w:t>
      </w:r>
      <w:proofErr w:type="spellStart"/>
      <w:r w:rsidRPr="00D77DA8">
        <w:rPr>
          <w:rFonts w:ascii="Times New Roman" w:hAnsi="Times New Roman" w:cs="Times New Roman"/>
          <w:lang w:val="en-US"/>
        </w:rPr>
        <w:t>Meteorologisch</w:t>
      </w:r>
      <w:proofErr w:type="spellEnd"/>
      <w:r w:rsidRPr="00D77DA8">
        <w:rPr>
          <w:rFonts w:ascii="Times New Roman" w:hAnsi="Times New Roman" w:cs="Times New Roman"/>
          <w:lang w:val="en-US"/>
        </w:rPr>
        <w:t xml:space="preserve"> </w:t>
      </w:r>
      <w:proofErr w:type="spellStart"/>
      <w:r w:rsidRPr="00D77DA8">
        <w:rPr>
          <w:rFonts w:ascii="Times New Roman" w:hAnsi="Times New Roman" w:cs="Times New Roman"/>
          <w:lang w:val="en-US"/>
        </w:rPr>
        <w:t>Instituut</w:t>
      </w:r>
      <w:proofErr w:type="spellEnd"/>
      <w:r w:rsidRPr="00D77DA8">
        <w:rPr>
          <w:rFonts w:ascii="Times New Roman" w:hAnsi="Times New Roman" w:cs="Times New Roman"/>
          <w:lang w:val="en-US"/>
        </w:rPr>
        <w:t>. (2017). Precipitation - 1 hour precipitation accumulations from climatological gauge-adjusted radar dataset for The Netherlands (1 km) in NetCDF4 format (Version 2) [Data set]. https://dataplatform.knmi.nl/dataset/rad-nl25-rac-mfbs-01h-netcdf4-2-0</w:t>
      </w:r>
    </w:p>
    <w:p w14:paraId="1C151E06" w14:textId="77777777" w:rsidR="006F67F3" w:rsidRPr="00D77DA8" w:rsidRDefault="006F67F3" w:rsidP="006F67F3">
      <w:pPr>
        <w:spacing w:after="0"/>
        <w:rPr>
          <w:rFonts w:ascii="Times New Roman" w:hAnsi="Times New Roman" w:cs="Times New Roman"/>
          <w:lang w:val="en-US"/>
        </w:rPr>
      </w:pPr>
    </w:p>
    <w:p w14:paraId="712D8738" w14:textId="77777777" w:rsidR="006F67F3" w:rsidRPr="00D77DA8" w:rsidRDefault="006F67F3" w:rsidP="006F67F3">
      <w:pPr>
        <w:spacing w:after="0"/>
        <w:rPr>
          <w:rFonts w:ascii="Times New Roman" w:hAnsi="Times New Roman" w:cs="Times New Roman"/>
          <w:lang w:val="en-US"/>
        </w:rPr>
      </w:pPr>
      <w:proofErr w:type="spellStart"/>
      <w:r w:rsidRPr="00D77DA8">
        <w:rPr>
          <w:rFonts w:ascii="Times New Roman" w:hAnsi="Times New Roman" w:cs="Times New Roman"/>
          <w:lang w:val="en-US"/>
        </w:rPr>
        <w:t>Koninklijk</w:t>
      </w:r>
      <w:proofErr w:type="spellEnd"/>
      <w:r w:rsidRPr="00D77DA8">
        <w:rPr>
          <w:rFonts w:ascii="Times New Roman" w:hAnsi="Times New Roman" w:cs="Times New Roman"/>
          <w:lang w:val="en-US"/>
        </w:rPr>
        <w:t xml:space="preserve"> </w:t>
      </w:r>
      <w:proofErr w:type="spellStart"/>
      <w:r w:rsidRPr="00D77DA8">
        <w:rPr>
          <w:rFonts w:ascii="Times New Roman" w:hAnsi="Times New Roman" w:cs="Times New Roman"/>
          <w:lang w:val="en-US"/>
        </w:rPr>
        <w:t>Nederlands</w:t>
      </w:r>
      <w:proofErr w:type="spellEnd"/>
      <w:r w:rsidRPr="00D77DA8">
        <w:rPr>
          <w:rFonts w:ascii="Times New Roman" w:hAnsi="Times New Roman" w:cs="Times New Roman"/>
          <w:lang w:val="en-US"/>
        </w:rPr>
        <w:t xml:space="preserve"> </w:t>
      </w:r>
      <w:proofErr w:type="spellStart"/>
      <w:r w:rsidRPr="00D77DA8">
        <w:rPr>
          <w:rFonts w:ascii="Times New Roman" w:hAnsi="Times New Roman" w:cs="Times New Roman"/>
          <w:lang w:val="en-US"/>
        </w:rPr>
        <w:t>Meteorologisch</w:t>
      </w:r>
      <w:proofErr w:type="spellEnd"/>
      <w:r w:rsidRPr="00D77DA8">
        <w:rPr>
          <w:rFonts w:ascii="Times New Roman" w:hAnsi="Times New Roman" w:cs="Times New Roman"/>
          <w:lang w:val="en-US"/>
        </w:rPr>
        <w:t xml:space="preserve"> </w:t>
      </w:r>
      <w:proofErr w:type="spellStart"/>
      <w:r w:rsidRPr="00D77DA8">
        <w:rPr>
          <w:rFonts w:ascii="Times New Roman" w:hAnsi="Times New Roman" w:cs="Times New Roman"/>
          <w:lang w:val="en-US"/>
        </w:rPr>
        <w:t>Instituut</w:t>
      </w:r>
      <w:proofErr w:type="spellEnd"/>
      <w:r w:rsidRPr="00D77DA8">
        <w:rPr>
          <w:rFonts w:ascii="Times New Roman" w:hAnsi="Times New Roman" w:cs="Times New Roman"/>
          <w:lang w:val="en-US"/>
        </w:rPr>
        <w:t>. (2018). Dutch Offshore Wind Atlas - time series files from 2008-2017 at 10-600 meter height at individual 2.5 km grid location (Version 1) [Data set]. https://dataplatform.knmi.nl/dataset/dowa-netcdf-ts-singlepoint-1</w:t>
      </w:r>
    </w:p>
    <w:p w14:paraId="7AA974A3" w14:textId="77777777" w:rsidR="006F67F3" w:rsidRPr="00D77DA8" w:rsidRDefault="006F67F3" w:rsidP="006F67F3">
      <w:pPr>
        <w:spacing w:after="0"/>
        <w:rPr>
          <w:rFonts w:ascii="Times New Roman" w:hAnsi="Times New Roman" w:cs="Times New Roman"/>
          <w:lang w:val="en-US"/>
        </w:rPr>
      </w:pPr>
    </w:p>
    <w:p w14:paraId="51EC96D0" w14:textId="77777777" w:rsidR="006F67F3" w:rsidRPr="00D77DA8" w:rsidRDefault="006F67F3" w:rsidP="006F67F3">
      <w:pPr>
        <w:spacing w:after="0"/>
        <w:rPr>
          <w:rFonts w:ascii="Times New Roman" w:hAnsi="Times New Roman" w:cs="Times New Roman"/>
          <w:lang w:val="en-US"/>
        </w:rPr>
      </w:pPr>
      <w:proofErr w:type="spellStart"/>
      <w:r w:rsidRPr="00D77DA8">
        <w:rPr>
          <w:rFonts w:ascii="Times New Roman" w:hAnsi="Times New Roman" w:cs="Times New Roman"/>
          <w:lang w:val="en-US"/>
        </w:rPr>
        <w:t>Koninklijk</w:t>
      </w:r>
      <w:proofErr w:type="spellEnd"/>
      <w:r w:rsidRPr="00D77DA8">
        <w:rPr>
          <w:rFonts w:ascii="Times New Roman" w:hAnsi="Times New Roman" w:cs="Times New Roman"/>
          <w:lang w:val="en-US"/>
        </w:rPr>
        <w:t xml:space="preserve"> </w:t>
      </w:r>
      <w:proofErr w:type="spellStart"/>
      <w:r w:rsidRPr="00D77DA8">
        <w:rPr>
          <w:rFonts w:ascii="Times New Roman" w:hAnsi="Times New Roman" w:cs="Times New Roman"/>
          <w:lang w:val="en-US"/>
        </w:rPr>
        <w:t>Nederlands</w:t>
      </w:r>
      <w:proofErr w:type="spellEnd"/>
      <w:r w:rsidRPr="00D77DA8">
        <w:rPr>
          <w:rFonts w:ascii="Times New Roman" w:hAnsi="Times New Roman" w:cs="Times New Roman"/>
          <w:lang w:val="en-US"/>
        </w:rPr>
        <w:t xml:space="preserve"> </w:t>
      </w:r>
      <w:proofErr w:type="spellStart"/>
      <w:r w:rsidRPr="00D77DA8">
        <w:rPr>
          <w:rFonts w:ascii="Times New Roman" w:hAnsi="Times New Roman" w:cs="Times New Roman"/>
          <w:lang w:val="en-US"/>
        </w:rPr>
        <w:t>Meteorologisch</w:t>
      </w:r>
      <w:proofErr w:type="spellEnd"/>
      <w:r w:rsidRPr="00D77DA8">
        <w:rPr>
          <w:rFonts w:ascii="Times New Roman" w:hAnsi="Times New Roman" w:cs="Times New Roman"/>
          <w:lang w:val="en-US"/>
        </w:rPr>
        <w:t xml:space="preserve"> </w:t>
      </w:r>
      <w:proofErr w:type="spellStart"/>
      <w:r w:rsidRPr="00D77DA8">
        <w:rPr>
          <w:rFonts w:ascii="Times New Roman" w:hAnsi="Times New Roman" w:cs="Times New Roman"/>
          <w:lang w:val="en-US"/>
        </w:rPr>
        <w:t>Instituut</w:t>
      </w:r>
      <w:proofErr w:type="spellEnd"/>
      <w:r w:rsidRPr="00D77DA8">
        <w:rPr>
          <w:rFonts w:ascii="Times New Roman" w:hAnsi="Times New Roman" w:cs="Times New Roman"/>
          <w:lang w:val="en-US"/>
        </w:rPr>
        <w:t xml:space="preserve">. (2019). Dutch Offshore Wind Atlas - time series files for 2018 at 10-600 meter height at individual 2.5 km grid location (Version 1) [Data set]. </w:t>
      </w:r>
    </w:p>
    <w:p w14:paraId="7C627E4E" w14:textId="77777777" w:rsidR="006F67F3" w:rsidRPr="00D77DA8" w:rsidRDefault="006F67F3" w:rsidP="006F67F3">
      <w:pPr>
        <w:spacing w:after="0"/>
        <w:rPr>
          <w:rFonts w:ascii="Times New Roman" w:hAnsi="Times New Roman" w:cs="Times New Roman"/>
          <w:lang w:val="en-US"/>
        </w:rPr>
      </w:pPr>
      <w:r w:rsidRPr="00D77DA8">
        <w:rPr>
          <w:rFonts w:ascii="Times New Roman" w:hAnsi="Times New Roman" w:cs="Times New Roman"/>
          <w:lang w:val="en-US"/>
        </w:rPr>
        <w:t>https://dataplatform.knmi.nl/dataset/dowa-netcdf-ts-singlepoint-upd-1</w:t>
      </w:r>
    </w:p>
    <w:p w14:paraId="699460E2" w14:textId="77777777" w:rsidR="006F67F3" w:rsidRPr="00D77DA8" w:rsidRDefault="006F67F3" w:rsidP="006F67F3">
      <w:pPr>
        <w:spacing w:after="0"/>
        <w:rPr>
          <w:rFonts w:ascii="Times New Roman" w:hAnsi="Times New Roman" w:cs="Times New Roman"/>
          <w:lang w:val="en-US"/>
        </w:rPr>
      </w:pPr>
    </w:p>
    <w:p w14:paraId="7C55A354" w14:textId="77777777" w:rsidR="006F67F3" w:rsidRPr="00D77DA8" w:rsidRDefault="006F67F3" w:rsidP="006F67F3">
      <w:pPr>
        <w:spacing w:after="0"/>
        <w:rPr>
          <w:rFonts w:ascii="Times New Roman" w:hAnsi="Times New Roman" w:cs="Times New Roman"/>
          <w:lang w:val="en-US"/>
        </w:rPr>
      </w:pPr>
      <w:proofErr w:type="spellStart"/>
      <w:r w:rsidRPr="00D77DA8">
        <w:rPr>
          <w:rFonts w:ascii="Times New Roman" w:hAnsi="Times New Roman" w:cs="Times New Roman"/>
          <w:lang w:val="en-US"/>
        </w:rPr>
        <w:t>Koninklijk</w:t>
      </w:r>
      <w:proofErr w:type="spellEnd"/>
      <w:r w:rsidRPr="00D77DA8">
        <w:rPr>
          <w:rFonts w:ascii="Times New Roman" w:hAnsi="Times New Roman" w:cs="Times New Roman"/>
          <w:lang w:val="en-US"/>
        </w:rPr>
        <w:t xml:space="preserve"> </w:t>
      </w:r>
      <w:proofErr w:type="spellStart"/>
      <w:r w:rsidRPr="00D77DA8">
        <w:rPr>
          <w:rFonts w:ascii="Times New Roman" w:hAnsi="Times New Roman" w:cs="Times New Roman"/>
          <w:lang w:val="en-US"/>
        </w:rPr>
        <w:t>Nederlands</w:t>
      </w:r>
      <w:proofErr w:type="spellEnd"/>
      <w:r w:rsidRPr="00D77DA8">
        <w:rPr>
          <w:rFonts w:ascii="Times New Roman" w:hAnsi="Times New Roman" w:cs="Times New Roman"/>
          <w:lang w:val="en-US"/>
        </w:rPr>
        <w:t xml:space="preserve"> </w:t>
      </w:r>
      <w:proofErr w:type="spellStart"/>
      <w:r w:rsidRPr="00D77DA8">
        <w:rPr>
          <w:rFonts w:ascii="Times New Roman" w:hAnsi="Times New Roman" w:cs="Times New Roman"/>
          <w:lang w:val="en-US"/>
        </w:rPr>
        <w:t>Meteorologisch</w:t>
      </w:r>
      <w:proofErr w:type="spellEnd"/>
      <w:r w:rsidRPr="00D77DA8">
        <w:rPr>
          <w:rFonts w:ascii="Times New Roman" w:hAnsi="Times New Roman" w:cs="Times New Roman"/>
          <w:lang w:val="en-US"/>
        </w:rPr>
        <w:t xml:space="preserve"> </w:t>
      </w:r>
      <w:proofErr w:type="spellStart"/>
      <w:r w:rsidRPr="00D77DA8">
        <w:rPr>
          <w:rFonts w:ascii="Times New Roman" w:hAnsi="Times New Roman" w:cs="Times New Roman"/>
          <w:lang w:val="en-US"/>
        </w:rPr>
        <w:t>Instituut</w:t>
      </w:r>
      <w:proofErr w:type="spellEnd"/>
      <w:r w:rsidRPr="00D77DA8">
        <w:rPr>
          <w:rFonts w:ascii="Times New Roman" w:hAnsi="Times New Roman" w:cs="Times New Roman"/>
          <w:lang w:val="en-US"/>
        </w:rPr>
        <w:t>. (2022). WINS50 - wind at 10-600 meter height for the Netherlands from HARMONIE-AROME as time series per grid point (Version 3) [Data set]. https://dataplatform.knmi.nl/dataset/wins50-ctl-nl-ts-singlepoint-3</w:t>
      </w:r>
    </w:p>
    <w:p w14:paraId="7C67B690" w14:textId="77777777" w:rsidR="006F67F3" w:rsidRPr="00D77DA8" w:rsidRDefault="006F67F3" w:rsidP="006F67F3">
      <w:pPr>
        <w:spacing w:after="0"/>
        <w:rPr>
          <w:rStyle w:val="Hyperlink"/>
          <w:rFonts w:ascii="Times New Roman" w:hAnsi="Times New Roman" w:cs="Times New Roman"/>
          <w:lang w:val="en-US"/>
        </w:rPr>
      </w:pPr>
    </w:p>
    <w:p w14:paraId="31D3A5A1" w14:textId="514A5B9A" w:rsidR="006F67F3" w:rsidRPr="004D2D62" w:rsidRDefault="006F67F3" w:rsidP="006F67F3">
      <w:pPr>
        <w:spacing w:after="0"/>
        <w:rPr>
          <w:rFonts w:ascii="Times New Roman" w:hAnsi="Times New Roman" w:cs="Times New Roman"/>
        </w:rPr>
      </w:pPr>
      <w:r w:rsidRPr="00D77DA8">
        <w:rPr>
          <w:rFonts w:ascii="Times New Roman" w:hAnsi="Times New Roman" w:cs="Times New Roman"/>
        </w:rPr>
        <w:t xml:space="preserve">Overeem, A., Leijnse, H., &amp; </w:t>
      </w:r>
      <w:proofErr w:type="spellStart"/>
      <w:r w:rsidRPr="00D77DA8">
        <w:rPr>
          <w:rFonts w:ascii="Times New Roman" w:hAnsi="Times New Roman" w:cs="Times New Roman"/>
        </w:rPr>
        <w:t>Uijlenhoet</w:t>
      </w:r>
      <w:proofErr w:type="spellEnd"/>
      <w:r w:rsidRPr="00D77DA8">
        <w:rPr>
          <w:rFonts w:ascii="Times New Roman" w:hAnsi="Times New Roman" w:cs="Times New Roman"/>
        </w:rPr>
        <w:t xml:space="preserve">, R. (2011). </w:t>
      </w:r>
      <w:r w:rsidRPr="00D77DA8">
        <w:rPr>
          <w:rFonts w:ascii="Times New Roman" w:hAnsi="Times New Roman" w:cs="Times New Roman"/>
          <w:lang w:val="en-US"/>
        </w:rPr>
        <w:t>Measuring urban rainfall using microwave links from commercial cellular communication networks</w:t>
      </w:r>
      <w:r w:rsidRPr="00700177">
        <w:rPr>
          <w:rFonts w:ascii="Times New Roman" w:hAnsi="Times New Roman" w:cs="Times New Roman"/>
          <w:lang w:val="en-US"/>
        </w:rPr>
        <w:t xml:space="preserve">. </w:t>
      </w:r>
      <w:r w:rsidRPr="004D2D62">
        <w:rPr>
          <w:rFonts w:ascii="Times New Roman" w:hAnsi="Times New Roman" w:cs="Times New Roman"/>
          <w:i/>
          <w:iCs/>
        </w:rPr>
        <w:t xml:space="preserve">Water </w:t>
      </w:r>
      <w:proofErr w:type="spellStart"/>
      <w:r w:rsidRPr="004D2D62">
        <w:rPr>
          <w:rFonts w:ascii="Times New Roman" w:hAnsi="Times New Roman" w:cs="Times New Roman"/>
          <w:i/>
          <w:iCs/>
        </w:rPr>
        <w:t>Resour</w:t>
      </w:r>
      <w:proofErr w:type="spellEnd"/>
      <w:r w:rsidRPr="004D2D62">
        <w:rPr>
          <w:rFonts w:ascii="Times New Roman" w:hAnsi="Times New Roman" w:cs="Times New Roman"/>
          <w:i/>
          <w:iCs/>
        </w:rPr>
        <w:t xml:space="preserve">. </w:t>
      </w:r>
      <w:proofErr w:type="spellStart"/>
      <w:r w:rsidRPr="004D2D62">
        <w:rPr>
          <w:rFonts w:ascii="Times New Roman" w:hAnsi="Times New Roman" w:cs="Times New Roman"/>
          <w:i/>
          <w:iCs/>
        </w:rPr>
        <w:t>Res</w:t>
      </w:r>
      <w:proofErr w:type="spellEnd"/>
      <w:r w:rsidRPr="004D2D62">
        <w:rPr>
          <w:rFonts w:ascii="Times New Roman" w:hAnsi="Times New Roman" w:cs="Times New Roman"/>
          <w:i/>
          <w:iCs/>
        </w:rPr>
        <w:t>.</w:t>
      </w:r>
      <w:r w:rsidRPr="004D2D62">
        <w:rPr>
          <w:rFonts w:ascii="Times New Roman" w:hAnsi="Times New Roman" w:cs="Times New Roman"/>
        </w:rPr>
        <w:t xml:space="preserve">, </w:t>
      </w:r>
      <w:r w:rsidRPr="004D2D62">
        <w:rPr>
          <w:rFonts w:ascii="Times New Roman" w:hAnsi="Times New Roman" w:cs="Times New Roman"/>
          <w:i/>
          <w:iCs/>
        </w:rPr>
        <w:t>47</w:t>
      </w:r>
      <w:r w:rsidRPr="004D2D62">
        <w:rPr>
          <w:rFonts w:ascii="Times New Roman" w:hAnsi="Times New Roman" w:cs="Times New Roman"/>
        </w:rPr>
        <w:t>. doi:10.1029/2010WR010350</w:t>
      </w:r>
    </w:p>
    <w:p w14:paraId="1F85D9F2" w14:textId="77777777" w:rsidR="006F67F3" w:rsidRPr="004D2D62" w:rsidRDefault="006F67F3" w:rsidP="006F67F3">
      <w:pPr>
        <w:spacing w:after="0"/>
        <w:rPr>
          <w:rStyle w:val="Hyperlink"/>
          <w:rFonts w:ascii="Times New Roman" w:hAnsi="Times New Roman" w:cs="Times New Roman"/>
        </w:rPr>
      </w:pPr>
    </w:p>
    <w:p w14:paraId="6D06E530" w14:textId="77777777" w:rsidR="006F67F3" w:rsidRPr="004D2D62" w:rsidRDefault="006F67F3" w:rsidP="006F67F3">
      <w:pPr>
        <w:spacing w:after="0"/>
        <w:rPr>
          <w:rFonts w:ascii="Times New Roman" w:hAnsi="Times New Roman" w:cs="Times New Roman"/>
        </w:rPr>
      </w:pPr>
      <w:r w:rsidRPr="00D77DA8">
        <w:rPr>
          <w:rFonts w:ascii="Times New Roman" w:hAnsi="Times New Roman" w:cs="Times New Roman"/>
        </w:rPr>
        <w:t xml:space="preserve">van den Brink, H.W. (2019). </w:t>
      </w:r>
      <w:r w:rsidRPr="00D77DA8">
        <w:rPr>
          <w:rFonts w:ascii="Times New Roman" w:hAnsi="Times New Roman" w:cs="Times New Roman"/>
          <w:lang w:val="en-US"/>
        </w:rPr>
        <w:t xml:space="preserve">An effective parametrization of gust profiles during severe wind conditions. </w:t>
      </w:r>
      <w:proofErr w:type="spellStart"/>
      <w:r w:rsidRPr="004D2D62">
        <w:rPr>
          <w:rFonts w:ascii="Times New Roman" w:hAnsi="Times New Roman" w:cs="Times New Roman"/>
          <w:i/>
          <w:iCs/>
        </w:rPr>
        <w:t>Environmental</w:t>
      </w:r>
      <w:proofErr w:type="spellEnd"/>
      <w:r w:rsidRPr="004D2D62">
        <w:rPr>
          <w:rFonts w:ascii="Times New Roman" w:hAnsi="Times New Roman" w:cs="Times New Roman"/>
          <w:i/>
          <w:iCs/>
        </w:rPr>
        <w:t xml:space="preserve"> Research Communications</w:t>
      </w:r>
      <w:r w:rsidRPr="004D2D62">
        <w:rPr>
          <w:rFonts w:ascii="Times New Roman" w:hAnsi="Times New Roman" w:cs="Times New Roman"/>
        </w:rPr>
        <w:t xml:space="preserve">, </w:t>
      </w:r>
      <w:r w:rsidRPr="004D2D62">
        <w:rPr>
          <w:rFonts w:ascii="Times New Roman" w:hAnsi="Times New Roman" w:cs="Times New Roman"/>
          <w:i/>
          <w:iCs/>
        </w:rPr>
        <w:t>2</w:t>
      </w:r>
      <w:r w:rsidRPr="004D2D62">
        <w:rPr>
          <w:rFonts w:ascii="Times New Roman" w:hAnsi="Times New Roman" w:cs="Times New Roman"/>
        </w:rPr>
        <w:t>(1).</w:t>
      </w:r>
      <w:r w:rsidRPr="004D2D62">
        <w:rPr>
          <w:rFonts w:ascii="Times New Roman" w:hAnsi="Times New Roman" w:cs="Times New Roman"/>
          <w:i/>
          <w:iCs/>
        </w:rPr>
        <w:t xml:space="preserve"> </w:t>
      </w:r>
      <w:hyperlink r:id="rId14" w:tgtFrame="_blank" w:history="1">
        <w:proofErr w:type="spellStart"/>
        <w:r w:rsidRPr="004D2D62">
          <w:rPr>
            <w:rStyle w:val="Hyperlink"/>
            <w:rFonts w:ascii="Times New Roman" w:hAnsi="Times New Roman" w:cs="Times New Roman"/>
          </w:rPr>
          <w:t>doi</w:t>
        </w:r>
        <w:proofErr w:type="spellEnd"/>
        <w:r w:rsidRPr="004D2D62">
          <w:rPr>
            <w:rStyle w:val="Hyperlink"/>
            <w:rFonts w:ascii="Times New Roman" w:hAnsi="Times New Roman" w:cs="Times New Roman"/>
          </w:rPr>
          <w:t>: 10.1088/2515-7620/ab5777</w:t>
        </w:r>
      </w:hyperlink>
    </w:p>
    <w:p w14:paraId="3C935F32" w14:textId="77777777" w:rsidR="006F67F3" w:rsidRPr="004D2D62" w:rsidRDefault="006F67F3" w:rsidP="00251A43">
      <w:pPr>
        <w:spacing w:after="0"/>
        <w:rPr>
          <w:rFonts w:ascii="Times New Roman" w:hAnsi="Times New Roman" w:cs="Times New Roman"/>
        </w:rPr>
      </w:pPr>
    </w:p>
    <w:p w14:paraId="7CB7C545" w14:textId="77777777" w:rsidR="006F67F3" w:rsidRPr="00D77DA8" w:rsidRDefault="006F67F3" w:rsidP="00251A43">
      <w:pPr>
        <w:spacing w:after="0"/>
        <w:rPr>
          <w:rFonts w:ascii="Times New Roman" w:hAnsi="Times New Roman" w:cs="Times New Roman"/>
        </w:rPr>
      </w:pPr>
      <w:r w:rsidRPr="00D77DA8">
        <w:rPr>
          <w:rFonts w:ascii="Times New Roman" w:hAnsi="Times New Roman" w:cs="Times New Roman"/>
        </w:rPr>
        <w:t xml:space="preserve">Verbond van Verzekeraars. (2024). </w:t>
      </w:r>
      <w:r w:rsidRPr="00D77DA8">
        <w:rPr>
          <w:rFonts w:ascii="Times New Roman" w:hAnsi="Times New Roman" w:cs="Times New Roman"/>
          <w:i/>
          <w:iCs/>
        </w:rPr>
        <w:t>Herbouwwaardemeter Woningen 2024</w:t>
      </w:r>
      <w:r w:rsidRPr="00D77DA8">
        <w:rPr>
          <w:rFonts w:ascii="Times New Roman" w:hAnsi="Times New Roman" w:cs="Times New Roman"/>
        </w:rPr>
        <w:t>. Verbond van Verzekeraars. https://www.verzekeraars.nl/media/a0ehmis4/vvv-herbouwwaardemeter_2024_lr_def.pdf</w:t>
      </w:r>
    </w:p>
    <w:p w14:paraId="2AEA2F51" w14:textId="77777777" w:rsidR="00ED79C4" w:rsidRDefault="00ED79C4" w:rsidP="00251A43">
      <w:pPr>
        <w:spacing w:after="0"/>
        <w:rPr>
          <w:rFonts w:ascii="Times New Roman" w:hAnsi="Times New Roman" w:cs="Times New Roman"/>
        </w:rPr>
      </w:pPr>
    </w:p>
    <w:p w14:paraId="50BAED55" w14:textId="77777777" w:rsidR="00ED79C4" w:rsidRPr="005B3E2E" w:rsidRDefault="00ED79C4" w:rsidP="00251A43">
      <w:pPr>
        <w:spacing w:after="0"/>
        <w:rPr>
          <w:rFonts w:ascii="Times New Roman" w:hAnsi="Times New Roman" w:cs="Times New Roman"/>
          <w:lang w:val="en-US"/>
        </w:rPr>
      </w:pPr>
      <w:r w:rsidRPr="005B3E2E">
        <w:rPr>
          <w:rFonts w:ascii="Times New Roman" w:hAnsi="Times New Roman" w:cs="Times New Roman"/>
          <w:lang w:val="en-US"/>
        </w:rPr>
        <w:t xml:space="preserve">Waldvogel, A., Schmid, W., &amp; Federer, B. (1978). The kinetic energy of hailfalls. Part I: hailstone </w:t>
      </w:r>
    </w:p>
    <w:p w14:paraId="6185BC56" w14:textId="417C1BFC" w:rsidR="002660F1" w:rsidRPr="005B3E2E" w:rsidRDefault="00ED79C4" w:rsidP="00251A43">
      <w:pPr>
        <w:spacing w:after="0"/>
        <w:rPr>
          <w:rFonts w:ascii="Times New Roman" w:hAnsi="Times New Roman" w:cs="Times New Roman"/>
          <w:lang w:val="en-US"/>
        </w:rPr>
      </w:pPr>
      <w:r w:rsidRPr="005B3E2E">
        <w:rPr>
          <w:rFonts w:ascii="Times New Roman" w:hAnsi="Times New Roman" w:cs="Times New Roman"/>
          <w:lang w:val="en-US"/>
        </w:rPr>
        <w:t xml:space="preserve">spectra. </w:t>
      </w:r>
      <w:r w:rsidRPr="005B3E2E">
        <w:rPr>
          <w:rFonts w:ascii="Times New Roman" w:hAnsi="Times New Roman" w:cs="Times New Roman"/>
          <w:i/>
          <w:iCs/>
          <w:lang w:val="en-US"/>
        </w:rPr>
        <w:t>Atmospheric Physics</w:t>
      </w:r>
      <w:r w:rsidRPr="005B3E2E">
        <w:rPr>
          <w:rFonts w:ascii="Times New Roman" w:hAnsi="Times New Roman" w:cs="Times New Roman"/>
          <w:lang w:val="en-US"/>
        </w:rPr>
        <w:t>, 515 - 520</w:t>
      </w:r>
    </w:p>
    <w:p w14:paraId="612483C8" w14:textId="77777777" w:rsidR="00ED79C4" w:rsidRPr="005B3E2E" w:rsidRDefault="00ED79C4" w:rsidP="00251A43">
      <w:pPr>
        <w:spacing w:after="0"/>
        <w:rPr>
          <w:rFonts w:ascii="Times New Roman" w:hAnsi="Times New Roman" w:cs="Times New Roman"/>
          <w:lang w:val="en-US"/>
        </w:rPr>
      </w:pPr>
    </w:p>
    <w:p w14:paraId="6422D423" w14:textId="63864C4A" w:rsidR="00251A43" w:rsidRPr="005A0EE5" w:rsidRDefault="00251A43" w:rsidP="00251A43">
      <w:pPr>
        <w:spacing w:after="0"/>
        <w:rPr>
          <w:rFonts w:ascii="Times New Roman" w:hAnsi="Times New Roman" w:cs="Times New Roman"/>
          <w:lang w:val="en-US"/>
        </w:rPr>
      </w:pPr>
      <w:r w:rsidRPr="009A6796">
        <w:rPr>
          <w:rFonts w:ascii="Times New Roman" w:hAnsi="Times New Roman" w:cs="Times New Roman"/>
          <w:lang w:val="en-US"/>
        </w:rPr>
        <w:t xml:space="preserve">Witt, A., Eilts, M. D., Stumpf, G. J., Johnson, J. T. , Mitchell, E. D. W., &amp; Thomas, K. W. (1998). </w:t>
      </w:r>
      <w:r w:rsidRPr="00FE56A7">
        <w:rPr>
          <w:rFonts w:ascii="Times New Roman" w:hAnsi="Times New Roman" w:cs="Times New Roman"/>
          <w:lang w:val="en-US"/>
        </w:rPr>
        <w:t>An Enhanced Hail Detection Algorithm for the WSR-88D. </w:t>
      </w:r>
      <w:r w:rsidRPr="00FE56A7">
        <w:rPr>
          <w:rFonts w:ascii="Times New Roman" w:hAnsi="Times New Roman" w:cs="Times New Roman"/>
          <w:i/>
          <w:iCs/>
          <w:lang w:val="en-US"/>
        </w:rPr>
        <w:t>Weather and Forecasting</w:t>
      </w:r>
      <w:r w:rsidRPr="00FE56A7">
        <w:rPr>
          <w:rFonts w:ascii="Times New Roman" w:hAnsi="Times New Roman" w:cs="Times New Roman"/>
          <w:lang w:val="en-US"/>
        </w:rPr>
        <w:t>, </w:t>
      </w:r>
      <w:r w:rsidRPr="00FE56A7">
        <w:rPr>
          <w:rFonts w:ascii="Times New Roman" w:hAnsi="Times New Roman" w:cs="Times New Roman"/>
          <w:i/>
          <w:iCs/>
          <w:lang w:val="en-US"/>
        </w:rPr>
        <w:t>13</w:t>
      </w:r>
      <w:r w:rsidRPr="00FE56A7">
        <w:rPr>
          <w:rFonts w:ascii="Times New Roman" w:hAnsi="Times New Roman" w:cs="Times New Roman"/>
          <w:lang w:val="en-US"/>
        </w:rPr>
        <w:t>(2), 286-303</w:t>
      </w:r>
      <w:r w:rsidR="00957D9A" w:rsidRPr="005A0EE5">
        <w:rPr>
          <w:rFonts w:ascii="Times New Roman" w:hAnsi="Times New Roman" w:cs="Times New Roman"/>
          <w:lang w:val="en-US"/>
        </w:rPr>
        <w:t xml:space="preserve"> </w:t>
      </w:r>
    </w:p>
    <w:p w14:paraId="025003FE" w14:textId="77777777" w:rsidR="00251A43" w:rsidRPr="005A0EE5" w:rsidRDefault="00251A43" w:rsidP="00251A43">
      <w:pPr>
        <w:spacing w:after="0"/>
        <w:rPr>
          <w:rFonts w:ascii="Times New Roman" w:hAnsi="Times New Roman" w:cs="Times New Roman"/>
          <w:lang w:val="en-US"/>
        </w:rPr>
      </w:pPr>
    </w:p>
    <w:p w14:paraId="3E5476FD" w14:textId="61653285" w:rsidR="002660F1" w:rsidRPr="00C3776F" w:rsidRDefault="002660F1" w:rsidP="00251A43">
      <w:pPr>
        <w:spacing w:after="0"/>
        <w:rPr>
          <w:rFonts w:ascii="Times New Roman" w:hAnsi="Times New Roman" w:cs="Times New Roman"/>
        </w:rPr>
      </w:pPr>
      <w:r w:rsidRPr="002660F1">
        <w:rPr>
          <w:rFonts w:ascii="Times New Roman" w:hAnsi="Times New Roman" w:cs="Times New Roman"/>
        </w:rPr>
        <w:t xml:space="preserve">Wouters, L., Boon, M., van Putten, D., van 't Veen, B., Koks, E., &amp; de Moel, H. (2019). </w:t>
      </w:r>
      <w:r w:rsidRPr="005B3E2E">
        <w:rPr>
          <w:rFonts w:ascii="Times New Roman" w:hAnsi="Times New Roman" w:cs="Times New Roman"/>
          <w:i/>
          <w:iCs/>
        </w:rPr>
        <w:t xml:space="preserve">A </w:t>
      </w:r>
      <w:proofErr w:type="spellStart"/>
      <w:r w:rsidRPr="005B3E2E">
        <w:rPr>
          <w:rFonts w:ascii="Times New Roman" w:hAnsi="Times New Roman" w:cs="Times New Roman"/>
          <w:i/>
          <w:iCs/>
        </w:rPr>
        <w:t>Hail</w:t>
      </w:r>
      <w:proofErr w:type="spellEnd"/>
      <w:r w:rsidRPr="005B3E2E">
        <w:rPr>
          <w:rFonts w:ascii="Times New Roman" w:hAnsi="Times New Roman" w:cs="Times New Roman"/>
          <w:i/>
          <w:iCs/>
        </w:rPr>
        <w:t xml:space="preserve"> </w:t>
      </w:r>
      <w:proofErr w:type="spellStart"/>
      <w:r w:rsidRPr="005B3E2E">
        <w:rPr>
          <w:rFonts w:ascii="Times New Roman" w:hAnsi="Times New Roman" w:cs="Times New Roman"/>
          <w:i/>
          <w:iCs/>
        </w:rPr>
        <w:t>Climatology</w:t>
      </w:r>
      <w:proofErr w:type="spellEnd"/>
      <w:r w:rsidRPr="005B3E2E">
        <w:rPr>
          <w:rFonts w:ascii="Times New Roman" w:hAnsi="Times New Roman" w:cs="Times New Roman"/>
          <w:i/>
          <w:iCs/>
        </w:rPr>
        <w:t xml:space="preserve"> of </w:t>
      </w:r>
      <w:proofErr w:type="spellStart"/>
      <w:r w:rsidRPr="005B3E2E">
        <w:rPr>
          <w:rFonts w:ascii="Times New Roman" w:hAnsi="Times New Roman" w:cs="Times New Roman"/>
          <w:i/>
          <w:iCs/>
        </w:rPr>
        <w:t>the</w:t>
      </w:r>
      <w:proofErr w:type="spellEnd"/>
      <w:r w:rsidRPr="005B3E2E">
        <w:rPr>
          <w:rFonts w:ascii="Times New Roman" w:hAnsi="Times New Roman" w:cs="Times New Roman"/>
          <w:i/>
          <w:iCs/>
        </w:rPr>
        <w:t xml:space="preserve"> Netherlands.</w:t>
      </w:r>
      <w:r w:rsidR="00C3776F" w:rsidRPr="005B3E2E">
        <w:rPr>
          <w:rFonts w:ascii="Times New Roman" w:hAnsi="Times New Roman" w:cs="Times New Roman"/>
        </w:rPr>
        <w:t xml:space="preserve"> </w:t>
      </w:r>
      <w:r w:rsidR="00C3776F" w:rsidRPr="00C3776F">
        <w:rPr>
          <w:rFonts w:ascii="Times New Roman" w:hAnsi="Times New Roman" w:cs="Times New Roman"/>
        </w:rPr>
        <w:t xml:space="preserve">De </w:t>
      </w:r>
      <w:r w:rsidR="00C3776F">
        <w:rPr>
          <w:rFonts w:ascii="Times New Roman" w:hAnsi="Times New Roman" w:cs="Times New Roman"/>
        </w:rPr>
        <w:t xml:space="preserve">Vrije Universiteit Amsterdam. </w:t>
      </w:r>
      <w:r w:rsidR="00C3776F" w:rsidRPr="00C3776F">
        <w:rPr>
          <w:rFonts w:ascii="Times New Roman" w:hAnsi="Times New Roman" w:cs="Times New Roman"/>
        </w:rPr>
        <w:t>https://research.vu.nl/en/publications/a-hail-climatology-of-the-netherlands</w:t>
      </w:r>
    </w:p>
    <w:sectPr w:rsidR="002660F1" w:rsidRPr="00C3776F" w:rsidSect="00604E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DD7FF" w14:textId="77777777" w:rsidR="00DC3A96" w:rsidRDefault="00DC3A96" w:rsidP="00296F14">
      <w:pPr>
        <w:spacing w:after="0" w:line="240" w:lineRule="auto"/>
      </w:pPr>
      <w:r>
        <w:separator/>
      </w:r>
    </w:p>
  </w:endnote>
  <w:endnote w:type="continuationSeparator" w:id="0">
    <w:p w14:paraId="65EE04BE" w14:textId="77777777" w:rsidR="00DC3A96" w:rsidRDefault="00DC3A96" w:rsidP="0029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937363"/>
      <w:docPartObj>
        <w:docPartGallery w:val="Page Numbers (Bottom of Page)"/>
        <w:docPartUnique/>
      </w:docPartObj>
    </w:sdtPr>
    <w:sdtEndPr/>
    <w:sdtContent>
      <w:p w14:paraId="70473E64" w14:textId="1EA2EA92" w:rsidR="000017FC" w:rsidRDefault="000017FC">
        <w:pPr>
          <w:pStyle w:val="Voettekst"/>
          <w:jc w:val="right"/>
        </w:pPr>
        <w:r>
          <w:fldChar w:fldCharType="begin"/>
        </w:r>
        <w:r>
          <w:instrText>PAGE   \* MERGEFORMAT</w:instrText>
        </w:r>
        <w:r>
          <w:fldChar w:fldCharType="separate"/>
        </w:r>
        <w:r>
          <w:t>2</w:t>
        </w:r>
        <w:r>
          <w:fldChar w:fldCharType="end"/>
        </w:r>
      </w:p>
    </w:sdtContent>
  </w:sdt>
  <w:p w14:paraId="11312F82" w14:textId="77777777" w:rsidR="000017FC" w:rsidRDefault="000017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F16FC" w14:textId="77777777" w:rsidR="00DC3A96" w:rsidRDefault="00DC3A96" w:rsidP="00296F14">
      <w:pPr>
        <w:spacing w:after="0" w:line="240" w:lineRule="auto"/>
      </w:pPr>
      <w:r>
        <w:separator/>
      </w:r>
    </w:p>
  </w:footnote>
  <w:footnote w:type="continuationSeparator" w:id="0">
    <w:p w14:paraId="0A9CFAD6" w14:textId="77777777" w:rsidR="00DC3A96" w:rsidRDefault="00DC3A96" w:rsidP="00296F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4B"/>
    <w:rsid w:val="0000052A"/>
    <w:rsid w:val="000017FC"/>
    <w:rsid w:val="00007083"/>
    <w:rsid w:val="00021F5C"/>
    <w:rsid w:val="00024D19"/>
    <w:rsid w:val="00034047"/>
    <w:rsid w:val="00046BD5"/>
    <w:rsid w:val="00052285"/>
    <w:rsid w:val="00052B24"/>
    <w:rsid w:val="00056F99"/>
    <w:rsid w:val="0007757F"/>
    <w:rsid w:val="000861DB"/>
    <w:rsid w:val="0009159D"/>
    <w:rsid w:val="00093993"/>
    <w:rsid w:val="00094C36"/>
    <w:rsid w:val="0009538B"/>
    <w:rsid w:val="000A6F80"/>
    <w:rsid w:val="000B4783"/>
    <w:rsid w:val="000D0985"/>
    <w:rsid w:val="000D20EF"/>
    <w:rsid w:val="000D4E23"/>
    <w:rsid w:val="001054E1"/>
    <w:rsid w:val="00107DF5"/>
    <w:rsid w:val="00112C1E"/>
    <w:rsid w:val="00117B1C"/>
    <w:rsid w:val="00123AB3"/>
    <w:rsid w:val="00146950"/>
    <w:rsid w:val="00147ABE"/>
    <w:rsid w:val="00152763"/>
    <w:rsid w:val="00167846"/>
    <w:rsid w:val="00171B52"/>
    <w:rsid w:val="0017533C"/>
    <w:rsid w:val="00187325"/>
    <w:rsid w:val="001A0577"/>
    <w:rsid w:val="001A3510"/>
    <w:rsid w:val="001A653D"/>
    <w:rsid w:val="001B3B39"/>
    <w:rsid w:val="001D4DA3"/>
    <w:rsid w:val="001D5932"/>
    <w:rsid w:val="001E184F"/>
    <w:rsid w:val="001E455F"/>
    <w:rsid w:val="001F1D3C"/>
    <w:rsid w:val="00203C4C"/>
    <w:rsid w:val="0021105D"/>
    <w:rsid w:val="002256BA"/>
    <w:rsid w:val="00232A41"/>
    <w:rsid w:val="00251A43"/>
    <w:rsid w:val="00261796"/>
    <w:rsid w:val="002660F1"/>
    <w:rsid w:val="00276603"/>
    <w:rsid w:val="002770F9"/>
    <w:rsid w:val="002966AE"/>
    <w:rsid w:val="00296F14"/>
    <w:rsid w:val="002A67AC"/>
    <w:rsid w:val="002B329C"/>
    <w:rsid w:val="002D4F73"/>
    <w:rsid w:val="002E3850"/>
    <w:rsid w:val="002F1104"/>
    <w:rsid w:val="002F3441"/>
    <w:rsid w:val="00302B7D"/>
    <w:rsid w:val="00302BAC"/>
    <w:rsid w:val="003044B2"/>
    <w:rsid w:val="00313744"/>
    <w:rsid w:val="003139E3"/>
    <w:rsid w:val="00364C30"/>
    <w:rsid w:val="003655DE"/>
    <w:rsid w:val="00380B43"/>
    <w:rsid w:val="00384717"/>
    <w:rsid w:val="003B1121"/>
    <w:rsid w:val="003B3D8A"/>
    <w:rsid w:val="003C4202"/>
    <w:rsid w:val="003D5D53"/>
    <w:rsid w:val="003D62B1"/>
    <w:rsid w:val="003D7B57"/>
    <w:rsid w:val="003E2CB2"/>
    <w:rsid w:val="00431E77"/>
    <w:rsid w:val="0043534B"/>
    <w:rsid w:val="00435540"/>
    <w:rsid w:val="00435630"/>
    <w:rsid w:val="004357D1"/>
    <w:rsid w:val="00435A44"/>
    <w:rsid w:val="00440D42"/>
    <w:rsid w:val="004424D9"/>
    <w:rsid w:val="00443F1E"/>
    <w:rsid w:val="00446283"/>
    <w:rsid w:val="004654E6"/>
    <w:rsid w:val="004669AE"/>
    <w:rsid w:val="00476530"/>
    <w:rsid w:val="004766F8"/>
    <w:rsid w:val="00485794"/>
    <w:rsid w:val="004A02FF"/>
    <w:rsid w:val="004B1115"/>
    <w:rsid w:val="004C366C"/>
    <w:rsid w:val="004D2A36"/>
    <w:rsid w:val="004D454F"/>
    <w:rsid w:val="004D4A4C"/>
    <w:rsid w:val="004D5785"/>
    <w:rsid w:val="004E08FF"/>
    <w:rsid w:val="004E42EE"/>
    <w:rsid w:val="004F00B9"/>
    <w:rsid w:val="00504CB0"/>
    <w:rsid w:val="005214D7"/>
    <w:rsid w:val="005225D9"/>
    <w:rsid w:val="00525206"/>
    <w:rsid w:val="0054601D"/>
    <w:rsid w:val="00554ED7"/>
    <w:rsid w:val="00574492"/>
    <w:rsid w:val="00590153"/>
    <w:rsid w:val="005A0EE5"/>
    <w:rsid w:val="005B11E6"/>
    <w:rsid w:val="005B3E2E"/>
    <w:rsid w:val="005B7B46"/>
    <w:rsid w:val="005C4E87"/>
    <w:rsid w:val="005D1965"/>
    <w:rsid w:val="005D692D"/>
    <w:rsid w:val="005E1A6C"/>
    <w:rsid w:val="005F27D3"/>
    <w:rsid w:val="00600D55"/>
    <w:rsid w:val="00604E1F"/>
    <w:rsid w:val="006107B1"/>
    <w:rsid w:val="00615812"/>
    <w:rsid w:val="00643026"/>
    <w:rsid w:val="006554C8"/>
    <w:rsid w:val="00655FFB"/>
    <w:rsid w:val="00662613"/>
    <w:rsid w:val="0066289B"/>
    <w:rsid w:val="00672B32"/>
    <w:rsid w:val="006856B0"/>
    <w:rsid w:val="006A1846"/>
    <w:rsid w:val="006A3F25"/>
    <w:rsid w:val="006D2CFD"/>
    <w:rsid w:val="006D3A82"/>
    <w:rsid w:val="006D57CF"/>
    <w:rsid w:val="006E0BCE"/>
    <w:rsid w:val="006F0AE3"/>
    <w:rsid w:val="006F320F"/>
    <w:rsid w:val="006F3628"/>
    <w:rsid w:val="006F6793"/>
    <w:rsid w:val="006F67F3"/>
    <w:rsid w:val="00700177"/>
    <w:rsid w:val="00700749"/>
    <w:rsid w:val="00703FB8"/>
    <w:rsid w:val="00704DC7"/>
    <w:rsid w:val="00711C1D"/>
    <w:rsid w:val="00730CF9"/>
    <w:rsid w:val="00740746"/>
    <w:rsid w:val="0074569E"/>
    <w:rsid w:val="00751F68"/>
    <w:rsid w:val="0075222A"/>
    <w:rsid w:val="007543B5"/>
    <w:rsid w:val="00755384"/>
    <w:rsid w:val="00774C27"/>
    <w:rsid w:val="00796371"/>
    <w:rsid w:val="007A1962"/>
    <w:rsid w:val="007B5632"/>
    <w:rsid w:val="007B59FA"/>
    <w:rsid w:val="007C63C2"/>
    <w:rsid w:val="007C64E9"/>
    <w:rsid w:val="007D4247"/>
    <w:rsid w:val="007D6446"/>
    <w:rsid w:val="007D6774"/>
    <w:rsid w:val="007F7529"/>
    <w:rsid w:val="00830051"/>
    <w:rsid w:val="00831D7F"/>
    <w:rsid w:val="008346C4"/>
    <w:rsid w:val="00850A9D"/>
    <w:rsid w:val="00853B48"/>
    <w:rsid w:val="00856C0E"/>
    <w:rsid w:val="00864B17"/>
    <w:rsid w:val="0086651D"/>
    <w:rsid w:val="00871581"/>
    <w:rsid w:val="008823C1"/>
    <w:rsid w:val="0088246D"/>
    <w:rsid w:val="008932D7"/>
    <w:rsid w:val="008A0877"/>
    <w:rsid w:val="008B3B92"/>
    <w:rsid w:val="008C2DBA"/>
    <w:rsid w:val="008D5A7D"/>
    <w:rsid w:val="008E24D3"/>
    <w:rsid w:val="008F20C3"/>
    <w:rsid w:val="008F32BA"/>
    <w:rsid w:val="008F32D1"/>
    <w:rsid w:val="00902CFB"/>
    <w:rsid w:val="00903E15"/>
    <w:rsid w:val="00911DFD"/>
    <w:rsid w:val="00914B70"/>
    <w:rsid w:val="00936EC1"/>
    <w:rsid w:val="00944214"/>
    <w:rsid w:val="00944EA3"/>
    <w:rsid w:val="00957D9A"/>
    <w:rsid w:val="00970C68"/>
    <w:rsid w:val="0097222D"/>
    <w:rsid w:val="00996FF7"/>
    <w:rsid w:val="009A12D1"/>
    <w:rsid w:val="009A3C59"/>
    <w:rsid w:val="009A6748"/>
    <w:rsid w:val="009B0393"/>
    <w:rsid w:val="009B3D74"/>
    <w:rsid w:val="009B427E"/>
    <w:rsid w:val="009B50FF"/>
    <w:rsid w:val="009B70DC"/>
    <w:rsid w:val="009D62A1"/>
    <w:rsid w:val="009E28F9"/>
    <w:rsid w:val="009F03F8"/>
    <w:rsid w:val="009F1388"/>
    <w:rsid w:val="00A16110"/>
    <w:rsid w:val="00A17EAF"/>
    <w:rsid w:val="00A21336"/>
    <w:rsid w:val="00A2247C"/>
    <w:rsid w:val="00A235A3"/>
    <w:rsid w:val="00A46286"/>
    <w:rsid w:val="00A465C4"/>
    <w:rsid w:val="00A72F17"/>
    <w:rsid w:val="00A96AAD"/>
    <w:rsid w:val="00AA305B"/>
    <w:rsid w:val="00AA3537"/>
    <w:rsid w:val="00AA51AA"/>
    <w:rsid w:val="00AC7FD6"/>
    <w:rsid w:val="00AD752C"/>
    <w:rsid w:val="00AE0F5E"/>
    <w:rsid w:val="00AE3EA2"/>
    <w:rsid w:val="00AF4153"/>
    <w:rsid w:val="00AF7999"/>
    <w:rsid w:val="00B01856"/>
    <w:rsid w:val="00B05304"/>
    <w:rsid w:val="00B12A65"/>
    <w:rsid w:val="00B14763"/>
    <w:rsid w:val="00B317D0"/>
    <w:rsid w:val="00B37820"/>
    <w:rsid w:val="00B43BAB"/>
    <w:rsid w:val="00B47DA9"/>
    <w:rsid w:val="00B86D21"/>
    <w:rsid w:val="00BA5336"/>
    <w:rsid w:val="00BB50A8"/>
    <w:rsid w:val="00BC3754"/>
    <w:rsid w:val="00BC54FF"/>
    <w:rsid w:val="00BC7610"/>
    <w:rsid w:val="00BD55A0"/>
    <w:rsid w:val="00BE4C4B"/>
    <w:rsid w:val="00BF16CA"/>
    <w:rsid w:val="00C00125"/>
    <w:rsid w:val="00C01ADB"/>
    <w:rsid w:val="00C2085E"/>
    <w:rsid w:val="00C20F94"/>
    <w:rsid w:val="00C243E6"/>
    <w:rsid w:val="00C30521"/>
    <w:rsid w:val="00C31B1C"/>
    <w:rsid w:val="00C3776F"/>
    <w:rsid w:val="00C46197"/>
    <w:rsid w:val="00C50373"/>
    <w:rsid w:val="00C5324B"/>
    <w:rsid w:val="00C5679C"/>
    <w:rsid w:val="00C722ED"/>
    <w:rsid w:val="00C7435D"/>
    <w:rsid w:val="00C74F84"/>
    <w:rsid w:val="00C77EC1"/>
    <w:rsid w:val="00C922BD"/>
    <w:rsid w:val="00C926C2"/>
    <w:rsid w:val="00C93575"/>
    <w:rsid w:val="00CB10DB"/>
    <w:rsid w:val="00CF1096"/>
    <w:rsid w:val="00CF151A"/>
    <w:rsid w:val="00D03620"/>
    <w:rsid w:val="00D12833"/>
    <w:rsid w:val="00D17AA6"/>
    <w:rsid w:val="00D35659"/>
    <w:rsid w:val="00D43D46"/>
    <w:rsid w:val="00D44BE9"/>
    <w:rsid w:val="00D44D30"/>
    <w:rsid w:val="00D46F76"/>
    <w:rsid w:val="00D7297C"/>
    <w:rsid w:val="00D82C35"/>
    <w:rsid w:val="00D83BB8"/>
    <w:rsid w:val="00D903FF"/>
    <w:rsid w:val="00D94729"/>
    <w:rsid w:val="00DA1104"/>
    <w:rsid w:val="00DA394A"/>
    <w:rsid w:val="00DC31DA"/>
    <w:rsid w:val="00DC3A96"/>
    <w:rsid w:val="00DC43C9"/>
    <w:rsid w:val="00DC468E"/>
    <w:rsid w:val="00DC565A"/>
    <w:rsid w:val="00DD19F8"/>
    <w:rsid w:val="00DE17F3"/>
    <w:rsid w:val="00DF0020"/>
    <w:rsid w:val="00E0219A"/>
    <w:rsid w:val="00E03851"/>
    <w:rsid w:val="00E05946"/>
    <w:rsid w:val="00E0665A"/>
    <w:rsid w:val="00E16222"/>
    <w:rsid w:val="00E22420"/>
    <w:rsid w:val="00E279D2"/>
    <w:rsid w:val="00E31414"/>
    <w:rsid w:val="00E434E7"/>
    <w:rsid w:val="00E462C4"/>
    <w:rsid w:val="00E61ABF"/>
    <w:rsid w:val="00E71749"/>
    <w:rsid w:val="00EB0BA9"/>
    <w:rsid w:val="00EC115D"/>
    <w:rsid w:val="00ED00CA"/>
    <w:rsid w:val="00ED4BB5"/>
    <w:rsid w:val="00ED4C8E"/>
    <w:rsid w:val="00ED79C4"/>
    <w:rsid w:val="00EE4256"/>
    <w:rsid w:val="00EF5E44"/>
    <w:rsid w:val="00F03405"/>
    <w:rsid w:val="00F03CA8"/>
    <w:rsid w:val="00F15979"/>
    <w:rsid w:val="00F22CCE"/>
    <w:rsid w:val="00F23F6D"/>
    <w:rsid w:val="00F431B3"/>
    <w:rsid w:val="00F45650"/>
    <w:rsid w:val="00F45EFB"/>
    <w:rsid w:val="00F5159B"/>
    <w:rsid w:val="00F64434"/>
    <w:rsid w:val="00F65768"/>
    <w:rsid w:val="00F84404"/>
    <w:rsid w:val="00F84CE6"/>
    <w:rsid w:val="00FA19DF"/>
    <w:rsid w:val="00FA4B38"/>
    <w:rsid w:val="00FB3968"/>
    <w:rsid w:val="00FB706D"/>
    <w:rsid w:val="00FC051A"/>
    <w:rsid w:val="00FC6743"/>
    <w:rsid w:val="00FF6B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03FA"/>
  <w15:chartTrackingRefBased/>
  <w15:docId w15:val="{7A44BF4F-E090-481A-87D3-7B703A6C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7EC1"/>
    <w:rPr>
      <w:kern w:val="0"/>
      <w14:ligatures w14:val="none"/>
    </w:rPr>
  </w:style>
  <w:style w:type="paragraph" w:styleId="Kop1">
    <w:name w:val="heading 1"/>
    <w:basedOn w:val="Standaard"/>
    <w:next w:val="Standaard"/>
    <w:link w:val="Kop1Char"/>
    <w:uiPriority w:val="9"/>
    <w:qFormat/>
    <w:rsid w:val="00C5324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C5324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C5324B"/>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C5324B"/>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C5324B"/>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C5324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C5324B"/>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C5324B"/>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C5324B"/>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32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32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32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32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32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32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32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32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324B"/>
    <w:rPr>
      <w:rFonts w:eastAsiaTheme="majorEastAsia" w:cstheme="majorBidi"/>
      <w:color w:val="272727" w:themeColor="text1" w:themeTint="D8"/>
    </w:rPr>
  </w:style>
  <w:style w:type="paragraph" w:styleId="Titel">
    <w:name w:val="Title"/>
    <w:basedOn w:val="Standaard"/>
    <w:next w:val="Standaard"/>
    <w:link w:val="TitelChar"/>
    <w:uiPriority w:val="10"/>
    <w:qFormat/>
    <w:rsid w:val="00C5324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C532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324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C532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324B"/>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C5324B"/>
    <w:rPr>
      <w:i/>
      <w:iCs/>
      <w:color w:val="404040" w:themeColor="text1" w:themeTint="BF"/>
    </w:rPr>
  </w:style>
  <w:style w:type="paragraph" w:styleId="Lijstalinea">
    <w:name w:val="List Paragraph"/>
    <w:basedOn w:val="Standaard"/>
    <w:uiPriority w:val="34"/>
    <w:qFormat/>
    <w:rsid w:val="00C5324B"/>
    <w:pPr>
      <w:ind w:left="720"/>
      <w:contextualSpacing/>
    </w:pPr>
    <w:rPr>
      <w:kern w:val="2"/>
      <w14:ligatures w14:val="standardContextual"/>
    </w:rPr>
  </w:style>
  <w:style w:type="character" w:styleId="Intensievebenadrukking">
    <w:name w:val="Intense Emphasis"/>
    <w:basedOn w:val="Standaardalinea-lettertype"/>
    <w:uiPriority w:val="21"/>
    <w:qFormat/>
    <w:rsid w:val="00C5324B"/>
    <w:rPr>
      <w:i/>
      <w:iCs/>
      <w:color w:val="0F4761" w:themeColor="accent1" w:themeShade="BF"/>
    </w:rPr>
  </w:style>
  <w:style w:type="paragraph" w:styleId="Duidelijkcitaat">
    <w:name w:val="Intense Quote"/>
    <w:basedOn w:val="Standaard"/>
    <w:next w:val="Standaard"/>
    <w:link w:val="DuidelijkcitaatChar"/>
    <w:uiPriority w:val="30"/>
    <w:qFormat/>
    <w:rsid w:val="00C53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C5324B"/>
    <w:rPr>
      <w:i/>
      <w:iCs/>
      <w:color w:val="0F4761" w:themeColor="accent1" w:themeShade="BF"/>
    </w:rPr>
  </w:style>
  <w:style w:type="character" w:styleId="Intensieveverwijzing">
    <w:name w:val="Intense Reference"/>
    <w:basedOn w:val="Standaardalinea-lettertype"/>
    <w:uiPriority w:val="32"/>
    <w:qFormat/>
    <w:rsid w:val="00C5324B"/>
    <w:rPr>
      <w:b/>
      <w:bCs/>
      <w:smallCaps/>
      <w:color w:val="0F4761" w:themeColor="accent1" w:themeShade="BF"/>
      <w:spacing w:val="5"/>
    </w:rPr>
  </w:style>
  <w:style w:type="paragraph" w:styleId="Koptekst">
    <w:name w:val="header"/>
    <w:basedOn w:val="Standaard"/>
    <w:link w:val="KoptekstChar"/>
    <w:uiPriority w:val="99"/>
    <w:unhideWhenUsed/>
    <w:rsid w:val="00296F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6F14"/>
    <w:rPr>
      <w:kern w:val="0"/>
      <w14:ligatures w14:val="none"/>
    </w:rPr>
  </w:style>
  <w:style w:type="paragraph" w:styleId="Voettekst">
    <w:name w:val="footer"/>
    <w:basedOn w:val="Standaard"/>
    <w:link w:val="VoettekstChar"/>
    <w:uiPriority w:val="99"/>
    <w:unhideWhenUsed/>
    <w:rsid w:val="00296F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6F14"/>
    <w:rPr>
      <w:kern w:val="0"/>
      <w14:ligatures w14:val="none"/>
    </w:rPr>
  </w:style>
  <w:style w:type="character" w:styleId="Hyperlink">
    <w:name w:val="Hyperlink"/>
    <w:basedOn w:val="Standaardalinea-lettertype"/>
    <w:uiPriority w:val="99"/>
    <w:unhideWhenUsed/>
    <w:rsid w:val="006F67F3"/>
    <w:rPr>
      <w:color w:val="467886" w:themeColor="hyperlink"/>
      <w:u w:val="single"/>
    </w:rPr>
  </w:style>
  <w:style w:type="table" w:styleId="Rastertabel1licht">
    <w:name w:val="Grid Table 1 Light"/>
    <w:basedOn w:val="Standaardtabel"/>
    <w:uiPriority w:val="46"/>
    <w:rsid w:val="009A67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semiHidden/>
    <w:unhideWhenUsed/>
    <w:rsid w:val="00C3776F"/>
    <w:rPr>
      <w:color w:val="605E5C"/>
      <w:shd w:val="clear" w:color="auto" w:fill="E1DFDD"/>
    </w:rPr>
  </w:style>
  <w:style w:type="table" w:styleId="Tabelraster">
    <w:name w:val="Table Grid"/>
    <w:basedOn w:val="Standaardtabel"/>
    <w:uiPriority w:val="39"/>
    <w:rsid w:val="00B31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5B7B46"/>
    <w:rPr>
      <w:color w:val="666666"/>
    </w:rPr>
  </w:style>
  <w:style w:type="paragraph" w:styleId="Normaalweb">
    <w:name w:val="Normal (Web)"/>
    <w:basedOn w:val="Standaard"/>
    <w:uiPriority w:val="99"/>
    <w:semiHidden/>
    <w:unhideWhenUsed/>
    <w:rsid w:val="005B7B46"/>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5B7B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70520">
      <w:bodyDiv w:val="1"/>
      <w:marLeft w:val="0"/>
      <w:marRight w:val="0"/>
      <w:marTop w:val="0"/>
      <w:marBottom w:val="0"/>
      <w:divBdr>
        <w:top w:val="none" w:sz="0" w:space="0" w:color="auto"/>
        <w:left w:val="none" w:sz="0" w:space="0" w:color="auto"/>
        <w:bottom w:val="none" w:sz="0" w:space="0" w:color="auto"/>
        <w:right w:val="none" w:sz="0" w:space="0" w:color="auto"/>
      </w:divBdr>
    </w:div>
    <w:div w:id="132869840">
      <w:bodyDiv w:val="1"/>
      <w:marLeft w:val="0"/>
      <w:marRight w:val="0"/>
      <w:marTop w:val="0"/>
      <w:marBottom w:val="0"/>
      <w:divBdr>
        <w:top w:val="none" w:sz="0" w:space="0" w:color="auto"/>
        <w:left w:val="none" w:sz="0" w:space="0" w:color="auto"/>
        <w:bottom w:val="none" w:sz="0" w:space="0" w:color="auto"/>
        <w:right w:val="none" w:sz="0" w:space="0" w:color="auto"/>
      </w:divBdr>
    </w:div>
    <w:div w:id="233242900">
      <w:bodyDiv w:val="1"/>
      <w:marLeft w:val="0"/>
      <w:marRight w:val="0"/>
      <w:marTop w:val="0"/>
      <w:marBottom w:val="0"/>
      <w:divBdr>
        <w:top w:val="none" w:sz="0" w:space="0" w:color="auto"/>
        <w:left w:val="none" w:sz="0" w:space="0" w:color="auto"/>
        <w:bottom w:val="none" w:sz="0" w:space="0" w:color="auto"/>
        <w:right w:val="none" w:sz="0" w:space="0" w:color="auto"/>
      </w:divBdr>
    </w:div>
    <w:div w:id="466748045">
      <w:bodyDiv w:val="1"/>
      <w:marLeft w:val="0"/>
      <w:marRight w:val="0"/>
      <w:marTop w:val="0"/>
      <w:marBottom w:val="0"/>
      <w:divBdr>
        <w:top w:val="none" w:sz="0" w:space="0" w:color="auto"/>
        <w:left w:val="none" w:sz="0" w:space="0" w:color="auto"/>
        <w:bottom w:val="none" w:sz="0" w:space="0" w:color="auto"/>
        <w:right w:val="none" w:sz="0" w:space="0" w:color="auto"/>
      </w:divBdr>
    </w:div>
    <w:div w:id="522867914">
      <w:bodyDiv w:val="1"/>
      <w:marLeft w:val="0"/>
      <w:marRight w:val="0"/>
      <w:marTop w:val="0"/>
      <w:marBottom w:val="0"/>
      <w:divBdr>
        <w:top w:val="none" w:sz="0" w:space="0" w:color="auto"/>
        <w:left w:val="none" w:sz="0" w:space="0" w:color="auto"/>
        <w:bottom w:val="none" w:sz="0" w:space="0" w:color="auto"/>
        <w:right w:val="none" w:sz="0" w:space="0" w:color="auto"/>
      </w:divBdr>
    </w:div>
    <w:div w:id="624045515">
      <w:bodyDiv w:val="1"/>
      <w:marLeft w:val="0"/>
      <w:marRight w:val="0"/>
      <w:marTop w:val="0"/>
      <w:marBottom w:val="0"/>
      <w:divBdr>
        <w:top w:val="none" w:sz="0" w:space="0" w:color="auto"/>
        <w:left w:val="none" w:sz="0" w:space="0" w:color="auto"/>
        <w:bottom w:val="none" w:sz="0" w:space="0" w:color="auto"/>
        <w:right w:val="none" w:sz="0" w:space="0" w:color="auto"/>
      </w:divBdr>
    </w:div>
    <w:div w:id="688876720">
      <w:bodyDiv w:val="1"/>
      <w:marLeft w:val="0"/>
      <w:marRight w:val="0"/>
      <w:marTop w:val="0"/>
      <w:marBottom w:val="0"/>
      <w:divBdr>
        <w:top w:val="none" w:sz="0" w:space="0" w:color="auto"/>
        <w:left w:val="none" w:sz="0" w:space="0" w:color="auto"/>
        <w:bottom w:val="none" w:sz="0" w:space="0" w:color="auto"/>
        <w:right w:val="none" w:sz="0" w:space="0" w:color="auto"/>
      </w:divBdr>
    </w:div>
    <w:div w:id="774597877">
      <w:bodyDiv w:val="1"/>
      <w:marLeft w:val="0"/>
      <w:marRight w:val="0"/>
      <w:marTop w:val="0"/>
      <w:marBottom w:val="0"/>
      <w:divBdr>
        <w:top w:val="none" w:sz="0" w:space="0" w:color="auto"/>
        <w:left w:val="none" w:sz="0" w:space="0" w:color="auto"/>
        <w:bottom w:val="none" w:sz="0" w:space="0" w:color="auto"/>
        <w:right w:val="none" w:sz="0" w:space="0" w:color="auto"/>
      </w:divBdr>
    </w:div>
    <w:div w:id="776633054">
      <w:bodyDiv w:val="1"/>
      <w:marLeft w:val="0"/>
      <w:marRight w:val="0"/>
      <w:marTop w:val="0"/>
      <w:marBottom w:val="0"/>
      <w:divBdr>
        <w:top w:val="none" w:sz="0" w:space="0" w:color="auto"/>
        <w:left w:val="none" w:sz="0" w:space="0" w:color="auto"/>
        <w:bottom w:val="none" w:sz="0" w:space="0" w:color="auto"/>
        <w:right w:val="none" w:sz="0" w:space="0" w:color="auto"/>
      </w:divBdr>
    </w:div>
    <w:div w:id="830292115">
      <w:bodyDiv w:val="1"/>
      <w:marLeft w:val="0"/>
      <w:marRight w:val="0"/>
      <w:marTop w:val="0"/>
      <w:marBottom w:val="0"/>
      <w:divBdr>
        <w:top w:val="none" w:sz="0" w:space="0" w:color="auto"/>
        <w:left w:val="none" w:sz="0" w:space="0" w:color="auto"/>
        <w:bottom w:val="none" w:sz="0" w:space="0" w:color="auto"/>
        <w:right w:val="none" w:sz="0" w:space="0" w:color="auto"/>
      </w:divBdr>
    </w:div>
    <w:div w:id="974211882">
      <w:bodyDiv w:val="1"/>
      <w:marLeft w:val="0"/>
      <w:marRight w:val="0"/>
      <w:marTop w:val="0"/>
      <w:marBottom w:val="0"/>
      <w:divBdr>
        <w:top w:val="none" w:sz="0" w:space="0" w:color="auto"/>
        <w:left w:val="none" w:sz="0" w:space="0" w:color="auto"/>
        <w:bottom w:val="none" w:sz="0" w:space="0" w:color="auto"/>
        <w:right w:val="none" w:sz="0" w:space="0" w:color="auto"/>
      </w:divBdr>
    </w:div>
    <w:div w:id="994799189">
      <w:bodyDiv w:val="1"/>
      <w:marLeft w:val="0"/>
      <w:marRight w:val="0"/>
      <w:marTop w:val="0"/>
      <w:marBottom w:val="0"/>
      <w:divBdr>
        <w:top w:val="none" w:sz="0" w:space="0" w:color="auto"/>
        <w:left w:val="none" w:sz="0" w:space="0" w:color="auto"/>
        <w:bottom w:val="none" w:sz="0" w:space="0" w:color="auto"/>
        <w:right w:val="none" w:sz="0" w:space="0" w:color="auto"/>
      </w:divBdr>
    </w:div>
    <w:div w:id="1137333870">
      <w:bodyDiv w:val="1"/>
      <w:marLeft w:val="0"/>
      <w:marRight w:val="0"/>
      <w:marTop w:val="0"/>
      <w:marBottom w:val="0"/>
      <w:divBdr>
        <w:top w:val="none" w:sz="0" w:space="0" w:color="auto"/>
        <w:left w:val="none" w:sz="0" w:space="0" w:color="auto"/>
        <w:bottom w:val="none" w:sz="0" w:space="0" w:color="auto"/>
        <w:right w:val="none" w:sz="0" w:space="0" w:color="auto"/>
      </w:divBdr>
    </w:div>
    <w:div w:id="1407728502">
      <w:bodyDiv w:val="1"/>
      <w:marLeft w:val="0"/>
      <w:marRight w:val="0"/>
      <w:marTop w:val="0"/>
      <w:marBottom w:val="0"/>
      <w:divBdr>
        <w:top w:val="none" w:sz="0" w:space="0" w:color="auto"/>
        <w:left w:val="none" w:sz="0" w:space="0" w:color="auto"/>
        <w:bottom w:val="none" w:sz="0" w:space="0" w:color="auto"/>
        <w:right w:val="none" w:sz="0" w:space="0" w:color="auto"/>
      </w:divBdr>
    </w:div>
    <w:div w:id="1494294093">
      <w:bodyDiv w:val="1"/>
      <w:marLeft w:val="0"/>
      <w:marRight w:val="0"/>
      <w:marTop w:val="0"/>
      <w:marBottom w:val="0"/>
      <w:divBdr>
        <w:top w:val="none" w:sz="0" w:space="0" w:color="auto"/>
        <w:left w:val="none" w:sz="0" w:space="0" w:color="auto"/>
        <w:bottom w:val="none" w:sz="0" w:space="0" w:color="auto"/>
        <w:right w:val="none" w:sz="0" w:space="0" w:color="auto"/>
      </w:divBdr>
    </w:div>
    <w:div w:id="1720591340">
      <w:bodyDiv w:val="1"/>
      <w:marLeft w:val="0"/>
      <w:marRight w:val="0"/>
      <w:marTop w:val="0"/>
      <w:marBottom w:val="0"/>
      <w:divBdr>
        <w:top w:val="none" w:sz="0" w:space="0" w:color="auto"/>
        <w:left w:val="none" w:sz="0" w:space="0" w:color="auto"/>
        <w:bottom w:val="none" w:sz="0" w:space="0" w:color="auto"/>
        <w:right w:val="none" w:sz="0" w:space="0" w:color="auto"/>
      </w:divBdr>
    </w:div>
    <w:div w:id="1899434429">
      <w:bodyDiv w:val="1"/>
      <w:marLeft w:val="0"/>
      <w:marRight w:val="0"/>
      <w:marTop w:val="0"/>
      <w:marBottom w:val="0"/>
      <w:divBdr>
        <w:top w:val="none" w:sz="0" w:space="0" w:color="auto"/>
        <w:left w:val="none" w:sz="0" w:space="0" w:color="auto"/>
        <w:bottom w:val="none" w:sz="0" w:space="0" w:color="auto"/>
        <w:right w:val="none" w:sz="0" w:space="0" w:color="auto"/>
      </w:divBdr>
    </w:div>
    <w:div w:id="1909995410">
      <w:bodyDiv w:val="1"/>
      <w:marLeft w:val="0"/>
      <w:marRight w:val="0"/>
      <w:marTop w:val="0"/>
      <w:marBottom w:val="0"/>
      <w:divBdr>
        <w:top w:val="none" w:sz="0" w:space="0" w:color="auto"/>
        <w:left w:val="none" w:sz="0" w:space="0" w:color="auto"/>
        <w:bottom w:val="none" w:sz="0" w:space="0" w:color="auto"/>
        <w:right w:val="none" w:sz="0" w:space="0" w:color="auto"/>
      </w:divBdr>
    </w:div>
    <w:div w:id="194518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wins50.nl/" TargetMode="Externa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doi.org/10.1088/2515-7620/ab577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4371</Words>
  <Characters>24041</Characters>
  <Application>Microsoft Office Word</Application>
  <DocSecurity>0</DocSecurity>
  <Lines>200</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van Ederen (D)</dc:creator>
  <cp:keywords/>
  <dc:description/>
  <cp:lastModifiedBy>Daan van Ederen (D)</cp:lastModifiedBy>
  <cp:revision>2</cp:revision>
  <dcterms:created xsi:type="dcterms:W3CDTF">2025-03-28T09:17:00Z</dcterms:created>
  <dcterms:modified xsi:type="dcterms:W3CDTF">2025-03-28T09:17:00Z</dcterms:modified>
</cp:coreProperties>
</file>