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3BCEB3" w14:textId="77777777" w:rsidR="00040DA9" w:rsidRPr="00C97C75" w:rsidRDefault="00040DA9" w:rsidP="00040DA9">
      <w:pPr>
        <w:pStyle w:val="Heading1"/>
        <w:spacing w:line="480" w:lineRule="auto"/>
        <w:rPr>
          <w:rFonts w:ascii="Times New Roman" w:eastAsia="Times New Roman" w:hAnsi="Times New Roman" w:cs="Times New Roman"/>
          <w:b/>
          <w:bCs/>
          <w:color w:val="auto"/>
          <w:sz w:val="48"/>
          <w:szCs w:val="48"/>
        </w:rPr>
      </w:pPr>
      <w:r w:rsidRPr="00C97C75">
        <w:rPr>
          <w:rFonts w:eastAsia="Times New Roman"/>
          <w:color w:val="auto"/>
        </w:rPr>
        <w:t>Appendix I</w:t>
      </w:r>
    </w:p>
    <w:p w14:paraId="7B75A6D4" w14:textId="77777777" w:rsidR="00040DA9" w:rsidRPr="002664B8" w:rsidRDefault="00040DA9" w:rsidP="00040DA9">
      <w:pPr>
        <w:spacing w:after="0" w:line="480" w:lineRule="auto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5667D">
        <w:rPr>
          <w:rFonts w:ascii="Times New Roman" w:eastAsia="Times New Roman" w:hAnsi="Times New Roman" w:cs="Times New Roman"/>
          <w:noProof/>
          <w:kern w:val="0"/>
          <w:sz w:val="24"/>
          <w:szCs w:val="24"/>
          <w14:ligatures w14:val="none"/>
        </w:rPr>
        <w:drawing>
          <wp:inline distT="0" distB="0" distL="0" distR="0" wp14:anchorId="4A81755B" wp14:editId="63800B88">
            <wp:extent cx="4391025" cy="2079638"/>
            <wp:effectExtent l="0" t="0" r="0" b="0"/>
            <wp:docPr id="1063515835" name="Picture 1" descr="A diagram of a staircase and prob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515835" name="Picture 1" descr="A diagram of a staircase and probes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32530" cy="2099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8E1251" w14:textId="77777777" w:rsidR="00040DA9" w:rsidRPr="002664B8" w:rsidRDefault="00040DA9" w:rsidP="00040DA9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64B8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Figure 1</w:t>
      </w:r>
      <w:r w:rsidRPr="002664B8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 w:rsidRPr="0025667D">
        <w:rPr>
          <w:rFonts w:ascii="Arial" w:eastAsia="Times New Roman" w:hAnsi="Arial" w:cs="Arial"/>
          <w:color w:val="000000"/>
          <w:kern w:val="0"/>
          <w14:ligatures w14:val="none"/>
        </w:rPr>
        <w:t>Left: Schematic of a probe-probe block correlation matrix. Grey areas represent blocks around the diagonal, within which correlations are calculated. Most fields are empty (white). Right: When including singletons in the CMR blocks, only a partial block structure is created, which gives the algorithm too little correlation information to work with, since the singleton clusters do not contribute anything to the model.</w:t>
      </w:r>
    </w:p>
    <w:p w14:paraId="44619EA4" w14:textId="77777777" w:rsidR="00040DA9" w:rsidRPr="00C97C75" w:rsidRDefault="00040DA9" w:rsidP="00040DA9">
      <w:pPr>
        <w:pStyle w:val="Heading1"/>
        <w:spacing w:line="480" w:lineRule="auto"/>
        <w:rPr>
          <w:rFonts w:ascii="Times New Roman" w:eastAsia="Times New Roman" w:hAnsi="Times New Roman" w:cs="Times New Roman"/>
          <w:b/>
          <w:bCs/>
          <w:color w:val="auto"/>
          <w:sz w:val="48"/>
          <w:szCs w:val="48"/>
        </w:rPr>
      </w:pPr>
      <w:r w:rsidRPr="00C97C75">
        <w:rPr>
          <w:rFonts w:eastAsia="Times New Roman"/>
          <w:color w:val="auto"/>
        </w:rPr>
        <w:t>Appendix II</w:t>
      </w:r>
    </w:p>
    <w:p w14:paraId="700FE519" w14:textId="77777777" w:rsidR="00040DA9" w:rsidRPr="002664B8" w:rsidRDefault="00040DA9" w:rsidP="00040DA9">
      <w:pPr>
        <w:spacing w:after="0" w:line="48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14:ligatures w14:val="none"/>
        </w:rPr>
      </w:pPr>
      <w:r w:rsidRPr="002664B8">
        <w:rPr>
          <w:rFonts w:ascii="Arial" w:eastAsia="Times New Roman" w:hAnsi="Arial" w:cs="Arial"/>
          <w:b/>
          <w:bCs/>
          <w:color w:val="000000"/>
          <w:kern w:val="0"/>
          <w14:ligatures w14:val="none"/>
        </w:rPr>
        <w:t>Table 2</w:t>
      </w:r>
      <w:r w:rsidRPr="002664B8">
        <w:rPr>
          <w:rFonts w:ascii="Arial" w:eastAsia="Times New Roman" w:hAnsi="Arial" w:cs="Arial"/>
          <w:color w:val="000000"/>
          <w:kern w:val="0"/>
          <w14:ligatures w14:val="none"/>
        </w:rPr>
        <w:t xml:space="preserve">. 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D</w:t>
      </w:r>
      <w:r w:rsidRPr="002664B8">
        <w:rPr>
          <w:rFonts w:ascii="Arial" w:eastAsia="Times New Roman" w:hAnsi="Arial" w:cs="Arial"/>
          <w:color w:val="000000"/>
          <w:kern w:val="0"/>
          <w14:ligatures w14:val="none"/>
        </w:rPr>
        <w:t xml:space="preserve">istributions of probes per cluster in the TAD and sliding window clusters.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4"/>
        <w:gridCol w:w="1168"/>
        <w:gridCol w:w="675"/>
        <w:gridCol w:w="567"/>
        <w:gridCol w:w="567"/>
        <w:gridCol w:w="851"/>
        <w:gridCol w:w="567"/>
        <w:gridCol w:w="708"/>
        <w:gridCol w:w="1276"/>
        <w:gridCol w:w="1025"/>
        <w:gridCol w:w="812"/>
      </w:tblGrid>
      <w:tr w:rsidR="00040DA9" w:rsidRPr="002664B8" w14:paraId="318D668A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CD4E306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Window size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16293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Probes clustered*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338A449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min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F035512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E3512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4AC44A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mean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D31A42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Q3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0A30A0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max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9C577C6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p-value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790EC14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Nagel-</w:t>
            </w:r>
          </w:p>
          <w:p w14:paraId="7DBD8C8F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kerke R</w:t>
            </w: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12" w:space="0" w:color="auto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BC64D39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AIC</w:t>
            </w:r>
          </w:p>
        </w:tc>
      </w:tr>
      <w:tr w:rsidR="00040DA9" w:rsidRPr="002664B8" w14:paraId="040B4255" w14:textId="77777777" w:rsidTr="00FE16A6">
        <w:tc>
          <w:tcPr>
            <w:tcW w:w="1124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8A38617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5kb</w:t>
            </w:r>
          </w:p>
        </w:tc>
        <w:tc>
          <w:tcPr>
            <w:tcW w:w="1168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5BDE8C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74%</w:t>
            </w:r>
          </w:p>
        </w:tc>
        <w:tc>
          <w:tcPr>
            <w:tcW w:w="675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375718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92467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5A693C2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7F405D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2.31</w:t>
            </w:r>
          </w:p>
        </w:tc>
        <w:tc>
          <w:tcPr>
            <w:tcW w:w="567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D4DCD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708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81E24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91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18F7E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1.88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5EA8AC6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0.0361</w:t>
            </w:r>
          </w:p>
        </w:tc>
        <w:tc>
          <w:tcPr>
            <w:tcW w:w="0" w:type="auto"/>
            <w:tcBorders>
              <w:top w:val="single" w:sz="12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DA701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1596.5</w:t>
            </w:r>
          </w:p>
        </w:tc>
      </w:tr>
      <w:tr w:rsidR="00040DA9" w:rsidRPr="002664B8" w14:paraId="6977315D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FC62C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10kb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66A3C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78%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A6765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417C2E5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E9CC7B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A6D9B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2.50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FA8B9C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CCAA28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4C92FF7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1.83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 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541EF4C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D8604E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1596.4</w:t>
            </w:r>
          </w:p>
        </w:tc>
      </w:tr>
      <w:tr w:rsidR="00040DA9" w:rsidRPr="002664B8" w14:paraId="424648AA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CADAB02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20kb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D86269F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81%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E8472C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3363E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08B7BB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14FDA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2.71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E7E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50A39D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1A810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1.85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B9222F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616400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1596.3</w:t>
            </w:r>
          </w:p>
        </w:tc>
      </w:tr>
      <w:tr w:rsidR="00040DA9" w:rsidRPr="002664B8" w14:paraId="1B6F129E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5E747B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100kb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A75A8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85%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49416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B5E6A54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21D9A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A6C96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3.03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89856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0CFAC8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1B081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1.85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125205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E1405D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1596.3</w:t>
            </w:r>
          </w:p>
        </w:tc>
      </w:tr>
      <w:tr w:rsidR="00040DA9" w:rsidRPr="002664B8" w14:paraId="3B91E817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2A014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500kb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97FDE6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86%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83040F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F7E9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8E8BAE6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3570B6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3.09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D5D664D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2A89CB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1F4E0E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1.84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5B61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6B67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1596.3</w:t>
            </w:r>
          </w:p>
        </w:tc>
      </w:tr>
      <w:tr w:rsidR="00040DA9" w:rsidRPr="002664B8" w14:paraId="6FB6078C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781886E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lastRenderedPageBreak/>
              <w:t>1Mb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F5BC82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86%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F19E14D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E500BF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25A5497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E6BD6FB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3.09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A2348E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4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6AFCD95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119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16EB1E9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 xml:space="preserve">1.86 </w:t>
            </w:r>
            <w:r>
              <w:rPr>
                <w:rFonts w:ascii="Segoe UI Symbol" w:hAnsi="Segoe UI Symbol" w:cs="Segoe UI Symbol"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10</w:t>
            </w: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EABF6E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0.0361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62B21A1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color w:val="000000"/>
                <w:kern w:val="0"/>
                <w:sz w:val="20"/>
                <w:szCs w:val="20"/>
                <w14:ligatures w14:val="none"/>
              </w:rPr>
              <w:t>1596.3</w:t>
            </w:r>
          </w:p>
        </w:tc>
      </w:tr>
      <w:tr w:rsidR="00040DA9" w:rsidRPr="002664B8" w14:paraId="04116EDB" w14:textId="77777777" w:rsidTr="00FE16A6">
        <w:tc>
          <w:tcPr>
            <w:tcW w:w="11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54C773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TAD clusters</w:t>
            </w:r>
          </w:p>
        </w:tc>
        <w:tc>
          <w:tcPr>
            <w:tcW w:w="11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186BF2A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99.99%</w:t>
            </w:r>
          </w:p>
        </w:tc>
        <w:tc>
          <w:tcPr>
            <w:tcW w:w="6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96098F5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D8BBA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45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AA3EEE8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82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E10E9B7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118.46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9E2C423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138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B8B1E19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2690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30E8572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1.68 </w:t>
            </w:r>
            <w:r w:rsidRPr="00776656">
              <w:rPr>
                <w:rFonts w:ascii="Segoe UI Symbol" w:hAnsi="Segoe UI Symbol" w:cs="Segoe UI Symbol"/>
                <w:b/>
                <w:bCs/>
                <w:color w:val="000000"/>
                <w:sz w:val="20"/>
                <w:szCs w:val="20"/>
              </w:rPr>
              <w:t>×</w:t>
            </w: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 10</w:t>
            </w: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:vertAlign w:val="superscript"/>
                <w14:ligatures w14:val="none"/>
              </w:rPr>
              <w:t>-8</w:t>
            </w:r>
          </w:p>
        </w:tc>
        <w:tc>
          <w:tcPr>
            <w:tcW w:w="10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220A27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0.0363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EC6CA9" w14:textId="77777777" w:rsidR="00040DA9" w:rsidRPr="002664B8" w:rsidRDefault="00040DA9" w:rsidP="00FE16A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14:ligatures w14:val="none"/>
              </w:rPr>
            </w:pPr>
            <w:r w:rsidRPr="002664B8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>1596.2</w:t>
            </w:r>
          </w:p>
        </w:tc>
      </w:tr>
    </w:tbl>
    <w:p w14:paraId="2BD68AC5" w14:textId="77777777" w:rsidR="00040DA9" w:rsidRPr="00FC0E2E" w:rsidRDefault="00040DA9" w:rsidP="00040DA9">
      <w:pPr>
        <w:spacing w:before="240" w:after="0" w:line="480" w:lineRule="auto"/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</w:pPr>
      <w:r w:rsidRPr="00FC0E2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*The percentage of probes included in non-singleton clusters.</w:t>
      </w:r>
    </w:p>
    <w:p w14:paraId="60967EC8" w14:textId="77777777" w:rsidR="00040DA9" w:rsidRDefault="00040DA9" w:rsidP="00040DA9">
      <w:pPr>
        <w:spacing w:line="480" w:lineRule="auto"/>
        <w:rPr>
          <w:rFonts w:ascii="Arial" w:eastAsia="Times New Roman" w:hAnsi="Arial" w:cs="Arial"/>
          <w:color w:val="000000"/>
          <w:kern w:val="0"/>
          <w14:ligatures w14:val="none"/>
        </w:rPr>
      </w:pPr>
      <w:r w:rsidRPr="00FC0E2E">
        <w:rPr>
          <w:rFonts w:ascii="Arial" w:eastAsia="Times New Roman" w:hAnsi="Arial" w:cs="Arial"/>
          <w:color w:val="000000"/>
          <w:kern w:val="0"/>
          <w:sz w:val="20"/>
          <w:szCs w:val="20"/>
          <w14:ligatures w14:val="none"/>
        </w:rPr>
        <w:t>TAD: topologically associating domain.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 xml:space="preserve"> </w:t>
      </w:r>
    </w:p>
    <w:p w14:paraId="088AA8FC" w14:textId="77777777" w:rsidR="00040DA9" w:rsidRPr="00C97C75" w:rsidRDefault="00040DA9" w:rsidP="00040DA9">
      <w:pPr>
        <w:spacing w:after="0" w:line="480" w:lineRule="auto"/>
        <w:jc w:val="both"/>
      </w:pPr>
      <w:r w:rsidRPr="00C97C75">
        <w:rPr>
          <w:rFonts w:ascii="Arial" w:eastAsia="Times New Roman" w:hAnsi="Arial" w:cs="Arial"/>
          <w:color w:val="000000"/>
          <w:kern w:val="0"/>
          <w14:ligatures w14:val="none"/>
        </w:rPr>
        <w:t>The increase in probes clustered diminishes with larger window sizes and the percentage is constant above 500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kb</w:t>
      </w:r>
      <w:r w:rsidRPr="00C97C75">
        <w:rPr>
          <w:rFonts w:ascii="Arial" w:eastAsia="Times New Roman" w:hAnsi="Arial" w:cs="Arial"/>
          <w:color w:val="000000"/>
          <w:kern w:val="0"/>
          <w14:ligatures w14:val="none"/>
        </w:rPr>
        <w:t>. The distributions change very little after 10</w:t>
      </w:r>
      <w:r>
        <w:rPr>
          <w:rFonts w:ascii="Arial" w:eastAsia="Times New Roman" w:hAnsi="Arial" w:cs="Arial"/>
          <w:color w:val="000000"/>
          <w:kern w:val="0"/>
          <w14:ligatures w14:val="none"/>
        </w:rPr>
        <w:t>kb</w:t>
      </w:r>
      <w:r w:rsidRPr="00C97C75">
        <w:rPr>
          <w:rFonts w:ascii="Arial" w:eastAsia="Times New Roman" w:hAnsi="Arial" w:cs="Arial"/>
          <w:color w:val="000000"/>
          <w:kern w:val="0"/>
          <w14:ligatures w14:val="none"/>
        </w:rPr>
        <w:t>. The differences in probe distributions between the sliding window and TAD clusters did not have any significant effect on the methylation scores’ performance.</w:t>
      </w:r>
    </w:p>
    <w:p w14:paraId="492F1491" w14:textId="77777777" w:rsidR="0061741B" w:rsidRDefault="0061741B"/>
    <w:sectPr w:rsidR="0061741B" w:rsidSect="00040DA9">
      <w:footerReference w:type="default" r:id="rId5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2698064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475AB0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66EFC8F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0DA9"/>
    <w:rsid w:val="00040DA9"/>
    <w:rsid w:val="00086FD9"/>
    <w:rsid w:val="0061741B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BD1E6"/>
  <w15:chartTrackingRefBased/>
  <w15:docId w15:val="{6C599D79-C989-463D-91A3-FF1F6A2CAE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DA9"/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040DA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40DA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40DA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40DA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40DA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40DA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40DA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40DA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40DA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40DA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40DA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40DA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40DA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40DA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40DA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40DA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40DA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40DA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40DA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40DA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40DA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40DA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40DA9"/>
    <w:pPr>
      <w:spacing w:before="160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040DA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40DA9"/>
    <w:pPr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040DA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40DA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40DA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40DA9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rsid w:val="00040D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DA9"/>
    <w:rPr>
      <w:sz w:val="22"/>
      <w:szCs w:val="22"/>
    </w:rPr>
  </w:style>
  <w:style w:type="character" w:styleId="LineNumber">
    <w:name w:val="line number"/>
    <w:basedOn w:val="DefaultParagraphFont"/>
    <w:uiPriority w:val="99"/>
    <w:semiHidden/>
    <w:unhideWhenUsed/>
    <w:rsid w:val="00040D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214</Words>
  <Characters>1221</Characters>
  <Application>Microsoft Office Word</Application>
  <DocSecurity>0</DocSecurity>
  <Lines>10</Lines>
  <Paragraphs>2</Paragraphs>
  <ScaleCrop>false</ScaleCrop>
  <Company/>
  <LinksUpToDate>false</LinksUpToDate>
  <CharactersWithSpaces>1433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2024-12-27T16:36:00Z</dcterms:created>
  <dcterms:modified xsi:type="dcterms:W3CDTF">2024-12-27T16:36:00Z</dcterms:modified>
</cp:coreProperties>
</file>