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1617B93C" w:rsidR="00463E84" w:rsidRDefault="000A1FF6">
      <w:pPr>
        <w:spacing w:before="80"/>
        <w:ind w:left="140"/>
        <w:rPr>
          <w:b/>
          <w:sz w:val="24"/>
          <w:szCs w:val="24"/>
        </w:rPr>
      </w:pPr>
      <w:r>
        <w:rPr>
          <w:b/>
          <w:sz w:val="24"/>
          <w:szCs w:val="24"/>
        </w:rPr>
        <w:t xml:space="preserve">Additional File 1. </w:t>
      </w:r>
      <w:r w:rsidR="00000000">
        <w:rPr>
          <w:b/>
          <w:sz w:val="24"/>
          <w:szCs w:val="24"/>
        </w:rPr>
        <w:t>Gender-Affirming Psychotherapy Scoping Review References</w:t>
      </w:r>
      <w:r w:rsidR="00E433EC">
        <w:rPr>
          <w:b/>
          <w:sz w:val="24"/>
          <w:szCs w:val="24"/>
        </w:rPr>
        <w:t xml:space="preserve"> from Price et al., 2024 </w:t>
      </w:r>
      <w:r w:rsidR="00E433EC">
        <w:rPr>
          <w:b/>
          <w:sz w:val="24"/>
          <w:szCs w:val="24"/>
        </w:rPr>
        <w:fldChar w:fldCharType="begin"/>
      </w:r>
      <w:r w:rsidR="00E433EC">
        <w:rPr>
          <w:b/>
          <w:sz w:val="24"/>
          <w:szCs w:val="24"/>
        </w:rPr>
        <w:instrText xml:space="preserve"> ADDIN ZOTERO_ITEM CSL_CITATION {"citationID":"4Jj3xYwz","properties":{"formattedCitation":"(1)","plainCitation":"(1)","noteIndex":0},"citationItems":[{"id":12801,"uris":["http://zotero.org/groups/2459641/items/B5GLH89H"],"itemData":{"id":12801,"type":"article-journal","abstract":"Objective:Transgender youths are more likely than cisgender youths to need mental health care because of their high exposure to discrimination and victimization, including within health care systems. Accordingly, transgender youths have low care satisfaction and high rates of treatment dropout, further exacerbating existing mental health inequities. To reduce these inequities, mental health providers need knowledge and skills to enhance transgender youths’ treatment engagement and benefits. However, a comprehensive set of practices addressing the needs of transgender youth patients and their providers does not exist. The authors developed gender-affirming psychotherapy (GAP), an evidence-informed set of skills and principles to augment mental health treatments for transgender youths.Methods:GAP was developed by using a human-centered design, a methodological approach for creating interventions that prioritize the needs of key stakeholders, which in this study included mental health providers and transgender youths and their parents (N=36). A scoping review of the literature and stakeholder focus groups were conducted to create GAP, which encompasses core principles and skills to enhance mental health services for transgender youths.Results:GAP encompasses 27 principles and 38 skills, organized within 10 domains. All principles and skills were designed to be relevant for various provider types (e.g., psychiatrists and social workers) and to be flexibly adapted to meet diverse patient needs.Conclusions:GAP offers a scalable and flexible approach to addressing the growing mental health care needs of transgender youths. The findings of this study suggest that a human-centered design is a feasible and efficient method for developing interventions to address health inequities.","container-title":"Psychiatric Services","DOI":"10.1176/appi.ps.20230460","ISSN":"1075-2730","journalAbbreviation":"PS","note":"publisher: American Psychiatric Publishing","page":"appi.ps.20230460","source":"psychiatryonline.org (Atypon)","title":"Gender-Affirming Psychotherapy (GAP): Core Principles and Skills to Reduce the Mental Health Care “GAP” for Transgender Youths","title-short":"Gender-Affirming Psychotherapy (GAP)","author":[{"family":"Price","given":"Maggi A."},{"family":"Rakhilin","given":"Marina"},{"family":"Johansen","given":"Kara"},{"family":"Collins","given":"Lisa"},{"family":"Pachankis","given":"John E."},{"family":"Lyon","given":"Aaron R."},{"family":"Allen","given":"Marissa"}],"issued":{"date-parts":[["2024",6,19]]}}}],"schema":"https://github.com/citation-style-language/schema/raw/master/csl-citation.json"} </w:instrText>
      </w:r>
      <w:r w:rsidR="00E433EC">
        <w:rPr>
          <w:b/>
          <w:sz w:val="24"/>
          <w:szCs w:val="24"/>
        </w:rPr>
        <w:fldChar w:fldCharType="separate"/>
      </w:r>
      <w:r w:rsidR="00E433EC">
        <w:rPr>
          <w:b/>
          <w:noProof/>
          <w:sz w:val="24"/>
          <w:szCs w:val="24"/>
        </w:rPr>
        <w:t>(1)</w:t>
      </w:r>
      <w:r w:rsidR="00E433EC">
        <w:rPr>
          <w:b/>
          <w:sz w:val="24"/>
          <w:szCs w:val="24"/>
        </w:rPr>
        <w:fldChar w:fldCharType="end"/>
      </w:r>
    </w:p>
    <w:p w14:paraId="00000002" w14:textId="77777777" w:rsidR="00463E84" w:rsidRDefault="00000000">
      <w:pPr>
        <w:numPr>
          <w:ilvl w:val="0"/>
          <w:numId w:val="1"/>
        </w:numPr>
        <w:spacing w:before="280" w:after="200"/>
        <w:ind w:right="640"/>
        <w:rPr>
          <w:color w:val="212121"/>
          <w:sz w:val="24"/>
          <w:szCs w:val="24"/>
        </w:rPr>
      </w:pPr>
      <w:r>
        <w:rPr>
          <w:color w:val="212121"/>
          <w:sz w:val="24"/>
          <w:szCs w:val="24"/>
        </w:rPr>
        <w:t xml:space="preserve">Adelson SL, Stroeh OM, Ng YK. Development and Mental Health of Lesbian, Gay, Bisexual, orTransgender Youth in Pediatric Practice. </w:t>
      </w:r>
      <w:r>
        <w:rPr>
          <w:i/>
          <w:color w:val="212121"/>
          <w:sz w:val="24"/>
          <w:szCs w:val="24"/>
        </w:rPr>
        <w:t>Pediatr Clin North Am</w:t>
      </w:r>
      <w:r>
        <w:rPr>
          <w:color w:val="212121"/>
          <w:sz w:val="24"/>
          <w:szCs w:val="24"/>
        </w:rPr>
        <w:t>. 2016 Dec;63(6):971-983.</w:t>
      </w:r>
    </w:p>
    <w:p w14:paraId="00000003" w14:textId="77777777" w:rsidR="00463E84" w:rsidRDefault="00000000">
      <w:pPr>
        <w:numPr>
          <w:ilvl w:val="0"/>
          <w:numId w:val="1"/>
        </w:numPr>
        <w:spacing w:after="200"/>
        <w:ind w:right="460"/>
        <w:rPr>
          <w:color w:val="212121"/>
          <w:sz w:val="24"/>
          <w:szCs w:val="24"/>
        </w:rPr>
      </w:pPr>
      <w:r>
        <w:rPr>
          <w:color w:val="212121"/>
          <w:sz w:val="24"/>
          <w:szCs w:val="24"/>
        </w:rPr>
        <w:t xml:space="preserve">American Psychological Association. Guidelines for psychological practice with transgender and gender nonconforming people. </w:t>
      </w:r>
      <w:r>
        <w:rPr>
          <w:i/>
          <w:color w:val="212121"/>
          <w:sz w:val="24"/>
          <w:szCs w:val="24"/>
        </w:rPr>
        <w:t xml:space="preserve">Am Psychol. </w:t>
      </w:r>
      <w:r>
        <w:rPr>
          <w:color w:val="212121"/>
          <w:sz w:val="24"/>
          <w:szCs w:val="24"/>
        </w:rPr>
        <w:t>2015 Dec;70(9):832-64.</w:t>
      </w:r>
    </w:p>
    <w:p w14:paraId="00000004" w14:textId="77777777" w:rsidR="00463E84" w:rsidRDefault="00000000">
      <w:pPr>
        <w:numPr>
          <w:ilvl w:val="0"/>
          <w:numId w:val="1"/>
        </w:numPr>
        <w:spacing w:after="200"/>
        <w:ind w:right="1960"/>
        <w:rPr>
          <w:color w:val="212121"/>
          <w:sz w:val="24"/>
          <w:szCs w:val="24"/>
        </w:rPr>
      </w:pPr>
      <w:r>
        <w:rPr>
          <w:color w:val="212121"/>
          <w:sz w:val="24"/>
          <w:szCs w:val="24"/>
        </w:rPr>
        <w:t xml:space="preserve"> Atkinson SR, Russell D. Gender dysphoria. </w:t>
      </w:r>
      <w:r>
        <w:rPr>
          <w:i/>
          <w:color w:val="212121"/>
          <w:sz w:val="24"/>
          <w:szCs w:val="24"/>
        </w:rPr>
        <w:t>Aust Fam Physician</w:t>
      </w:r>
      <w:r>
        <w:rPr>
          <w:color w:val="212121"/>
          <w:sz w:val="24"/>
          <w:szCs w:val="24"/>
        </w:rPr>
        <w:t>. 2015;44(11):792-6. PMID: 26590617.</w:t>
      </w:r>
    </w:p>
    <w:p w14:paraId="00000005" w14:textId="77777777" w:rsidR="00463E84" w:rsidRDefault="00000000">
      <w:pPr>
        <w:numPr>
          <w:ilvl w:val="0"/>
          <w:numId w:val="1"/>
        </w:numPr>
        <w:spacing w:after="200"/>
        <w:ind w:right="680"/>
        <w:rPr>
          <w:color w:val="212121"/>
          <w:sz w:val="24"/>
          <w:szCs w:val="24"/>
        </w:rPr>
      </w:pPr>
      <w:r>
        <w:rPr>
          <w:color w:val="212121"/>
          <w:sz w:val="24"/>
          <w:szCs w:val="24"/>
        </w:rPr>
        <w:t xml:space="preserve">Budge SL. Psychotherapists as gatekeepers: An evidence-based case study highlighting the role and process of letter writing for transgender clients. </w:t>
      </w:r>
      <w:r>
        <w:rPr>
          <w:i/>
          <w:color w:val="212121"/>
          <w:sz w:val="24"/>
          <w:szCs w:val="24"/>
        </w:rPr>
        <w:t xml:space="preserve">Psychotherapy (Chic). </w:t>
      </w:r>
      <w:r>
        <w:rPr>
          <w:color w:val="212121"/>
          <w:sz w:val="24"/>
          <w:szCs w:val="24"/>
        </w:rPr>
        <w:t>2015 Sep;52(3):287-97.</w:t>
      </w:r>
    </w:p>
    <w:p w14:paraId="00000006" w14:textId="77777777" w:rsidR="00463E84" w:rsidRDefault="00000000">
      <w:pPr>
        <w:numPr>
          <w:ilvl w:val="0"/>
          <w:numId w:val="1"/>
        </w:numPr>
        <w:spacing w:after="200"/>
        <w:ind w:right="220"/>
        <w:rPr>
          <w:color w:val="212121"/>
          <w:sz w:val="24"/>
          <w:szCs w:val="24"/>
        </w:rPr>
      </w:pPr>
      <w:r>
        <w:rPr>
          <w:color w:val="212121"/>
          <w:sz w:val="24"/>
          <w:szCs w:val="24"/>
        </w:rPr>
        <w:t xml:space="preserve"> Calzo JP, Melchiono M, Richmond TK, Leibowitz SF, Argenal RL, Goncalves A, Pitts S, Gooding HC, Burke P. Lesbian, Gay, Bisexual, and Transgender Adolescent Health: An Interprofessional CaseDiscussion. </w:t>
      </w:r>
      <w:r>
        <w:rPr>
          <w:i/>
          <w:color w:val="212121"/>
          <w:sz w:val="24"/>
          <w:szCs w:val="24"/>
        </w:rPr>
        <w:t>MedEdPORTAL</w:t>
      </w:r>
      <w:r>
        <w:rPr>
          <w:color w:val="212121"/>
          <w:sz w:val="24"/>
          <w:szCs w:val="24"/>
        </w:rPr>
        <w:t>. 2017 Aug 9;13:10615.</w:t>
      </w:r>
    </w:p>
    <w:p w14:paraId="00000007" w14:textId="77777777" w:rsidR="00463E84" w:rsidRDefault="00000000">
      <w:pPr>
        <w:numPr>
          <w:ilvl w:val="0"/>
          <w:numId w:val="1"/>
        </w:numPr>
        <w:spacing w:after="200"/>
        <w:ind w:right="520"/>
        <w:rPr>
          <w:color w:val="212121"/>
          <w:sz w:val="24"/>
          <w:szCs w:val="24"/>
        </w:rPr>
      </w:pPr>
      <w:r>
        <w:rPr>
          <w:color w:val="212121"/>
          <w:sz w:val="24"/>
          <w:szCs w:val="24"/>
        </w:rPr>
        <w:t xml:space="preserve">Case KA, Amand CS. Developing allies to transgender and gender- nonconforming youth:Training for counselors and educators. </w:t>
      </w:r>
      <w:r>
        <w:rPr>
          <w:i/>
          <w:color w:val="212121"/>
          <w:sz w:val="24"/>
          <w:szCs w:val="24"/>
        </w:rPr>
        <w:t>Journal of LGBT Youth</w:t>
      </w:r>
      <w:r>
        <w:rPr>
          <w:color w:val="212121"/>
          <w:sz w:val="24"/>
          <w:szCs w:val="24"/>
        </w:rPr>
        <w:t>. 2014 Jan 1;11(1):62-82.</w:t>
      </w:r>
    </w:p>
    <w:p w14:paraId="00000008" w14:textId="77777777" w:rsidR="00463E84" w:rsidRDefault="00000000">
      <w:pPr>
        <w:numPr>
          <w:ilvl w:val="0"/>
          <w:numId w:val="1"/>
        </w:numPr>
        <w:spacing w:after="200"/>
        <w:rPr>
          <w:color w:val="212121"/>
          <w:sz w:val="24"/>
          <w:szCs w:val="24"/>
        </w:rPr>
      </w:pPr>
      <w:r>
        <w:rPr>
          <w:color w:val="212121"/>
          <w:sz w:val="24"/>
          <w:szCs w:val="24"/>
        </w:rPr>
        <w:t xml:space="preserve">Chen D, Hidalgo MA, Leibowitz S, Leininger J, Simons L, Finlayson C, Garofalo R. Multidisciplinary Care for Gender-Diverse Youth: A Narrative Review and Unique Model ofGender-Affirming Care. </w:t>
      </w:r>
      <w:r>
        <w:rPr>
          <w:i/>
          <w:color w:val="212121"/>
          <w:sz w:val="24"/>
          <w:szCs w:val="24"/>
        </w:rPr>
        <w:t xml:space="preserve">Transgend Health. </w:t>
      </w:r>
      <w:r>
        <w:rPr>
          <w:color w:val="212121"/>
          <w:sz w:val="24"/>
          <w:szCs w:val="24"/>
        </w:rPr>
        <w:t>2016 Jul 1;1(1):117- 123.</w:t>
      </w:r>
    </w:p>
    <w:p w14:paraId="00000009" w14:textId="77777777" w:rsidR="00463E84" w:rsidRDefault="00000000">
      <w:pPr>
        <w:numPr>
          <w:ilvl w:val="0"/>
          <w:numId w:val="1"/>
        </w:numPr>
        <w:spacing w:after="200"/>
        <w:ind w:right="180"/>
        <w:rPr>
          <w:color w:val="212121"/>
          <w:sz w:val="24"/>
          <w:szCs w:val="24"/>
        </w:rPr>
      </w:pPr>
      <w:r>
        <w:rPr>
          <w:color w:val="212121"/>
          <w:sz w:val="24"/>
          <w:szCs w:val="24"/>
        </w:rPr>
        <w:t xml:space="preserve">Craig SL, Iacono G, Pascoe R, Austin A. Adapting Clinical Skills to Telehealth: Applications ofAffirmative Cognitive-Behavioral Therapy with LGBTQ+ Youth. </w:t>
      </w:r>
      <w:r>
        <w:rPr>
          <w:i/>
          <w:color w:val="212121"/>
          <w:sz w:val="24"/>
          <w:szCs w:val="24"/>
        </w:rPr>
        <w:t>Clin Soc Work J. 2021</w:t>
      </w:r>
      <w:r>
        <w:rPr>
          <w:color w:val="212121"/>
          <w:sz w:val="24"/>
          <w:szCs w:val="24"/>
        </w:rPr>
        <w:t>;49(4):471-483.</w:t>
      </w:r>
    </w:p>
    <w:p w14:paraId="0000000A" w14:textId="77777777" w:rsidR="00463E84" w:rsidRDefault="00000000">
      <w:pPr>
        <w:numPr>
          <w:ilvl w:val="0"/>
          <w:numId w:val="1"/>
        </w:numPr>
        <w:spacing w:after="200"/>
        <w:ind w:right="560"/>
        <w:rPr>
          <w:color w:val="212121"/>
          <w:sz w:val="24"/>
          <w:szCs w:val="24"/>
        </w:rPr>
      </w:pPr>
      <w:r>
        <w:rPr>
          <w:color w:val="212121"/>
          <w:sz w:val="24"/>
          <w:szCs w:val="24"/>
        </w:rPr>
        <w:t xml:space="preserve">Dahlen S, Connolly D, Arif I, Junejo MH, Bewley S, Meads C. International clinical practiceguidelines for gender minority/trans people: systematic review and quality assessment. </w:t>
      </w:r>
      <w:r>
        <w:rPr>
          <w:i/>
          <w:color w:val="212121"/>
          <w:sz w:val="24"/>
          <w:szCs w:val="24"/>
        </w:rPr>
        <w:t xml:space="preserve">BMJ Open. </w:t>
      </w:r>
      <w:r>
        <w:rPr>
          <w:color w:val="212121"/>
          <w:sz w:val="24"/>
          <w:szCs w:val="24"/>
        </w:rPr>
        <w:t>2021;11:e048943.</w:t>
      </w:r>
    </w:p>
    <w:p w14:paraId="0000000B" w14:textId="77777777" w:rsidR="00463E84" w:rsidRDefault="00000000">
      <w:pPr>
        <w:numPr>
          <w:ilvl w:val="0"/>
          <w:numId w:val="1"/>
        </w:numPr>
        <w:spacing w:after="200"/>
        <w:rPr>
          <w:color w:val="212121"/>
          <w:sz w:val="24"/>
          <w:szCs w:val="24"/>
        </w:rPr>
      </w:pPr>
      <w:r>
        <w:rPr>
          <w:color w:val="212121"/>
          <w:sz w:val="24"/>
          <w:szCs w:val="24"/>
        </w:rPr>
        <w:t xml:space="preserve">Ehrensaft D. Listening and Learning from Gender-Nonconforming Children. </w:t>
      </w:r>
      <w:r>
        <w:rPr>
          <w:i/>
          <w:color w:val="212121"/>
          <w:sz w:val="24"/>
          <w:szCs w:val="24"/>
        </w:rPr>
        <w:t>Psychoanal Study Child</w:t>
      </w:r>
      <w:r>
        <w:rPr>
          <w:color w:val="212121"/>
          <w:sz w:val="24"/>
          <w:szCs w:val="24"/>
        </w:rPr>
        <w:t>. 2014;68:28-56.</w:t>
      </w:r>
    </w:p>
    <w:p w14:paraId="0000000C" w14:textId="77777777" w:rsidR="00463E84" w:rsidRDefault="00000000">
      <w:pPr>
        <w:numPr>
          <w:ilvl w:val="0"/>
          <w:numId w:val="1"/>
        </w:numPr>
        <w:spacing w:after="200"/>
        <w:ind w:right="400"/>
        <w:rPr>
          <w:color w:val="212121"/>
          <w:sz w:val="24"/>
          <w:szCs w:val="24"/>
        </w:rPr>
      </w:pPr>
      <w:r>
        <w:rPr>
          <w:color w:val="212121"/>
          <w:sz w:val="24"/>
          <w:szCs w:val="24"/>
        </w:rPr>
        <w:lastRenderedPageBreak/>
        <w:t xml:space="preserve">Golden RL, Oransky M. An intersectional approach to therapy with transgender adolescents andtheir families. </w:t>
      </w:r>
      <w:r>
        <w:rPr>
          <w:i/>
          <w:color w:val="212121"/>
          <w:sz w:val="24"/>
          <w:szCs w:val="24"/>
        </w:rPr>
        <w:t xml:space="preserve">Archives of Sexual Behavior. </w:t>
      </w:r>
      <w:r>
        <w:rPr>
          <w:color w:val="212121"/>
          <w:sz w:val="24"/>
          <w:szCs w:val="24"/>
        </w:rPr>
        <w:t>2019 Oct;48:2011- 25.</w:t>
      </w:r>
    </w:p>
    <w:p w14:paraId="0000000D" w14:textId="77777777" w:rsidR="00463E84" w:rsidRDefault="00000000">
      <w:pPr>
        <w:numPr>
          <w:ilvl w:val="0"/>
          <w:numId w:val="1"/>
        </w:numPr>
        <w:spacing w:after="200"/>
        <w:ind w:right="200"/>
        <w:rPr>
          <w:color w:val="212121"/>
          <w:sz w:val="24"/>
          <w:szCs w:val="24"/>
        </w:rPr>
      </w:pPr>
      <w:r>
        <w:rPr>
          <w:color w:val="212121"/>
          <w:sz w:val="24"/>
          <w:szCs w:val="24"/>
        </w:rPr>
        <w:t xml:space="preserve">Holt NR, Hope DA, Mocarski R, Meyer H, King R, Woodruff N. The provider perspective onbehavioral health care for transgender and gender nonconforming individuals in the Central Great Plains: A qualitative study of approaches and needs. </w:t>
      </w:r>
      <w:r>
        <w:rPr>
          <w:i/>
          <w:color w:val="212121"/>
          <w:sz w:val="24"/>
          <w:szCs w:val="24"/>
        </w:rPr>
        <w:t xml:space="preserve">American Journal of Orthopsychiatry. </w:t>
      </w:r>
      <w:r>
        <w:rPr>
          <w:color w:val="212121"/>
          <w:sz w:val="24"/>
          <w:szCs w:val="24"/>
        </w:rPr>
        <w:t>2020;90(1):136.</w:t>
      </w:r>
    </w:p>
    <w:p w14:paraId="0000000E" w14:textId="77777777" w:rsidR="00463E84" w:rsidRDefault="00000000">
      <w:pPr>
        <w:numPr>
          <w:ilvl w:val="0"/>
          <w:numId w:val="1"/>
        </w:numPr>
        <w:spacing w:after="200"/>
        <w:ind w:right="440"/>
        <w:rPr>
          <w:color w:val="212121"/>
          <w:sz w:val="24"/>
          <w:szCs w:val="24"/>
        </w:rPr>
      </w:pPr>
      <w:r>
        <w:rPr>
          <w:color w:val="212121"/>
          <w:sz w:val="24"/>
          <w:szCs w:val="24"/>
        </w:rPr>
        <w:t xml:space="preserve">Hope DA, Mocarski R, Bautista CL, Holt NR. Culturally competent evidence- based behavioralhealth services for the transgender community: Progress and challenges. </w:t>
      </w:r>
      <w:r>
        <w:rPr>
          <w:i/>
          <w:color w:val="212121"/>
          <w:sz w:val="24"/>
          <w:szCs w:val="24"/>
        </w:rPr>
        <w:t>American Journal of Orthopsychiatry</w:t>
      </w:r>
      <w:r>
        <w:rPr>
          <w:color w:val="212121"/>
          <w:sz w:val="24"/>
          <w:szCs w:val="24"/>
        </w:rPr>
        <w:t>. 2016;86(4):361.</w:t>
      </w:r>
    </w:p>
    <w:p w14:paraId="0000000F" w14:textId="77777777" w:rsidR="00463E84" w:rsidRDefault="00000000">
      <w:pPr>
        <w:numPr>
          <w:ilvl w:val="0"/>
          <w:numId w:val="1"/>
        </w:numPr>
        <w:spacing w:after="200"/>
        <w:ind w:right="920"/>
        <w:rPr>
          <w:color w:val="212121"/>
          <w:sz w:val="24"/>
          <w:szCs w:val="24"/>
        </w:rPr>
      </w:pPr>
      <w:r>
        <w:rPr>
          <w:color w:val="212121"/>
          <w:sz w:val="24"/>
          <w:szCs w:val="24"/>
        </w:rPr>
        <w:t>Janeway H, Coil CJ. Emergency care for transgender and gender-diverse children andadolescents. Pediatr Emerg Med Pract. 2020 Sep;17(9):1-20.</w:t>
      </w:r>
    </w:p>
    <w:p w14:paraId="00000010" w14:textId="77777777" w:rsidR="00463E84" w:rsidRDefault="00000000">
      <w:pPr>
        <w:numPr>
          <w:ilvl w:val="0"/>
          <w:numId w:val="1"/>
        </w:numPr>
        <w:spacing w:after="200"/>
        <w:ind w:right="620"/>
        <w:rPr>
          <w:color w:val="212121"/>
          <w:sz w:val="24"/>
          <w:szCs w:val="24"/>
        </w:rPr>
      </w:pPr>
      <w:r>
        <w:rPr>
          <w:color w:val="212121"/>
          <w:sz w:val="24"/>
          <w:szCs w:val="24"/>
        </w:rPr>
        <w:t xml:space="preserve">Janicka A, Forcier M. Transgender and Gender Nonconforming Youth: Psychosocial and MedicalConsiderations. </w:t>
      </w:r>
      <w:r>
        <w:rPr>
          <w:i/>
          <w:color w:val="212121"/>
          <w:sz w:val="24"/>
          <w:szCs w:val="24"/>
        </w:rPr>
        <w:t>R I Med J</w:t>
      </w:r>
      <w:r>
        <w:rPr>
          <w:color w:val="212121"/>
          <w:sz w:val="24"/>
          <w:szCs w:val="24"/>
        </w:rPr>
        <w:t>. 2016 Sep 1;99(9):31-4.</w:t>
      </w:r>
    </w:p>
    <w:p w14:paraId="00000011" w14:textId="77777777" w:rsidR="00463E84" w:rsidRDefault="00000000">
      <w:pPr>
        <w:numPr>
          <w:ilvl w:val="0"/>
          <w:numId w:val="1"/>
        </w:numPr>
        <w:spacing w:after="200"/>
        <w:ind w:right="900"/>
        <w:rPr>
          <w:color w:val="212121"/>
          <w:sz w:val="24"/>
          <w:szCs w:val="24"/>
        </w:rPr>
      </w:pPr>
      <w:r>
        <w:rPr>
          <w:color w:val="212121"/>
          <w:sz w:val="24"/>
          <w:szCs w:val="24"/>
        </w:rPr>
        <w:t xml:space="preserve">Kattari SK, Bakko M, Hecht HK, Kattari L. Correlations between healthcare provider interactions and mental health among transgender and nonbinary adults. </w:t>
      </w:r>
      <w:r>
        <w:rPr>
          <w:i/>
          <w:color w:val="212121"/>
          <w:sz w:val="24"/>
          <w:szCs w:val="24"/>
        </w:rPr>
        <w:t xml:space="preserve">SSM Popul Health. </w:t>
      </w:r>
      <w:r>
        <w:rPr>
          <w:color w:val="212121"/>
          <w:sz w:val="24"/>
          <w:szCs w:val="24"/>
        </w:rPr>
        <w:t>2019 Nov 29;10:100525.</w:t>
      </w:r>
    </w:p>
    <w:p w14:paraId="00000012" w14:textId="77777777" w:rsidR="00463E84" w:rsidRDefault="00000000">
      <w:pPr>
        <w:numPr>
          <w:ilvl w:val="0"/>
          <w:numId w:val="1"/>
        </w:numPr>
        <w:spacing w:after="200"/>
        <w:ind w:right="460"/>
        <w:rPr>
          <w:color w:val="212121"/>
          <w:sz w:val="24"/>
          <w:szCs w:val="24"/>
        </w:rPr>
      </w:pPr>
      <w:r>
        <w:rPr>
          <w:color w:val="212121"/>
          <w:sz w:val="24"/>
          <w:szCs w:val="24"/>
        </w:rPr>
        <w:t xml:space="preserve">Kia, H, Robinson, M, MacKay, J, &amp; Ross, LE. Poverty in lesbian, gay, bisexual, transgender, queer, two-spirit, and other sexual and gender minority (LGBTQ2S+) communities in Canada: Implications for social work practice. </w:t>
      </w:r>
      <w:r>
        <w:rPr>
          <w:i/>
          <w:color w:val="212121"/>
          <w:sz w:val="24"/>
          <w:szCs w:val="24"/>
        </w:rPr>
        <w:t>Research on Social Work Practice</w:t>
      </w:r>
      <w:r>
        <w:rPr>
          <w:color w:val="212121"/>
          <w:sz w:val="24"/>
          <w:szCs w:val="24"/>
        </w:rPr>
        <w:t>. 2021; 31(6), 584-598.</w:t>
      </w:r>
    </w:p>
    <w:p w14:paraId="00000013" w14:textId="77777777" w:rsidR="00463E84" w:rsidRDefault="00000000">
      <w:pPr>
        <w:numPr>
          <w:ilvl w:val="0"/>
          <w:numId w:val="1"/>
        </w:numPr>
        <w:spacing w:after="200"/>
        <w:ind w:right="380"/>
        <w:rPr>
          <w:color w:val="212121"/>
          <w:sz w:val="24"/>
          <w:szCs w:val="24"/>
        </w:rPr>
      </w:pPr>
      <w:r>
        <w:rPr>
          <w:color w:val="212121"/>
          <w:sz w:val="24"/>
          <w:szCs w:val="24"/>
        </w:rPr>
        <w:t xml:space="preserve">Kidd KM, Thornburgh C, Casey CF, Murray PJ. Providing Care for Transgender and Gender Diverse Youth. </w:t>
      </w:r>
      <w:r>
        <w:rPr>
          <w:i/>
          <w:color w:val="212121"/>
          <w:sz w:val="24"/>
          <w:szCs w:val="24"/>
        </w:rPr>
        <w:t>Prim Care</w:t>
      </w:r>
      <w:r>
        <w:rPr>
          <w:color w:val="212121"/>
          <w:sz w:val="24"/>
          <w:szCs w:val="24"/>
        </w:rPr>
        <w:t>. 2020 Jun;47(2):273-290.</w:t>
      </w:r>
    </w:p>
    <w:p w14:paraId="00000014" w14:textId="77777777" w:rsidR="00463E84" w:rsidRDefault="00000000">
      <w:pPr>
        <w:numPr>
          <w:ilvl w:val="0"/>
          <w:numId w:val="1"/>
        </w:numPr>
        <w:spacing w:after="200"/>
        <w:ind w:right="280"/>
        <w:rPr>
          <w:color w:val="212121"/>
          <w:sz w:val="24"/>
          <w:szCs w:val="24"/>
        </w:rPr>
      </w:pPr>
      <w:r>
        <w:rPr>
          <w:color w:val="212121"/>
          <w:sz w:val="24"/>
          <w:szCs w:val="24"/>
        </w:rPr>
        <w:t xml:space="preserve">Klein DA, Malcolm NM, Berry-Bibee EN, Paradise SL, Coulter JS, Keglovitz Baker K, Schvey NA, Rollison JM, Frederiksen BN. Quality Primary Care and Family Planning Services for LGBT Clients:A Comprehensive Review of Clinical Guidelines. </w:t>
      </w:r>
      <w:r>
        <w:rPr>
          <w:i/>
          <w:color w:val="212121"/>
          <w:sz w:val="24"/>
          <w:szCs w:val="24"/>
        </w:rPr>
        <w:t>LGBT Health</w:t>
      </w:r>
      <w:r>
        <w:rPr>
          <w:color w:val="212121"/>
          <w:sz w:val="24"/>
          <w:szCs w:val="24"/>
        </w:rPr>
        <w:t>. 2018 Apr;5(3):153-170.</w:t>
      </w:r>
    </w:p>
    <w:p w14:paraId="00000015" w14:textId="77777777" w:rsidR="00463E84" w:rsidRDefault="00000000">
      <w:pPr>
        <w:numPr>
          <w:ilvl w:val="0"/>
          <w:numId w:val="1"/>
        </w:numPr>
        <w:spacing w:after="200"/>
        <w:ind w:right="480"/>
        <w:rPr>
          <w:color w:val="212121"/>
          <w:sz w:val="24"/>
          <w:szCs w:val="24"/>
        </w:rPr>
      </w:pPr>
      <w:r>
        <w:rPr>
          <w:color w:val="212121"/>
          <w:sz w:val="24"/>
          <w:szCs w:val="24"/>
        </w:rPr>
        <w:t xml:space="preserve">Klein DA, Paradise SL, Goodwin ET. Caring for Transgender and Gender- Diverse Persons: WhatClinicians Should Know. </w:t>
      </w:r>
      <w:r>
        <w:rPr>
          <w:i/>
          <w:color w:val="212121"/>
          <w:sz w:val="24"/>
          <w:szCs w:val="24"/>
        </w:rPr>
        <w:t>Am Fam Physician</w:t>
      </w:r>
      <w:r>
        <w:rPr>
          <w:color w:val="212121"/>
          <w:sz w:val="24"/>
          <w:szCs w:val="24"/>
        </w:rPr>
        <w:t>. 2018 Dec 1;98(11):645-653. PMID: 30485050.</w:t>
      </w:r>
    </w:p>
    <w:p w14:paraId="00000016" w14:textId="77777777" w:rsidR="00463E84" w:rsidRDefault="00000000">
      <w:pPr>
        <w:numPr>
          <w:ilvl w:val="0"/>
          <w:numId w:val="1"/>
        </w:numPr>
        <w:spacing w:after="200"/>
        <w:ind w:right="320"/>
        <w:rPr>
          <w:color w:val="212121"/>
          <w:sz w:val="24"/>
          <w:szCs w:val="24"/>
        </w:rPr>
      </w:pPr>
      <w:r>
        <w:rPr>
          <w:color w:val="212121"/>
          <w:sz w:val="24"/>
          <w:szCs w:val="24"/>
        </w:rPr>
        <w:lastRenderedPageBreak/>
        <w:t xml:space="preserve">Lapinski J, Covas T, Perkins JM, Russell K, Adkins D, Coffigny MC, Hull S. Best Practices in Transgender Health: A Clinician's Guide. </w:t>
      </w:r>
      <w:r>
        <w:rPr>
          <w:i/>
          <w:color w:val="212121"/>
          <w:sz w:val="24"/>
          <w:szCs w:val="24"/>
        </w:rPr>
        <w:t xml:space="preserve">Prim Care. </w:t>
      </w:r>
      <w:r>
        <w:rPr>
          <w:color w:val="212121"/>
          <w:sz w:val="24"/>
          <w:szCs w:val="24"/>
        </w:rPr>
        <w:t>2018 Dec;45(4):687-703.</w:t>
      </w:r>
    </w:p>
    <w:p w14:paraId="00000017" w14:textId="77777777" w:rsidR="00463E84" w:rsidRDefault="00000000">
      <w:pPr>
        <w:numPr>
          <w:ilvl w:val="0"/>
          <w:numId w:val="1"/>
        </w:numPr>
        <w:spacing w:after="200"/>
        <w:ind w:right="400"/>
        <w:rPr>
          <w:color w:val="212121"/>
          <w:sz w:val="24"/>
          <w:szCs w:val="24"/>
        </w:rPr>
      </w:pPr>
      <w:r>
        <w:rPr>
          <w:color w:val="212121"/>
          <w:sz w:val="24"/>
          <w:szCs w:val="24"/>
        </w:rPr>
        <w:t xml:space="preserve">LeBeau RT. The rejection sensitivity framework’s promise as a guiding force for the development of sexual and gender minority mental health interventions. </w:t>
      </w:r>
      <w:r>
        <w:rPr>
          <w:i/>
          <w:color w:val="212121"/>
          <w:sz w:val="24"/>
          <w:szCs w:val="24"/>
        </w:rPr>
        <w:t>Archives of Sexual Behavior</w:t>
      </w:r>
      <w:r>
        <w:rPr>
          <w:color w:val="212121"/>
          <w:sz w:val="24"/>
          <w:szCs w:val="24"/>
        </w:rPr>
        <w:t>. 2020; 49(7):2275-9.</w:t>
      </w:r>
    </w:p>
    <w:p w14:paraId="00000018" w14:textId="77777777" w:rsidR="00463E84" w:rsidRDefault="00000000">
      <w:pPr>
        <w:numPr>
          <w:ilvl w:val="0"/>
          <w:numId w:val="1"/>
        </w:numPr>
        <w:spacing w:after="200"/>
        <w:ind w:right="440"/>
        <w:rPr>
          <w:color w:val="212121"/>
          <w:sz w:val="24"/>
          <w:szCs w:val="24"/>
        </w:rPr>
      </w:pPr>
      <w:r>
        <w:rPr>
          <w:color w:val="212121"/>
          <w:sz w:val="24"/>
          <w:szCs w:val="24"/>
        </w:rPr>
        <w:t xml:space="preserve">Leibowitz SF, Telingator C. Assessing gender identity concerns in children and adolescents:evaluation, treatments, and outcomes. </w:t>
      </w:r>
      <w:r>
        <w:rPr>
          <w:i/>
          <w:color w:val="212121"/>
          <w:sz w:val="24"/>
          <w:szCs w:val="24"/>
        </w:rPr>
        <w:t xml:space="preserve">Curr Psychiatry Rep. </w:t>
      </w:r>
      <w:r>
        <w:rPr>
          <w:color w:val="212121"/>
          <w:sz w:val="24"/>
          <w:szCs w:val="24"/>
        </w:rPr>
        <w:t>2012 Apr;14(2):111-20.</w:t>
      </w:r>
    </w:p>
    <w:p w14:paraId="00000019" w14:textId="77777777" w:rsidR="00463E84" w:rsidRDefault="00000000">
      <w:pPr>
        <w:numPr>
          <w:ilvl w:val="0"/>
          <w:numId w:val="1"/>
        </w:numPr>
        <w:spacing w:after="200"/>
        <w:ind w:right="340"/>
        <w:rPr>
          <w:color w:val="212121"/>
          <w:sz w:val="24"/>
          <w:szCs w:val="24"/>
        </w:rPr>
      </w:pPr>
      <w:r>
        <w:rPr>
          <w:color w:val="212121"/>
          <w:sz w:val="24"/>
          <w:szCs w:val="24"/>
        </w:rPr>
        <w:t xml:space="preserve">Lightfoot S, Kia H, Vincent A, Wright DK, Vandyk A. Trans-affirming care: An integrative review andconcept analysis. </w:t>
      </w:r>
      <w:r>
        <w:rPr>
          <w:i/>
          <w:color w:val="212121"/>
          <w:sz w:val="24"/>
          <w:szCs w:val="24"/>
        </w:rPr>
        <w:t>Int J Nurs Stud</w:t>
      </w:r>
      <w:r>
        <w:rPr>
          <w:color w:val="212121"/>
          <w:sz w:val="24"/>
          <w:szCs w:val="24"/>
        </w:rPr>
        <w:t>. 2021 Nov;123:104047.</w:t>
      </w:r>
    </w:p>
    <w:p w14:paraId="0000001A" w14:textId="77777777" w:rsidR="00463E84" w:rsidRDefault="00000000">
      <w:pPr>
        <w:numPr>
          <w:ilvl w:val="0"/>
          <w:numId w:val="1"/>
        </w:numPr>
        <w:spacing w:after="200"/>
        <w:ind w:right="260"/>
        <w:rPr>
          <w:color w:val="212121"/>
          <w:sz w:val="24"/>
          <w:szCs w:val="24"/>
        </w:rPr>
      </w:pPr>
      <w:r>
        <w:rPr>
          <w:color w:val="212121"/>
          <w:sz w:val="24"/>
          <w:szCs w:val="24"/>
        </w:rPr>
        <w:t xml:space="preserve">Loo S, Almazan AN, Vedilago V, Stott B, Reisner SL, Keuroghlian AS. Understanding communitymember and health care professional perspectives on gender-affirming care-A qualitative study. </w:t>
      </w:r>
      <w:r>
        <w:rPr>
          <w:i/>
          <w:color w:val="212121"/>
          <w:sz w:val="24"/>
          <w:szCs w:val="24"/>
        </w:rPr>
        <w:t>PLoS One</w:t>
      </w:r>
      <w:r>
        <w:rPr>
          <w:color w:val="212121"/>
          <w:sz w:val="24"/>
          <w:szCs w:val="24"/>
        </w:rPr>
        <w:t>. 2021 Aug 16;16(8):e0255568.</w:t>
      </w:r>
    </w:p>
    <w:p w14:paraId="0000001B" w14:textId="77777777" w:rsidR="00463E84" w:rsidRDefault="00000000">
      <w:pPr>
        <w:numPr>
          <w:ilvl w:val="0"/>
          <w:numId w:val="1"/>
        </w:numPr>
        <w:spacing w:after="200"/>
        <w:ind w:right="420"/>
        <w:rPr>
          <w:color w:val="212121"/>
          <w:sz w:val="24"/>
          <w:szCs w:val="24"/>
        </w:rPr>
      </w:pPr>
      <w:r>
        <w:rPr>
          <w:color w:val="212121"/>
          <w:sz w:val="24"/>
          <w:szCs w:val="24"/>
        </w:rPr>
        <w:t xml:space="preserve">Lothwell LE, Libby N, Adelson SL. Mental Health Care for LGBT Youths. </w:t>
      </w:r>
      <w:r>
        <w:rPr>
          <w:i/>
          <w:color w:val="212121"/>
          <w:sz w:val="24"/>
          <w:szCs w:val="24"/>
        </w:rPr>
        <w:t xml:space="preserve">Focus (Am Psychiatr Publ). </w:t>
      </w:r>
      <w:r>
        <w:rPr>
          <w:color w:val="212121"/>
          <w:sz w:val="24"/>
          <w:szCs w:val="24"/>
        </w:rPr>
        <w:t>2020 Jul;18(3):268-276</w:t>
      </w:r>
    </w:p>
    <w:p w14:paraId="0000001C" w14:textId="77777777" w:rsidR="00463E84" w:rsidRDefault="00000000">
      <w:pPr>
        <w:numPr>
          <w:ilvl w:val="0"/>
          <w:numId w:val="1"/>
        </w:numPr>
        <w:spacing w:after="200"/>
        <w:ind w:right="400"/>
        <w:rPr>
          <w:color w:val="212121"/>
          <w:sz w:val="24"/>
          <w:szCs w:val="24"/>
        </w:rPr>
      </w:pPr>
      <w:r>
        <w:rPr>
          <w:color w:val="212121"/>
          <w:sz w:val="24"/>
          <w:szCs w:val="24"/>
        </w:rPr>
        <w:t xml:space="preserve">Lund, EM, &amp; Burgess, CM. Sexual and gender minority health care disparities: Barriers to care andstrategies to bridge the gap. </w:t>
      </w:r>
      <w:r>
        <w:rPr>
          <w:i/>
          <w:color w:val="212121"/>
          <w:sz w:val="24"/>
          <w:szCs w:val="24"/>
        </w:rPr>
        <w:t xml:space="preserve">Primary Care: Clinics in Office Practice. </w:t>
      </w:r>
      <w:r>
        <w:rPr>
          <w:color w:val="212121"/>
          <w:sz w:val="24"/>
          <w:szCs w:val="24"/>
        </w:rPr>
        <w:t>2020; 48(2), 179-189.</w:t>
      </w:r>
    </w:p>
    <w:p w14:paraId="0000001D" w14:textId="77777777" w:rsidR="00463E84" w:rsidRDefault="00000000">
      <w:pPr>
        <w:numPr>
          <w:ilvl w:val="0"/>
          <w:numId w:val="1"/>
        </w:numPr>
        <w:spacing w:after="200"/>
        <w:ind w:right="200"/>
        <w:rPr>
          <w:color w:val="212121"/>
          <w:sz w:val="24"/>
          <w:szCs w:val="24"/>
        </w:rPr>
      </w:pPr>
      <w:r>
        <w:rPr>
          <w:color w:val="212121"/>
          <w:sz w:val="24"/>
          <w:szCs w:val="24"/>
        </w:rPr>
        <w:t>Lytle MC, Vaughan MD, Rodriguez EM, Shmerler DL. Working with LGBT Individuals: IncorporatingPositive Psychology into Training and Practice. Psychol Sex Orientat Gend Divers. 2014 Oct 1;1(4):335-347.</w:t>
      </w:r>
    </w:p>
    <w:p w14:paraId="0000001E" w14:textId="77777777" w:rsidR="00463E84" w:rsidRDefault="00000000">
      <w:pPr>
        <w:numPr>
          <w:ilvl w:val="0"/>
          <w:numId w:val="1"/>
        </w:numPr>
        <w:spacing w:after="200"/>
        <w:ind w:right="600"/>
        <w:rPr>
          <w:color w:val="212121"/>
          <w:sz w:val="24"/>
          <w:szCs w:val="24"/>
        </w:rPr>
      </w:pPr>
      <w:r>
        <w:rPr>
          <w:color w:val="212121"/>
          <w:sz w:val="24"/>
          <w:szCs w:val="24"/>
        </w:rPr>
        <w:t xml:space="preserve">Morenz AM, Goldhammer H, Lambert CA, Hopwood R, Keuroghlian AS. A Blueprint for Planningand Implementing a Transgender Health Program. </w:t>
      </w:r>
      <w:r>
        <w:rPr>
          <w:i/>
          <w:color w:val="212121"/>
          <w:sz w:val="24"/>
          <w:szCs w:val="24"/>
        </w:rPr>
        <w:t xml:space="preserve">Ann Fam Med. </w:t>
      </w:r>
      <w:r>
        <w:rPr>
          <w:color w:val="212121"/>
          <w:sz w:val="24"/>
          <w:szCs w:val="24"/>
        </w:rPr>
        <w:t>2020 Jan;18(1):73-79.</w:t>
      </w:r>
    </w:p>
    <w:p w14:paraId="0000001F" w14:textId="77777777" w:rsidR="00463E84" w:rsidRDefault="00000000">
      <w:pPr>
        <w:numPr>
          <w:ilvl w:val="0"/>
          <w:numId w:val="1"/>
        </w:numPr>
        <w:spacing w:after="200"/>
        <w:ind w:right="720"/>
        <w:rPr>
          <w:color w:val="212121"/>
          <w:sz w:val="24"/>
          <w:szCs w:val="24"/>
        </w:rPr>
      </w:pPr>
      <w:r>
        <w:rPr>
          <w:color w:val="212121"/>
          <w:sz w:val="24"/>
          <w:szCs w:val="24"/>
        </w:rPr>
        <w:t>Motmans J, Nieder TO, Bouman WP. Non-binary and genderqueer genders. Routledge; 2020.</w:t>
      </w:r>
    </w:p>
    <w:p w14:paraId="00000020" w14:textId="77777777" w:rsidR="00463E84" w:rsidRDefault="00000000">
      <w:pPr>
        <w:numPr>
          <w:ilvl w:val="0"/>
          <w:numId w:val="1"/>
        </w:numPr>
        <w:spacing w:after="200"/>
        <w:ind w:right="400"/>
        <w:rPr>
          <w:color w:val="212121"/>
          <w:sz w:val="24"/>
          <w:szCs w:val="24"/>
        </w:rPr>
      </w:pPr>
      <w:r>
        <w:rPr>
          <w:color w:val="212121"/>
          <w:sz w:val="24"/>
          <w:szCs w:val="24"/>
        </w:rPr>
        <w:t xml:space="preserve">Olson J, Forbes C, Belzer M. Management of the transgender adolescent. </w:t>
      </w:r>
      <w:r>
        <w:rPr>
          <w:i/>
          <w:color w:val="212121"/>
          <w:sz w:val="24"/>
          <w:szCs w:val="24"/>
        </w:rPr>
        <w:t xml:space="preserve">Arch Pediatr Adolesc Med. </w:t>
      </w:r>
      <w:r>
        <w:rPr>
          <w:color w:val="212121"/>
          <w:sz w:val="24"/>
          <w:szCs w:val="24"/>
        </w:rPr>
        <w:t>2011 Feb;165(2):171-6.</w:t>
      </w:r>
    </w:p>
    <w:p w14:paraId="00000021" w14:textId="77777777" w:rsidR="00463E84" w:rsidRDefault="00000000">
      <w:pPr>
        <w:numPr>
          <w:ilvl w:val="0"/>
          <w:numId w:val="1"/>
        </w:numPr>
        <w:spacing w:after="200"/>
        <w:ind w:right="460"/>
        <w:rPr>
          <w:color w:val="212121"/>
          <w:sz w:val="24"/>
          <w:szCs w:val="24"/>
        </w:rPr>
      </w:pPr>
      <w:r>
        <w:rPr>
          <w:color w:val="212121"/>
          <w:sz w:val="24"/>
          <w:szCs w:val="24"/>
        </w:rPr>
        <w:t xml:space="preserve">Panchal Z, Piper C, Whitmore C, Davies RD. Providing supportive transgender mental health care: A systemized narrative review of patient </w:t>
      </w:r>
      <w:r>
        <w:rPr>
          <w:color w:val="212121"/>
          <w:sz w:val="24"/>
          <w:szCs w:val="24"/>
        </w:rPr>
        <w:lastRenderedPageBreak/>
        <w:t xml:space="preserve">experiences, preferences, and outcomes. </w:t>
      </w:r>
      <w:r>
        <w:rPr>
          <w:i/>
          <w:color w:val="212121"/>
          <w:sz w:val="24"/>
          <w:szCs w:val="24"/>
        </w:rPr>
        <w:t>Journal of Gay&amp; Lesbian Mental Health</w:t>
      </w:r>
      <w:r>
        <w:rPr>
          <w:color w:val="212121"/>
          <w:sz w:val="24"/>
          <w:szCs w:val="24"/>
        </w:rPr>
        <w:t>. 2022 Jul 3;26(3):228-64.</w:t>
      </w:r>
    </w:p>
    <w:p w14:paraId="00000022" w14:textId="77777777" w:rsidR="00463E84" w:rsidRDefault="00000000">
      <w:pPr>
        <w:numPr>
          <w:ilvl w:val="0"/>
          <w:numId w:val="1"/>
        </w:numPr>
        <w:spacing w:after="200"/>
        <w:ind w:right="400"/>
        <w:rPr>
          <w:color w:val="212121"/>
          <w:sz w:val="24"/>
          <w:szCs w:val="24"/>
        </w:rPr>
      </w:pPr>
      <w:r>
        <w:rPr>
          <w:color w:val="212121"/>
          <w:sz w:val="24"/>
          <w:szCs w:val="24"/>
        </w:rPr>
        <w:t xml:space="preserve">Pankey, TL, Heredia, D, Vencill, JA, &amp; Gonzalez, CA. Gender-affirming telepsychology during andafter the COVID-19 pandemic: recommendations for adult transgender and gender diverse populations. </w:t>
      </w:r>
      <w:r>
        <w:rPr>
          <w:i/>
          <w:color w:val="212121"/>
          <w:sz w:val="24"/>
          <w:szCs w:val="24"/>
        </w:rPr>
        <w:t xml:space="preserve">Journal of health service psychology. </w:t>
      </w:r>
      <w:r>
        <w:rPr>
          <w:color w:val="212121"/>
          <w:sz w:val="24"/>
          <w:szCs w:val="24"/>
        </w:rPr>
        <w:t>2021; 47, 181-189.</w:t>
      </w:r>
    </w:p>
    <w:p w14:paraId="00000023" w14:textId="77777777" w:rsidR="00463E84" w:rsidRDefault="00000000">
      <w:pPr>
        <w:numPr>
          <w:ilvl w:val="0"/>
          <w:numId w:val="1"/>
        </w:numPr>
        <w:spacing w:after="200"/>
        <w:ind w:right="1080"/>
        <w:rPr>
          <w:color w:val="212121"/>
          <w:sz w:val="24"/>
          <w:szCs w:val="24"/>
        </w:rPr>
      </w:pPr>
      <w:r>
        <w:rPr>
          <w:color w:val="212121"/>
          <w:sz w:val="24"/>
          <w:szCs w:val="24"/>
        </w:rPr>
        <w:t xml:space="preserve">Ramos, N. Medical trauma in LGBTQIA youth: adapting trauma-informed affirming clinical practices. </w:t>
      </w:r>
      <w:r>
        <w:rPr>
          <w:i/>
          <w:color w:val="212121"/>
          <w:sz w:val="24"/>
          <w:szCs w:val="24"/>
        </w:rPr>
        <w:t>Pediatric annals</w:t>
      </w:r>
      <w:r>
        <w:rPr>
          <w:color w:val="212121"/>
          <w:sz w:val="24"/>
          <w:szCs w:val="24"/>
        </w:rPr>
        <w:t>. 2021; 50(9).</w:t>
      </w:r>
    </w:p>
    <w:p w14:paraId="00000024" w14:textId="77777777" w:rsidR="00463E84" w:rsidRDefault="00000000">
      <w:pPr>
        <w:numPr>
          <w:ilvl w:val="0"/>
          <w:numId w:val="1"/>
        </w:numPr>
        <w:spacing w:after="200"/>
        <w:ind w:right="360"/>
        <w:rPr>
          <w:color w:val="212121"/>
          <w:sz w:val="24"/>
          <w:szCs w:val="24"/>
        </w:rPr>
      </w:pPr>
      <w:r>
        <w:rPr>
          <w:color w:val="212121"/>
          <w:sz w:val="24"/>
          <w:szCs w:val="24"/>
        </w:rPr>
        <w:t xml:space="preserve">Rider GN, Vencill JA, Berg DR, Becker-Warner R, Candelario-Pérez L, Spencer KG. The gender affirmative lifespan approach (GALA): A framework for competent clinical care with nonbinary clients. </w:t>
      </w:r>
      <w:r>
        <w:rPr>
          <w:i/>
          <w:color w:val="212121"/>
          <w:sz w:val="24"/>
          <w:szCs w:val="24"/>
        </w:rPr>
        <w:t xml:space="preserve">Int J Transgend. </w:t>
      </w:r>
      <w:r>
        <w:rPr>
          <w:color w:val="212121"/>
          <w:sz w:val="24"/>
          <w:szCs w:val="24"/>
        </w:rPr>
        <w:t>2019; 20(2- 3):275-288.</w:t>
      </w:r>
    </w:p>
    <w:p w14:paraId="00000025" w14:textId="77777777" w:rsidR="00463E84" w:rsidRDefault="00000000">
      <w:pPr>
        <w:numPr>
          <w:ilvl w:val="0"/>
          <w:numId w:val="1"/>
        </w:numPr>
        <w:spacing w:after="200"/>
        <w:ind w:right="500"/>
        <w:rPr>
          <w:color w:val="212121"/>
          <w:sz w:val="24"/>
          <w:szCs w:val="24"/>
        </w:rPr>
      </w:pPr>
      <w:r>
        <w:rPr>
          <w:color w:val="212121"/>
          <w:sz w:val="24"/>
          <w:szCs w:val="24"/>
        </w:rPr>
        <w:t xml:space="preserve">Spencer, KG, Berg, DR, Bradford, NJ, Vencill, JA, Tellawi, G, &amp; Rider, G. The gender-affirmativelife span approach: A developmental model for clinical work with transgender and gender-diverse children, adolescents, and adults. </w:t>
      </w:r>
      <w:r>
        <w:rPr>
          <w:i/>
          <w:color w:val="212121"/>
          <w:sz w:val="24"/>
          <w:szCs w:val="24"/>
        </w:rPr>
        <w:t>Psychotherapy</w:t>
      </w:r>
      <w:r>
        <w:rPr>
          <w:color w:val="212121"/>
          <w:sz w:val="24"/>
          <w:szCs w:val="24"/>
        </w:rPr>
        <w:t>. 2021; 58(1), 37.</w:t>
      </w:r>
    </w:p>
    <w:p w14:paraId="00000026" w14:textId="77777777" w:rsidR="00463E84" w:rsidRDefault="00000000">
      <w:pPr>
        <w:numPr>
          <w:ilvl w:val="0"/>
          <w:numId w:val="1"/>
        </w:numPr>
        <w:spacing w:after="200"/>
        <w:ind w:right="440"/>
        <w:rPr>
          <w:color w:val="212121"/>
          <w:sz w:val="24"/>
          <w:szCs w:val="24"/>
        </w:rPr>
      </w:pPr>
      <w:r>
        <w:rPr>
          <w:color w:val="212121"/>
          <w:sz w:val="24"/>
          <w:szCs w:val="24"/>
        </w:rPr>
        <w:t xml:space="preserve">Spivey LA, Edwards-Leeper L. Future Directions in Affirmative Psychological Interventions withTransgender Children and Adolescents. </w:t>
      </w:r>
      <w:r>
        <w:rPr>
          <w:i/>
          <w:color w:val="212121"/>
          <w:sz w:val="24"/>
          <w:szCs w:val="24"/>
        </w:rPr>
        <w:t xml:space="preserve">J Clin Child Adolesc Psychol. </w:t>
      </w:r>
      <w:r>
        <w:rPr>
          <w:color w:val="212121"/>
          <w:sz w:val="24"/>
          <w:szCs w:val="24"/>
        </w:rPr>
        <w:t>2019 Mar-Apr;48(2):343-356.</w:t>
      </w:r>
    </w:p>
    <w:p w14:paraId="00000027" w14:textId="77777777" w:rsidR="00463E84" w:rsidRDefault="00000000">
      <w:pPr>
        <w:numPr>
          <w:ilvl w:val="0"/>
          <w:numId w:val="1"/>
        </w:numPr>
        <w:spacing w:after="200"/>
        <w:ind w:right="200"/>
        <w:rPr>
          <w:color w:val="212121"/>
          <w:sz w:val="24"/>
          <w:szCs w:val="24"/>
        </w:rPr>
      </w:pPr>
      <w:r>
        <w:rPr>
          <w:color w:val="212121"/>
          <w:sz w:val="24"/>
          <w:szCs w:val="24"/>
        </w:rPr>
        <w:t xml:space="preserve">Swenson I, Gates TG, Dentato MP, Kelly BL. Strengths-based behavioral telehealth with sexual andgender diverse clients at Center on Halsted. </w:t>
      </w:r>
      <w:r>
        <w:rPr>
          <w:i/>
          <w:color w:val="212121"/>
          <w:sz w:val="24"/>
          <w:szCs w:val="24"/>
        </w:rPr>
        <w:t xml:space="preserve">Soc Work Health Care. </w:t>
      </w:r>
      <w:r>
        <w:rPr>
          <w:color w:val="212121"/>
          <w:sz w:val="24"/>
          <w:szCs w:val="24"/>
        </w:rPr>
        <w:t>2021;60(1):78-92.</w:t>
      </w:r>
    </w:p>
    <w:p w14:paraId="00000028" w14:textId="77777777" w:rsidR="00463E84" w:rsidRDefault="00000000">
      <w:pPr>
        <w:numPr>
          <w:ilvl w:val="0"/>
          <w:numId w:val="1"/>
        </w:numPr>
        <w:spacing w:after="200"/>
        <w:ind w:right="680"/>
        <w:rPr>
          <w:color w:val="212121"/>
          <w:sz w:val="24"/>
          <w:szCs w:val="24"/>
        </w:rPr>
      </w:pPr>
      <w:r>
        <w:rPr>
          <w:color w:val="212121"/>
          <w:sz w:val="24"/>
          <w:szCs w:val="24"/>
        </w:rPr>
        <w:t xml:space="preserve">Vance SR Jr, Ehrensaft D, Rosenthal SM. Psychological and medical care of gender nonconforming youth. </w:t>
      </w:r>
      <w:r>
        <w:rPr>
          <w:i/>
          <w:color w:val="212121"/>
          <w:sz w:val="24"/>
          <w:szCs w:val="24"/>
        </w:rPr>
        <w:t xml:space="preserve">Pediatrics. </w:t>
      </w:r>
      <w:r>
        <w:rPr>
          <w:color w:val="212121"/>
          <w:sz w:val="24"/>
          <w:szCs w:val="24"/>
        </w:rPr>
        <w:t>2014 Dec;134(6):1184-92.</w:t>
      </w:r>
    </w:p>
    <w:p w14:paraId="00000029" w14:textId="77777777" w:rsidR="00463E84" w:rsidRDefault="00000000">
      <w:pPr>
        <w:numPr>
          <w:ilvl w:val="0"/>
          <w:numId w:val="1"/>
        </w:numPr>
        <w:spacing w:after="200"/>
        <w:ind w:right="740"/>
        <w:rPr>
          <w:color w:val="212121"/>
          <w:sz w:val="24"/>
          <w:szCs w:val="24"/>
        </w:rPr>
      </w:pPr>
      <w:r>
        <w:rPr>
          <w:color w:val="212121"/>
          <w:sz w:val="24"/>
          <w:szCs w:val="24"/>
        </w:rPr>
        <w:t xml:space="preserve">Vaughan M, Ergun G, Williams J. This Being is a Guest House: Embracing Humility, Liberation&amp; Strengths in Therapy with Sexual and Gender Diverse Muslims. </w:t>
      </w:r>
      <w:r>
        <w:rPr>
          <w:i/>
          <w:color w:val="212121"/>
          <w:sz w:val="24"/>
          <w:szCs w:val="24"/>
        </w:rPr>
        <w:t>J Homosex</w:t>
      </w:r>
      <w:r>
        <w:rPr>
          <w:color w:val="212121"/>
          <w:sz w:val="24"/>
          <w:szCs w:val="24"/>
        </w:rPr>
        <w:t>. 2021; 68(7):1196-1222.</w:t>
      </w:r>
    </w:p>
    <w:p w14:paraId="0000002A" w14:textId="77777777" w:rsidR="00463E84" w:rsidRDefault="00000000">
      <w:pPr>
        <w:numPr>
          <w:ilvl w:val="0"/>
          <w:numId w:val="1"/>
        </w:numPr>
        <w:spacing w:after="200"/>
        <w:ind w:right="320"/>
        <w:rPr>
          <w:color w:val="212121"/>
          <w:sz w:val="24"/>
          <w:szCs w:val="24"/>
        </w:rPr>
      </w:pPr>
      <w:r>
        <w:rPr>
          <w:color w:val="212121"/>
          <w:sz w:val="24"/>
          <w:szCs w:val="24"/>
        </w:rPr>
        <w:t xml:space="preserve">White Hughto JM, Reisner SL, Pachankis JE. Transgender stigma and health: A critical review of stigma determinants, mechanisms, and interventions. </w:t>
      </w:r>
      <w:r>
        <w:rPr>
          <w:i/>
          <w:color w:val="212121"/>
          <w:sz w:val="24"/>
          <w:szCs w:val="24"/>
        </w:rPr>
        <w:t xml:space="preserve">Soc Sci Med. </w:t>
      </w:r>
      <w:r>
        <w:rPr>
          <w:color w:val="212121"/>
          <w:sz w:val="24"/>
          <w:szCs w:val="24"/>
        </w:rPr>
        <w:t>2015 Dec;147:222-31.</w:t>
      </w:r>
    </w:p>
    <w:p w14:paraId="0000002B" w14:textId="77777777" w:rsidR="00463E84" w:rsidRDefault="00000000">
      <w:pPr>
        <w:numPr>
          <w:ilvl w:val="0"/>
          <w:numId w:val="1"/>
        </w:numPr>
        <w:spacing w:after="200"/>
        <w:ind w:right="400"/>
        <w:rPr>
          <w:color w:val="212121"/>
          <w:sz w:val="24"/>
          <w:szCs w:val="24"/>
        </w:rPr>
      </w:pPr>
      <w:r>
        <w:rPr>
          <w:color w:val="212121"/>
          <w:sz w:val="24"/>
          <w:szCs w:val="24"/>
        </w:rPr>
        <w:t xml:space="preserve">Wylie K, Knudson G, Khan SI, Bonierbale M, Watanyusakul S, Baral S. Serving transgender people: clinical care considerations and service delivery models in transgender health. </w:t>
      </w:r>
      <w:r>
        <w:rPr>
          <w:i/>
          <w:color w:val="212121"/>
          <w:sz w:val="24"/>
          <w:szCs w:val="24"/>
        </w:rPr>
        <w:t>Lancet</w:t>
      </w:r>
      <w:r>
        <w:rPr>
          <w:color w:val="212121"/>
          <w:sz w:val="24"/>
          <w:szCs w:val="24"/>
        </w:rPr>
        <w:t>. 2016 Jul 23;388(10042):401-411.</w:t>
      </w:r>
    </w:p>
    <w:p w14:paraId="6C2CA550" w14:textId="77777777" w:rsidR="00E433EC" w:rsidRDefault="00E433EC" w:rsidP="00E433EC">
      <w:pPr>
        <w:spacing w:after="200"/>
        <w:ind w:right="400"/>
        <w:rPr>
          <w:color w:val="212121"/>
          <w:sz w:val="24"/>
          <w:szCs w:val="24"/>
        </w:rPr>
      </w:pPr>
    </w:p>
    <w:p w14:paraId="1A55C73A" w14:textId="42316ACE" w:rsidR="00E433EC" w:rsidRPr="00E433EC" w:rsidRDefault="00E433EC" w:rsidP="00E433EC">
      <w:pPr>
        <w:pStyle w:val="Bibliography"/>
        <w:rPr>
          <w:b/>
          <w:bCs/>
          <w:color w:val="212121"/>
        </w:rPr>
      </w:pPr>
      <w:r w:rsidRPr="00E433EC">
        <w:rPr>
          <w:b/>
          <w:bCs/>
          <w:color w:val="212121"/>
        </w:rPr>
        <w:lastRenderedPageBreak/>
        <w:t>Reference</w:t>
      </w:r>
      <w:r>
        <w:rPr>
          <w:b/>
          <w:bCs/>
          <w:color w:val="212121"/>
        </w:rPr>
        <w:fldChar w:fldCharType="begin"/>
      </w:r>
      <w:r w:rsidRPr="00E433EC">
        <w:rPr>
          <w:b/>
          <w:bCs/>
          <w:color w:val="212121"/>
        </w:rPr>
        <w:instrText xml:space="preserve"> ADDIN ZOTERO_BIBL {"uncited":[],"omitted":[],"custom":[]} CSL_BIBLIOGRAPHY </w:instrText>
      </w:r>
      <w:r>
        <w:rPr>
          <w:b/>
          <w:bCs/>
          <w:color w:val="212121"/>
        </w:rPr>
        <w:fldChar w:fldCharType="separate"/>
      </w:r>
    </w:p>
    <w:p w14:paraId="25FFDD97" w14:textId="47E43F1B" w:rsidR="00E433EC" w:rsidRPr="00E433EC" w:rsidRDefault="00E433EC" w:rsidP="00E433EC">
      <w:pPr>
        <w:pStyle w:val="Bibliography"/>
        <w:rPr>
          <w:color w:val="000000"/>
          <w:sz w:val="24"/>
          <w:lang w:val="en-US"/>
        </w:rPr>
      </w:pPr>
      <w:r w:rsidRPr="00E433EC">
        <w:rPr>
          <w:color w:val="000000"/>
          <w:sz w:val="24"/>
          <w:lang w:val="en-US"/>
        </w:rPr>
        <w:t>1.</w:t>
      </w:r>
      <w:r w:rsidRPr="00E433EC">
        <w:rPr>
          <w:color w:val="000000"/>
          <w:sz w:val="24"/>
          <w:lang w:val="en-US"/>
        </w:rPr>
        <w:tab/>
        <w:t xml:space="preserve">Price MA, Rakhilin M, Johansen K, Collins L, Pachankis JE, Lyon AR, et al. Gender-Affirming Psychotherapy (GAP): Core Principles and Skills to Reduce the Mental Health Care “GAP” for Transgender Youths. Psychiatr Serv. 2024 Jun 19;appi.ps.20230460. </w:t>
      </w:r>
    </w:p>
    <w:p w14:paraId="6982923B" w14:textId="63E4B947" w:rsidR="00E433EC" w:rsidRDefault="00E433EC" w:rsidP="00E433EC">
      <w:pPr>
        <w:spacing w:after="200"/>
        <w:ind w:right="400"/>
        <w:rPr>
          <w:color w:val="212121"/>
          <w:sz w:val="24"/>
          <w:szCs w:val="24"/>
        </w:rPr>
      </w:pPr>
      <w:r>
        <w:rPr>
          <w:color w:val="212121"/>
          <w:sz w:val="24"/>
          <w:szCs w:val="24"/>
        </w:rPr>
        <w:fldChar w:fldCharType="end"/>
      </w:r>
    </w:p>
    <w:sectPr w:rsidR="00E433E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7C2F74"/>
    <w:multiLevelType w:val="multilevel"/>
    <w:tmpl w:val="4F3643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180510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E84"/>
    <w:rsid w:val="000A1FF6"/>
    <w:rsid w:val="00263721"/>
    <w:rsid w:val="00463E84"/>
    <w:rsid w:val="00E433EC"/>
    <w:rsid w:val="00F601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B455E8"/>
  <w15:docId w15:val="{1FF9343F-020E-514F-ADBB-A6D4B648E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ibliography">
    <w:name w:val="Bibliography"/>
    <w:basedOn w:val="Normal"/>
    <w:next w:val="Normal"/>
    <w:uiPriority w:val="37"/>
    <w:unhideWhenUsed/>
    <w:rsid w:val="00E433EC"/>
    <w:pPr>
      <w:tabs>
        <w:tab w:val="left" w:pos="260"/>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1667</Words>
  <Characters>9506</Characters>
  <Application>Microsoft Office Word</Application>
  <DocSecurity>0</DocSecurity>
  <Lines>79</Lines>
  <Paragraphs>22</Paragraphs>
  <ScaleCrop>false</ScaleCrop>
  <Company/>
  <LinksUpToDate>false</LinksUpToDate>
  <CharactersWithSpaces>11151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3</cp:revision>
  <dcterms:created xsi:type="dcterms:W3CDTF">2025-02-18T21:39:00Z</dcterms:created>
  <dcterms:modified xsi:type="dcterms:W3CDTF">2025-02-19T21:24:00Z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id="xRIHxmVa"/&gt;&lt;style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