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79C04E" w14:textId="77777777" w:rsidR="0079457F" w:rsidRPr="0055354F" w:rsidRDefault="0079457F" w:rsidP="0079457F">
      <w:pPr>
        <w:pStyle w:val="Heading1"/>
        <w:rPr>
          <w:lang w:val="en-GB"/>
        </w:rPr>
      </w:pPr>
      <w:r>
        <w:rPr>
          <w:rFonts w:hint="eastAsia"/>
        </w:rPr>
        <w:t>Extended Data</w:t>
      </w:r>
    </w:p>
    <w:p w14:paraId="4CD33246" w14:textId="77777777" w:rsidR="0079457F" w:rsidRPr="00B13802" w:rsidRDefault="0079457F" w:rsidP="0079457F">
      <w:pPr>
        <w:rPr>
          <w:b/>
          <w:bCs/>
          <w:szCs w:val="22"/>
        </w:rPr>
      </w:pPr>
      <w:r>
        <w:rPr>
          <w:noProof/>
        </w:rPr>
        <w:drawing>
          <wp:inline distT="0" distB="0" distL="0" distR="0" wp14:anchorId="607C8F76" wp14:editId="25988633">
            <wp:extent cx="5400040" cy="3148965"/>
            <wp:effectExtent l="0" t="0" r="0" b="0"/>
            <wp:docPr id="1099525703" name="Picture 1" descr="A collage of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525703" name="Picture 1" descr="A collage of diagram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14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szCs w:val="24"/>
          <w:lang w:val="en-GB"/>
        </w:rPr>
        <w:br/>
      </w:r>
      <w:r>
        <w:rPr>
          <w:rFonts w:cstheme="minorHAnsi" w:hint="eastAsia"/>
          <w:b/>
          <w:lang w:val="en-GB"/>
        </w:rPr>
        <w:t xml:space="preserve">Extended Data </w:t>
      </w:r>
      <w:r w:rsidRPr="0055354F">
        <w:rPr>
          <w:rFonts w:cstheme="minorHAnsi"/>
          <w:b/>
          <w:lang w:val="en-GB"/>
        </w:rPr>
        <w:t>Fig.</w:t>
      </w:r>
      <w:r w:rsidRPr="0055354F">
        <w:rPr>
          <w:rFonts w:cstheme="minorHAnsi"/>
          <w:b/>
          <w:bCs/>
          <w:szCs w:val="24"/>
          <w:lang w:val="en-GB"/>
        </w:rPr>
        <w:t xml:space="preserve"> </w:t>
      </w:r>
      <w:r w:rsidRPr="0055354F">
        <w:rPr>
          <w:rFonts w:cstheme="minorHAnsi"/>
          <w:b/>
          <w:lang w:val="en-GB"/>
        </w:rPr>
        <w:t>1</w:t>
      </w:r>
      <w:r w:rsidRPr="0055354F">
        <w:rPr>
          <w:rFonts w:cstheme="minorHAnsi"/>
          <w:b/>
          <w:bCs/>
          <w:szCs w:val="24"/>
          <w:lang w:val="en-GB"/>
        </w:rPr>
        <w:t xml:space="preserve"> |</w:t>
      </w:r>
      <w:r w:rsidRPr="0055354F">
        <w:rPr>
          <w:rFonts w:cstheme="minorHAnsi"/>
          <w:b/>
          <w:lang w:val="en-GB"/>
        </w:rPr>
        <w:t xml:space="preserve"> Fossil fuel phase-out and energy system transformation.</w:t>
      </w:r>
      <w:r w:rsidRPr="0055354F">
        <w:rPr>
          <w:rFonts w:cstheme="minorHAnsi"/>
          <w:lang w:val="en-GB"/>
        </w:rPr>
        <w:t xml:space="preserve"> </w:t>
      </w:r>
      <w:r w:rsidRPr="0055354F">
        <w:rPr>
          <w:rFonts w:cstheme="minorHAnsi"/>
          <w:b/>
          <w:lang w:val="en-GB"/>
        </w:rPr>
        <w:t>a</w:t>
      </w:r>
      <w:r w:rsidRPr="0055354F">
        <w:rPr>
          <w:rFonts w:cstheme="minorHAnsi"/>
          <w:b/>
          <w:bCs/>
          <w:szCs w:val="24"/>
          <w:lang w:val="en-GB"/>
        </w:rPr>
        <w:t>–</w:t>
      </w:r>
      <w:r w:rsidRPr="0055354F">
        <w:rPr>
          <w:rFonts w:cstheme="minorHAnsi"/>
          <w:b/>
          <w:lang w:val="en-GB"/>
        </w:rPr>
        <w:t>c</w:t>
      </w:r>
      <w:r w:rsidRPr="0055354F">
        <w:rPr>
          <w:rFonts w:cstheme="minorHAnsi"/>
          <w:lang w:val="en-GB"/>
        </w:rPr>
        <w:t>,</w:t>
      </w:r>
      <w:r w:rsidRPr="0055354F">
        <w:rPr>
          <w:rFonts w:cstheme="minorHAnsi"/>
          <w:b/>
          <w:lang w:val="en-GB"/>
        </w:rPr>
        <w:t xml:space="preserve"> </w:t>
      </w:r>
      <w:r w:rsidRPr="0055354F">
        <w:rPr>
          <w:rFonts w:cstheme="minorHAnsi"/>
          <w:lang w:val="en-GB"/>
        </w:rPr>
        <w:t>Energy mix for primary energy (</w:t>
      </w:r>
      <w:r w:rsidRPr="0055354F">
        <w:rPr>
          <w:rFonts w:cstheme="minorHAnsi"/>
          <w:b/>
          <w:lang w:val="en-GB"/>
        </w:rPr>
        <w:t>a</w:t>
      </w:r>
      <w:r w:rsidRPr="0055354F">
        <w:rPr>
          <w:rFonts w:cstheme="minorHAnsi"/>
          <w:lang w:val="en-GB"/>
        </w:rPr>
        <w:t>), power generation (</w:t>
      </w:r>
      <w:r w:rsidRPr="0055354F">
        <w:rPr>
          <w:rFonts w:cstheme="minorHAnsi"/>
          <w:b/>
          <w:lang w:val="en-GB"/>
        </w:rPr>
        <w:t>b</w:t>
      </w:r>
      <w:r w:rsidRPr="0055354F">
        <w:rPr>
          <w:rFonts w:cstheme="minorHAnsi"/>
          <w:lang w:val="en-GB"/>
        </w:rPr>
        <w:t>), and final energy (</w:t>
      </w:r>
      <w:r w:rsidRPr="0055354F">
        <w:rPr>
          <w:rFonts w:cstheme="minorHAnsi"/>
          <w:b/>
          <w:lang w:val="en-GB"/>
        </w:rPr>
        <w:t>c</w:t>
      </w:r>
      <w:r w:rsidRPr="0055354F">
        <w:rPr>
          <w:rFonts w:cstheme="minorHAnsi"/>
          <w:lang w:val="en-GB"/>
        </w:rPr>
        <w:t>) in 2</w:t>
      </w:r>
      <w:r>
        <w:rPr>
          <w:rFonts w:cstheme="minorHAnsi" w:hint="eastAsia"/>
          <w:lang w:val="en-GB"/>
        </w:rPr>
        <w:t>100</w:t>
      </w:r>
      <w:r w:rsidRPr="0055354F">
        <w:rPr>
          <w:rFonts w:cstheme="minorHAnsi"/>
          <w:lang w:val="en-GB"/>
        </w:rPr>
        <w:t xml:space="preserve">. </w:t>
      </w:r>
      <w:r w:rsidRPr="0055354F">
        <w:rPr>
          <w:rFonts w:cstheme="minorHAnsi"/>
          <w:szCs w:val="24"/>
          <w:lang w:val="en-GB"/>
        </w:rPr>
        <w:t>Coloured symbols</w:t>
      </w:r>
      <w:r w:rsidRPr="0055354F">
        <w:rPr>
          <w:rFonts w:cstheme="minorHAnsi"/>
          <w:lang w:val="en-GB"/>
        </w:rPr>
        <w:t xml:space="preserve"> represent energy </w:t>
      </w:r>
      <w:r w:rsidRPr="0055354F">
        <w:rPr>
          <w:rFonts w:cstheme="minorHAnsi"/>
          <w:szCs w:val="24"/>
          <w:lang w:val="en-GB"/>
        </w:rPr>
        <w:t>mixes</w:t>
      </w:r>
      <w:r w:rsidRPr="0055354F">
        <w:rPr>
          <w:rFonts w:cstheme="minorHAnsi"/>
          <w:lang w:val="en-GB"/>
        </w:rPr>
        <w:t xml:space="preserve"> by scenario and model. Grey </w:t>
      </w:r>
      <w:r w:rsidRPr="0055354F">
        <w:rPr>
          <w:rFonts w:cstheme="minorHAnsi"/>
          <w:szCs w:val="24"/>
          <w:lang w:val="en-GB"/>
        </w:rPr>
        <w:t>symbols represent</w:t>
      </w:r>
      <w:r w:rsidRPr="0055354F">
        <w:rPr>
          <w:rFonts w:cstheme="minorHAnsi"/>
          <w:lang w:val="en-GB"/>
        </w:rPr>
        <w:t xml:space="preserve"> the energy </w:t>
      </w:r>
      <w:r w:rsidRPr="0055354F">
        <w:rPr>
          <w:rFonts w:cstheme="minorHAnsi"/>
          <w:szCs w:val="24"/>
          <w:lang w:val="en-GB"/>
        </w:rPr>
        <w:t>mixes of the Intergovernmental Panel on Climate Change Sixth Assessment Report (</w:t>
      </w:r>
      <w:r w:rsidRPr="0055354F">
        <w:rPr>
          <w:rFonts w:cstheme="minorHAnsi"/>
          <w:lang w:val="en-GB"/>
        </w:rPr>
        <w:t>IPCC AR6</w:t>
      </w:r>
      <w:r w:rsidRPr="0055354F">
        <w:rPr>
          <w:rFonts w:cstheme="minorHAnsi"/>
          <w:szCs w:val="24"/>
          <w:lang w:val="en-GB"/>
        </w:rPr>
        <w:t>)</w:t>
      </w:r>
      <w:r w:rsidRPr="0055354F">
        <w:rPr>
          <w:rFonts w:cstheme="minorHAnsi"/>
          <w:lang w:val="en-GB"/>
        </w:rPr>
        <w:t xml:space="preserve"> C1 and C2 scenarios </w:t>
      </w:r>
      <w:r w:rsidRPr="0055354F">
        <w:rPr>
          <w:rFonts w:cstheme="minorHAnsi"/>
          <w:szCs w:val="24"/>
          <w:lang w:val="en-GB"/>
        </w:rPr>
        <w:t>for</w:t>
      </w:r>
      <w:r w:rsidRPr="0055354F">
        <w:rPr>
          <w:rFonts w:cstheme="minorHAnsi"/>
          <w:lang w:val="en-GB"/>
        </w:rPr>
        <w:t xml:space="preserve"> 2</w:t>
      </w:r>
      <w:r>
        <w:rPr>
          <w:rFonts w:cstheme="minorHAnsi" w:hint="eastAsia"/>
          <w:lang w:val="en-GB"/>
        </w:rPr>
        <w:t>100</w:t>
      </w:r>
      <w:r w:rsidRPr="0055354F">
        <w:rPr>
          <w:rFonts w:cstheme="minorHAnsi"/>
          <w:szCs w:val="24"/>
          <w:lang w:val="en-GB"/>
        </w:rPr>
        <w:t>.</w:t>
      </w:r>
      <w:r w:rsidRPr="0055354F">
        <w:rPr>
          <w:rFonts w:cstheme="minorHAnsi"/>
          <w:lang w:val="en-GB"/>
        </w:rPr>
        <w:t xml:space="preserve"> Black </w:t>
      </w:r>
      <w:r w:rsidRPr="0055354F">
        <w:rPr>
          <w:rFonts w:cstheme="minorHAnsi"/>
          <w:szCs w:val="24"/>
          <w:lang w:val="en-GB"/>
        </w:rPr>
        <w:t>symbols represent the</w:t>
      </w:r>
      <w:r w:rsidRPr="0055354F">
        <w:rPr>
          <w:rFonts w:cstheme="minorHAnsi"/>
          <w:lang w:val="en-GB"/>
        </w:rPr>
        <w:t xml:space="preserve"> historical energy mix </w:t>
      </w:r>
      <w:r w:rsidRPr="0055354F">
        <w:rPr>
          <w:rFonts w:cstheme="minorHAnsi"/>
          <w:szCs w:val="24"/>
          <w:lang w:val="en-GB"/>
        </w:rPr>
        <w:t>for</w:t>
      </w:r>
      <w:r w:rsidRPr="0055354F">
        <w:rPr>
          <w:rFonts w:cstheme="minorHAnsi"/>
          <w:lang w:val="en-GB"/>
        </w:rPr>
        <w:t xml:space="preserve"> 2020</w:t>
      </w:r>
      <w:r w:rsidRPr="0055354F">
        <w:rPr>
          <w:rFonts w:cstheme="minorHAnsi"/>
          <w:szCs w:val="24"/>
          <w:lang w:val="en-GB"/>
        </w:rPr>
        <w:t>, based on the International Energy Agency</w:t>
      </w:r>
      <w:r w:rsidRPr="0055354F">
        <w:rPr>
          <w:rFonts w:cstheme="minorHAnsi"/>
          <w:lang w:val="en-GB"/>
        </w:rPr>
        <w:t xml:space="preserve"> (IEA) energy balance</w:t>
      </w:r>
      <w:r w:rsidRPr="0055354F">
        <w:rPr>
          <w:rFonts w:cstheme="minorHAnsi"/>
          <w:kern w:val="0"/>
          <w:vertAlign w:val="superscript"/>
          <w:lang w:val="en-GB"/>
        </w:rPr>
        <w:t>38</w:t>
      </w:r>
      <w:r w:rsidRPr="0055354F">
        <w:rPr>
          <w:rFonts w:cstheme="minorHAnsi"/>
          <w:lang w:val="en-GB"/>
        </w:rPr>
        <w:t xml:space="preserve">. </w:t>
      </w:r>
      <w:r w:rsidRPr="003D50F6">
        <w:rPr>
          <w:b/>
          <w:bCs/>
          <w:szCs w:val="22"/>
        </w:rPr>
        <w:t>d</w:t>
      </w:r>
      <w:r w:rsidRPr="0055354F">
        <w:rPr>
          <w:rFonts w:cstheme="minorHAnsi"/>
          <w:b/>
          <w:bCs/>
          <w:szCs w:val="24"/>
          <w:lang w:val="en-GB"/>
        </w:rPr>
        <w:t>–</w:t>
      </w:r>
      <w:r>
        <w:rPr>
          <w:rFonts w:hint="eastAsia"/>
          <w:b/>
          <w:bCs/>
          <w:szCs w:val="22"/>
        </w:rPr>
        <w:t>f</w:t>
      </w:r>
      <w:r w:rsidRPr="003D50F6">
        <w:rPr>
          <w:szCs w:val="22"/>
        </w:rPr>
        <w:t xml:space="preserve">, Annual primary energy supply </w:t>
      </w:r>
      <w:r>
        <w:rPr>
          <w:rFonts w:hint="eastAsia"/>
          <w:szCs w:val="22"/>
        </w:rPr>
        <w:t>from</w:t>
      </w:r>
      <w:r w:rsidRPr="003D50F6">
        <w:rPr>
          <w:szCs w:val="22"/>
        </w:rPr>
        <w:t xml:space="preserve"> </w:t>
      </w:r>
      <w:r w:rsidRPr="0004257E">
        <w:rPr>
          <w:rFonts w:hint="eastAsia"/>
          <w:szCs w:val="22"/>
        </w:rPr>
        <w:t>coal (</w:t>
      </w:r>
      <w:r w:rsidRPr="0004257E">
        <w:rPr>
          <w:rFonts w:hint="eastAsia"/>
          <w:b/>
          <w:bCs/>
          <w:szCs w:val="22"/>
        </w:rPr>
        <w:t>d</w:t>
      </w:r>
      <w:r w:rsidRPr="0004257E">
        <w:rPr>
          <w:rFonts w:hint="eastAsia"/>
          <w:szCs w:val="22"/>
        </w:rPr>
        <w:t>), crude oil (</w:t>
      </w:r>
      <w:r w:rsidRPr="0004257E">
        <w:rPr>
          <w:rFonts w:hint="eastAsia"/>
          <w:b/>
          <w:bCs/>
          <w:szCs w:val="22"/>
        </w:rPr>
        <w:t>e</w:t>
      </w:r>
      <w:r w:rsidRPr="0004257E">
        <w:rPr>
          <w:rFonts w:hint="eastAsia"/>
          <w:szCs w:val="22"/>
        </w:rPr>
        <w:t>) and natural gas (</w:t>
      </w:r>
      <w:r w:rsidRPr="0004257E">
        <w:rPr>
          <w:rFonts w:hint="eastAsia"/>
          <w:b/>
          <w:bCs/>
          <w:szCs w:val="22"/>
        </w:rPr>
        <w:t>f</w:t>
      </w:r>
      <w:r w:rsidRPr="0004257E">
        <w:rPr>
          <w:rFonts w:hint="eastAsia"/>
          <w:szCs w:val="22"/>
        </w:rPr>
        <w:t xml:space="preserve">) </w:t>
      </w:r>
      <w:r w:rsidRPr="003D50F6">
        <w:rPr>
          <w:szCs w:val="22"/>
        </w:rPr>
        <w:t xml:space="preserve">from 2020 to 2100. Box plots illustrate primary energy supply </w:t>
      </w:r>
      <w:r>
        <w:rPr>
          <w:rFonts w:hint="eastAsia"/>
          <w:szCs w:val="22"/>
        </w:rPr>
        <w:t>from</w:t>
      </w:r>
      <w:r w:rsidRPr="003D50F6">
        <w:rPr>
          <w:szCs w:val="22"/>
        </w:rPr>
        <w:t xml:space="preserve"> fossil fuels in IPCC AR6 C1 </w:t>
      </w:r>
      <w:r>
        <w:rPr>
          <w:rFonts w:hint="eastAsia"/>
          <w:szCs w:val="22"/>
        </w:rPr>
        <w:t>and C2</w:t>
      </w:r>
      <w:r w:rsidRPr="003D50F6">
        <w:rPr>
          <w:szCs w:val="22"/>
        </w:rPr>
        <w:t xml:space="preserve"> scenarios in 2030, 2050, 2070 and 2100.</w:t>
      </w:r>
      <w:r>
        <w:rPr>
          <w:rFonts w:hint="eastAsia"/>
          <w:b/>
          <w:bCs/>
          <w:szCs w:val="22"/>
        </w:rPr>
        <w:t xml:space="preserve"> </w:t>
      </w:r>
      <w:r w:rsidRPr="0055354F">
        <w:rPr>
          <w:rFonts w:cstheme="minorHAnsi"/>
          <w:szCs w:val="24"/>
          <w:lang w:val="en-GB"/>
        </w:rPr>
        <w:t>In this study, primary</w:t>
      </w:r>
      <w:r w:rsidRPr="0055354F">
        <w:rPr>
          <w:rFonts w:cstheme="minorHAnsi"/>
          <w:lang w:val="en-GB"/>
        </w:rPr>
        <w:t xml:space="preserve"> energy accounting </w:t>
      </w:r>
      <w:r w:rsidRPr="0055354F">
        <w:rPr>
          <w:rFonts w:cstheme="minorHAnsi"/>
          <w:szCs w:val="24"/>
          <w:lang w:val="en-GB"/>
        </w:rPr>
        <w:t>was</w:t>
      </w:r>
      <w:r w:rsidRPr="0055354F">
        <w:rPr>
          <w:rFonts w:cstheme="minorHAnsi"/>
          <w:lang w:val="en-GB"/>
        </w:rPr>
        <w:t xml:space="preserve"> based on the direct</w:t>
      </w:r>
      <w:r w:rsidRPr="0055354F">
        <w:rPr>
          <w:rFonts w:cstheme="minorHAnsi"/>
          <w:szCs w:val="24"/>
          <w:lang w:val="en-GB"/>
        </w:rPr>
        <w:t xml:space="preserve"> </w:t>
      </w:r>
      <w:r w:rsidRPr="0055354F">
        <w:rPr>
          <w:rFonts w:cstheme="minorHAnsi"/>
          <w:lang w:val="en-GB"/>
        </w:rPr>
        <w:t>equivalent method</w:t>
      </w:r>
      <w:r w:rsidRPr="0055354F">
        <w:rPr>
          <w:rFonts w:cstheme="minorHAnsi"/>
          <w:szCs w:val="24"/>
          <w:lang w:val="en-GB"/>
        </w:rPr>
        <w:t>,</w:t>
      </w:r>
      <w:r w:rsidRPr="0055354F">
        <w:rPr>
          <w:rFonts w:cstheme="minorHAnsi"/>
          <w:lang w:val="en-GB"/>
        </w:rPr>
        <w:t xml:space="preserve"> which systematically reduces the contribution of non-combustible energy sources such as </w:t>
      </w:r>
      <w:r w:rsidRPr="0055354F">
        <w:rPr>
          <w:rFonts w:cstheme="minorHAnsi"/>
          <w:szCs w:val="24"/>
        </w:rPr>
        <w:t>hydro</w:t>
      </w:r>
      <w:r w:rsidRPr="0055354F">
        <w:rPr>
          <w:rFonts w:cstheme="minorHAnsi"/>
          <w:lang w:val="en-GB"/>
        </w:rPr>
        <w:t>, nuclear, solar</w:t>
      </w:r>
      <w:r w:rsidRPr="0055354F">
        <w:rPr>
          <w:rFonts w:cstheme="minorHAnsi"/>
          <w:szCs w:val="24"/>
          <w:lang w:val="en-GB"/>
        </w:rPr>
        <w:t>,</w:t>
      </w:r>
      <w:r w:rsidRPr="0055354F">
        <w:rPr>
          <w:rFonts w:cstheme="minorHAnsi"/>
          <w:lang w:val="en-GB"/>
        </w:rPr>
        <w:t xml:space="preserve"> and wind</w:t>
      </w:r>
      <w:r w:rsidRPr="0055354F">
        <w:rPr>
          <w:rFonts w:cstheme="minorHAnsi"/>
          <w:szCs w:val="24"/>
          <w:lang w:val="en-GB"/>
        </w:rPr>
        <w:t xml:space="preserve"> energy</w:t>
      </w:r>
      <w:r w:rsidRPr="0055354F">
        <w:rPr>
          <w:rFonts w:cstheme="minorHAnsi"/>
          <w:lang w:val="en-GB"/>
        </w:rPr>
        <w:t xml:space="preserve"> compared to combustible fuels</w:t>
      </w:r>
      <w:r w:rsidRPr="0055354F">
        <w:rPr>
          <w:rFonts w:cstheme="minorHAnsi"/>
          <w:kern w:val="0"/>
          <w:vertAlign w:val="superscript"/>
        </w:rPr>
        <w:t>39</w:t>
      </w:r>
      <w:r w:rsidRPr="0055354F">
        <w:rPr>
          <w:rFonts w:cstheme="minorHAnsi"/>
          <w:lang w:val="en-GB"/>
        </w:rPr>
        <w:t>.</w:t>
      </w:r>
    </w:p>
    <w:p w14:paraId="5D3C7B46" w14:textId="77777777" w:rsidR="0079457F" w:rsidRDefault="0079457F" w:rsidP="0079457F">
      <w:pPr>
        <w:widowControl/>
        <w:jc w:val="left"/>
        <w:rPr>
          <w:rFonts w:cstheme="minorHAnsi"/>
          <w:szCs w:val="24"/>
          <w:lang w:val="en-GB"/>
        </w:rPr>
      </w:pPr>
      <w:r>
        <w:rPr>
          <w:rFonts w:cstheme="minorHAnsi"/>
          <w:szCs w:val="24"/>
          <w:lang w:val="en-GB"/>
        </w:rPr>
        <w:br w:type="page"/>
      </w:r>
    </w:p>
    <w:p w14:paraId="74521015" w14:textId="77777777" w:rsidR="0079457F" w:rsidRDefault="0079457F" w:rsidP="0079457F">
      <w:pPr>
        <w:spacing w:line="259" w:lineRule="auto"/>
        <w:contextualSpacing/>
        <w:rPr>
          <w:rFonts w:cstheme="minorHAnsi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67610E51" wp14:editId="116F37AF">
            <wp:extent cx="5400040" cy="3296920"/>
            <wp:effectExtent l="0" t="0" r="0" b="0"/>
            <wp:docPr id="626923748" name="Picture 4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923748" name="Picture 4" descr="A graph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29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3FE5CD" w14:textId="77777777" w:rsidR="0079457F" w:rsidRPr="00CE48D4" w:rsidRDefault="0079457F" w:rsidP="0079457F">
      <w:pPr>
        <w:widowControl/>
        <w:rPr>
          <w:szCs w:val="22"/>
        </w:rPr>
      </w:pPr>
      <w:r>
        <w:rPr>
          <w:rFonts w:cstheme="minorHAnsi" w:hint="eastAsia"/>
          <w:b/>
          <w:lang w:val="en-GB"/>
        </w:rPr>
        <w:t xml:space="preserve">Extended Data </w:t>
      </w:r>
      <w:r w:rsidRPr="0055354F">
        <w:rPr>
          <w:rFonts w:cstheme="minorHAnsi"/>
          <w:b/>
          <w:lang w:val="en-GB"/>
        </w:rPr>
        <w:t>Fig.</w:t>
      </w:r>
      <w:r w:rsidRPr="0055354F">
        <w:rPr>
          <w:rFonts w:cstheme="minorHAnsi"/>
          <w:b/>
          <w:bCs/>
          <w:szCs w:val="24"/>
          <w:lang w:val="en-GB"/>
        </w:rPr>
        <w:t xml:space="preserve"> </w:t>
      </w:r>
      <w:r>
        <w:rPr>
          <w:rFonts w:cstheme="minorHAnsi" w:hint="eastAsia"/>
          <w:b/>
          <w:lang w:val="en-GB"/>
        </w:rPr>
        <w:t>2</w:t>
      </w:r>
      <w:r w:rsidRPr="0055354F">
        <w:rPr>
          <w:rFonts w:cstheme="minorHAnsi"/>
          <w:b/>
          <w:bCs/>
          <w:szCs w:val="24"/>
          <w:lang w:val="en-GB"/>
        </w:rPr>
        <w:t xml:space="preserve"> |</w:t>
      </w:r>
      <w:r>
        <w:rPr>
          <w:rFonts w:cstheme="minorHAnsi" w:hint="eastAsia"/>
          <w:b/>
          <w:bCs/>
          <w:szCs w:val="24"/>
          <w:lang w:val="en-GB"/>
        </w:rPr>
        <w:t xml:space="preserve"> </w:t>
      </w:r>
      <w:r w:rsidRPr="0055354F">
        <w:rPr>
          <w:rFonts w:cstheme="minorHAnsi"/>
          <w:b/>
          <w:bCs/>
          <w:szCs w:val="24"/>
          <w:lang w:val="en-GB"/>
        </w:rPr>
        <w:t>Transformation to ZF energy systems</w:t>
      </w:r>
      <w:r w:rsidRPr="0055354F">
        <w:rPr>
          <w:rFonts w:cstheme="minorHAnsi"/>
          <w:b/>
          <w:lang w:val="en-GB"/>
        </w:rPr>
        <w:t xml:space="preserve"> in energy demand sectors</w:t>
      </w:r>
      <w:r w:rsidRPr="0055354F">
        <w:rPr>
          <w:rFonts w:cstheme="minorHAnsi"/>
          <w:szCs w:val="24"/>
          <w:lang w:val="en-GB"/>
        </w:rPr>
        <w:t>.</w:t>
      </w:r>
      <w:r>
        <w:rPr>
          <w:rFonts w:cstheme="minorHAnsi" w:hint="eastAsia"/>
          <w:szCs w:val="24"/>
          <w:lang w:val="en-GB"/>
        </w:rPr>
        <w:t xml:space="preserve"> </w:t>
      </w:r>
      <w:r w:rsidRPr="0055354F">
        <w:rPr>
          <w:rFonts w:cstheme="minorHAnsi"/>
          <w:b/>
          <w:lang w:val="en-GB"/>
        </w:rPr>
        <w:t>a</w:t>
      </w:r>
      <w:r w:rsidRPr="0055354F">
        <w:rPr>
          <w:rFonts w:cstheme="minorHAnsi"/>
          <w:lang w:val="en-GB"/>
        </w:rPr>
        <w:t xml:space="preserve">, Final energy consumption </w:t>
      </w:r>
      <w:r w:rsidRPr="0055354F">
        <w:rPr>
          <w:rFonts w:cstheme="minorHAnsi"/>
          <w:szCs w:val="24"/>
          <w:lang w:val="en-GB"/>
        </w:rPr>
        <w:t>during</w:t>
      </w:r>
      <w:r w:rsidRPr="0055354F">
        <w:rPr>
          <w:rFonts w:cstheme="minorHAnsi"/>
          <w:lang w:val="en-GB"/>
        </w:rPr>
        <w:t xml:space="preserve"> the period 2020–2100. </w:t>
      </w:r>
      <w:r>
        <w:rPr>
          <w:rFonts w:hint="eastAsia"/>
          <w:b/>
          <w:bCs/>
          <w:szCs w:val="22"/>
        </w:rPr>
        <w:t>b</w:t>
      </w:r>
      <w:r w:rsidRPr="0055354F">
        <w:rPr>
          <w:rFonts w:cstheme="minorHAnsi"/>
          <w:b/>
          <w:bCs/>
          <w:szCs w:val="24"/>
          <w:lang w:val="en-GB"/>
        </w:rPr>
        <w:t>–</w:t>
      </w:r>
      <w:r>
        <w:rPr>
          <w:rFonts w:hint="eastAsia"/>
          <w:b/>
          <w:bCs/>
          <w:szCs w:val="22"/>
        </w:rPr>
        <w:t>d</w:t>
      </w:r>
      <w:r>
        <w:rPr>
          <w:rFonts w:hint="eastAsia"/>
          <w:szCs w:val="22"/>
        </w:rPr>
        <w:t>, Final energy consumption in industry (</w:t>
      </w:r>
      <w:r w:rsidRPr="004D1907">
        <w:rPr>
          <w:rFonts w:hint="eastAsia"/>
          <w:b/>
          <w:bCs/>
          <w:szCs w:val="22"/>
        </w:rPr>
        <w:t>b</w:t>
      </w:r>
      <w:r>
        <w:rPr>
          <w:rFonts w:hint="eastAsia"/>
          <w:szCs w:val="22"/>
        </w:rPr>
        <w:t>), buildings (</w:t>
      </w:r>
      <w:r w:rsidRPr="004D1907">
        <w:rPr>
          <w:rFonts w:hint="eastAsia"/>
          <w:b/>
          <w:bCs/>
          <w:szCs w:val="22"/>
        </w:rPr>
        <w:t>c</w:t>
      </w:r>
      <w:r>
        <w:rPr>
          <w:rFonts w:hint="eastAsia"/>
          <w:szCs w:val="22"/>
        </w:rPr>
        <w:t>) and transportation (</w:t>
      </w:r>
      <w:r w:rsidRPr="00047614">
        <w:rPr>
          <w:rFonts w:hint="eastAsia"/>
          <w:b/>
          <w:bCs/>
          <w:szCs w:val="22"/>
        </w:rPr>
        <w:t>d</w:t>
      </w:r>
      <w:r>
        <w:rPr>
          <w:rFonts w:hint="eastAsia"/>
          <w:szCs w:val="22"/>
        </w:rPr>
        <w:t>) sectors</w:t>
      </w:r>
      <w:r w:rsidRPr="005B58E2">
        <w:t xml:space="preserve"> </w:t>
      </w:r>
      <w:r>
        <w:rPr>
          <w:rFonts w:hint="eastAsia"/>
        </w:rPr>
        <w:t xml:space="preserve">in the Opt1.5C, ZF2100 and ZF2050 scenarios </w:t>
      </w:r>
      <w:r w:rsidRPr="0055354F">
        <w:rPr>
          <w:rFonts w:cstheme="minorHAnsi"/>
          <w:szCs w:val="24"/>
          <w:lang w:val="en-GB"/>
        </w:rPr>
        <w:t>during</w:t>
      </w:r>
      <w:r w:rsidRPr="0055354F">
        <w:rPr>
          <w:rFonts w:cstheme="minorHAnsi"/>
          <w:lang w:val="en-GB"/>
        </w:rPr>
        <w:t xml:space="preserve"> the period 2020–2100</w:t>
      </w:r>
      <w:r>
        <w:rPr>
          <w:rFonts w:hint="eastAsia"/>
          <w:szCs w:val="22"/>
        </w:rPr>
        <w:t>.</w:t>
      </w:r>
    </w:p>
    <w:p w14:paraId="2D5F99CE" w14:textId="77777777" w:rsidR="0079457F" w:rsidRDefault="0079457F" w:rsidP="0079457F">
      <w:pPr>
        <w:widowControl/>
        <w:jc w:val="left"/>
        <w:rPr>
          <w:rFonts w:cstheme="minorHAnsi"/>
          <w:szCs w:val="24"/>
          <w:lang w:val="en-GB"/>
        </w:rPr>
      </w:pPr>
      <w:r>
        <w:rPr>
          <w:rFonts w:cstheme="minorHAnsi"/>
          <w:szCs w:val="24"/>
          <w:lang w:val="en-GB"/>
        </w:rPr>
        <w:br w:type="page"/>
      </w:r>
    </w:p>
    <w:p w14:paraId="479C2D61" w14:textId="77777777" w:rsidR="0079457F" w:rsidRDefault="0079457F" w:rsidP="0079457F">
      <w:pPr>
        <w:spacing w:line="259" w:lineRule="auto"/>
        <w:contextualSpacing/>
        <w:rPr>
          <w:rFonts w:cstheme="minorHAnsi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72B7EA85" wp14:editId="14ACE821">
            <wp:extent cx="5400040" cy="1796415"/>
            <wp:effectExtent l="0" t="0" r="0" b="0"/>
            <wp:docPr id="67788907" name="Picture 5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88907" name="Picture 5" descr="A diagram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5CF42" w14:textId="77777777" w:rsidR="0079457F" w:rsidRDefault="0079457F" w:rsidP="0079457F">
      <w:pPr>
        <w:widowControl/>
        <w:jc w:val="left"/>
        <w:rPr>
          <w:rFonts w:cstheme="minorHAnsi"/>
          <w:szCs w:val="24"/>
          <w:lang w:val="en-GB"/>
        </w:rPr>
      </w:pPr>
      <w:r>
        <w:rPr>
          <w:rFonts w:cstheme="minorHAnsi" w:hint="eastAsia"/>
          <w:b/>
          <w:lang w:val="en-GB"/>
        </w:rPr>
        <w:t xml:space="preserve">Extended Data </w:t>
      </w:r>
      <w:r w:rsidRPr="0055354F">
        <w:rPr>
          <w:rFonts w:cstheme="minorHAnsi"/>
          <w:b/>
          <w:lang w:val="en-GB"/>
        </w:rPr>
        <w:t>Fig. 3</w:t>
      </w:r>
      <w:r w:rsidRPr="0055354F">
        <w:rPr>
          <w:rFonts w:cstheme="minorHAnsi"/>
          <w:b/>
          <w:bCs/>
          <w:szCs w:val="24"/>
          <w:lang w:val="en-GB"/>
        </w:rPr>
        <w:t xml:space="preserve"> |</w:t>
      </w:r>
      <w:r w:rsidRPr="0055354F">
        <w:rPr>
          <w:rFonts w:cstheme="minorHAnsi"/>
          <w:b/>
          <w:lang w:val="en-GB"/>
        </w:rPr>
        <w:t xml:space="preserve"> Energy system transformation in energy supply sectors driven by a full phase-out of fossil fuels. a</w:t>
      </w:r>
      <w:r w:rsidRPr="0055354F">
        <w:rPr>
          <w:rFonts w:cstheme="minorHAnsi"/>
          <w:b/>
          <w:bCs/>
          <w:szCs w:val="24"/>
          <w:lang w:val="en-GB"/>
        </w:rPr>
        <w:t xml:space="preserve">, </w:t>
      </w:r>
      <w:r w:rsidRPr="0055354F">
        <w:rPr>
          <w:rFonts w:cstheme="minorHAnsi"/>
          <w:b/>
          <w:lang w:val="en-GB"/>
        </w:rPr>
        <w:t>b</w:t>
      </w:r>
      <w:r w:rsidRPr="0055354F">
        <w:rPr>
          <w:rFonts w:cstheme="minorHAnsi"/>
          <w:lang w:val="en-GB"/>
        </w:rPr>
        <w:t xml:space="preserve">, Power generation </w:t>
      </w:r>
      <w:r w:rsidRPr="0055354F">
        <w:rPr>
          <w:rFonts w:cstheme="minorHAnsi"/>
          <w:szCs w:val="24"/>
          <w:lang w:val="en-GB"/>
        </w:rPr>
        <w:t>mixes</w:t>
      </w:r>
      <w:r w:rsidRPr="0055354F">
        <w:rPr>
          <w:rFonts w:cstheme="minorHAnsi"/>
          <w:lang w:val="en-GB"/>
        </w:rPr>
        <w:t xml:space="preserve"> and secondary energy flow in the Opt1.5C and ZF2050 scenarios of </w:t>
      </w:r>
      <w:r>
        <w:rPr>
          <w:rFonts w:cstheme="minorHAnsi" w:hint="eastAsia"/>
          <w:szCs w:val="24"/>
          <w:lang w:val="en-GB"/>
        </w:rPr>
        <w:t>AIM-Technology</w:t>
      </w:r>
      <w:r w:rsidRPr="0055354F">
        <w:rPr>
          <w:rFonts w:cstheme="minorHAnsi"/>
          <w:lang w:val="en-GB"/>
        </w:rPr>
        <w:t xml:space="preserve"> (</w:t>
      </w:r>
      <w:r w:rsidRPr="0055354F">
        <w:rPr>
          <w:rFonts w:cstheme="minorHAnsi"/>
          <w:b/>
          <w:lang w:val="en-GB"/>
        </w:rPr>
        <w:t>a</w:t>
      </w:r>
      <w:r w:rsidRPr="0055354F">
        <w:rPr>
          <w:rFonts w:cstheme="minorHAnsi"/>
          <w:lang w:val="en-GB"/>
        </w:rPr>
        <w:t xml:space="preserve">) and </w:t>
      </w:r>
      <w:r w:rsidRPr="00CD0FFE">
        <w:rPr>
          <w:rFonts w:cstheme="minorHAnsi"/>
          <w:szCs w:val="24"/>
        </w:rPr>
        <w:t>MESSAGEix-GLOBIOM</w:t>
      </w:r>
      <w:r>
        <w:rPr>
          <w:rFonts w:cstheme="minorHAnsi" w:hint="eastAsia"/>
          <w:lang w:val="en-GB"/>
        </w:rPr>
        <w:t xml:space="preserve"> </w:t>
      </w:r>
      <w:r w:rsidRPr="0055354F">
        <w:rPr>
          <w:rFonts w:cstheme="minorHAnsi"/>
          <w:lang w:val="en-GB"/>
        </w:rPr>
        <w:t>(</w:t>
      </w:r>
      <w:r w:rsidRPr="0055354F">
        <w:rPr>
          <w:rFonts w:cstheme="minorHAnsi"/>
          <w:b/>
          <w:lang w:val="en-GB"/>
        </w:rPr>
        <w:t>b</w:t>
      </w:r>
      <w:r w:rsidRPr="0055354F">
        <w:rPr>
          <w:rFonts w:cstheme="minorHAnsi"/>
          <w:szCs w:val="24"/>
          <w:lang w:val="en-GB"/>
        </w:rPr>
        <w:t>)</w:t>
      </w:r>
      <w:r w:rsidRPr="0055354F">
        <w:rPr>
          <w:rFonts w:cstheme="minorHAnsi"/>
          <w:lang w:val="en-GB"/>
        </w:rPr>
        <w:t xml:space="preserve"> in 2</w:t>
      </w:r>
      <w:r>
        <w:rPr>
          <w:rFonts w:cstheme="minorHAnsi" w:hint="eastAsia"/>
          <w:lang w:val="en-GB"/>
        </w:rPr>
        <w:t>100</w:t>
      </w:r>
      <w:r w:rsidRPr="0055354F">
        <w:rPr>
          <w:rFonts w:cstheme="minorHAnsi"/>
          <w:lang w:val="en-GB"/>
        </w:rPr>
        <w:t>.</w:t>
      </w:r>
    </w:p>
    <w:p w14:paraId="216CFBD5" w14:textId="77777777" w:rsidR="0079457F" w:rsidRDefault="0079457F" w:rsidP="0079457F">
      <w:pPr>
        <w:widowControl/>
        <w:jc w:val="left"/>
        <w:rPr>
          <w:rFonts w:cstheme="minorHAnsi"/>
          <w:szCs w:val="24"/>
          <w:lang w:val="en-GB"/>
        </w:rPr>
      </w:pPr>
      <w:r>
        <w:rPr>
          <w:rFonts w:cstheme="minorHAnsi"/>
          <w:szCs w:val="24"/>
          <w:lang w:val="en-GB"/>
        </w:rPr>
        <w:br w:type="page"/>
      </w:r>
    </w:p>
    <w:p w14:paraId="6D05E096" w14:textId="77777777" w:rsidR="0079457F" w:rsidRDefault="0079457F" w:rsidP="0079457F">
      <w:pPr>
        <w:spacing w:line="259" w:lineRule="auto"/>
        <w:contextualSpacing/>
        <w:rPr>
          <w:rFonts w:cstheme="minorHAnsi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4851FE8C" wp14:editId="0C9F226B">
            <wp:extent cx="5400040" cy="3597910"/>
            <wp:effectExtent l="0" t="0" r="0" b="2540"/>
            <wp:docPr id="296436484" name="Picture 6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436484" name="Picture 6" descr="A graph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9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5BBE7" w14:textId="77777777" w:rsidR="0079457F" w:rsidRDefault="0079457F" w:rsidP="0079457F">
      <w:pPr>
        <w:widowControl/>
        <w:jc w:val="left"/>
        <w:rPr>
          <w:szCs w:val="22"/>
        </w:rPr>
      </w:pPr>
      <w:r>
        <w:rPr>
          <w:rFonts w:cstheme="minorHAnsi" w:hint="eastAsia"/>
          <w:b/>
          <w:lang w:val="en-GB"/>
        </w:rPr>
        <w:t xml:space="preserve">Extended Data </w:t>
      </w:r>
      <w:r w:rsidRPr="0055354F">
        <w:rPr>
          <w:rFonts w:cstheme="minorHAnsi"/>
          <w:b/>
          <w:lang w:val="en-GB"/>
        </w:rPr>
        <w:t xml:space="preserve">Fig. </w:t>
      </w:r>
      <w:r>
        <w:rPr>
          <w:rFonts w:cstheme="minorHAnsi" w:hint="eastAsia"/>
          <w:b/>
          <w:lang w:val="en-GB"/>
        </w:rPr>
        <w:t>4</w:t>
      </w:r>
      <w:r w:rsidRPr="0055354F">
        <w:rPr>
          <w:rFonts w:cstheme="minorHAnsi"/>
          <w:b/>
          <w:bCs/>
          <w:szCs w:val="24"/>
          <w:lang w:val="en-GB"/>
        </w:rPr>
        <w:t xml:space="preserve"> |</w:t>
      </w:r>
      <w:r>
        <w:rPr>
          <w:rFonts w:cstheme="minorHAnsi" w:hint="eastAsia"/>
          <w:b/>
          <w:bCs/>
          <w:szCs w:val="24"/>
          <w:lang w:val="en-GB"/>
        </w:rPr>
        <w:t xml:space="preserve"> </w:t>
      </w:r>
      <w:r>
        <w:rPr>
          <w:rFonts w:hint="eastAsia"/>
          <w:b/>
          <w:bCs/>
          <w:szCs w:val="22"/>
        </w:rPr>
        <w:t>Power and hydrogen generation</w:t>
      </w:r>
      <w:r>
        <w:rPr>
          <w:rFonts w:hint="eastAsia"/>
          <w:szCs w:val="22"/>
        </w:rPr>
        <w:t xml:space="preserve">. </w:t>
      </w:r>
      <w:r w:rsidRPr="00B43E49">
        <w:rPr>
          <w:rFonts w:hint="eastAsia"/>
          <w:b/>
          <w:bCs/>
          <w:szCs w:val="22"/>
        </w:rPr>
        <w:t>a</w:t>
      </w:r>
      <w:r>
        <w:rPr>
          <w:rFonts w:hint="eastAsia"/>
          <w:szCs w:val="22"/>
        </w:rPr>
        <w:t>, Power generation during</w:t>
      </w:r>
      <w:r w:rsidRPr="005B58E2">
        <w:rPr>
          <w:szCs w:val="22"/>
        </w:rPr>
        <w:t xml:space="preserve"> the period 2020</w:t>
      </w:r>
      <w:r w:rsidRPr="0055354F">
        <w:rPr>
          <w:rFonts w:cstheme="minorHAnsi"/>
          <w:lang w:val="en-GB"/>
        </w:rPr>
        <w:t>–</w:t>
      </w:r>
      <w:r w:rsidRPr="005B58E2">
        <w:rPr>
          <w:szCs w:val="22"/>
        </w:rPr>
        <w:t>2100</w:t>
      </w:r>
      <w:r>
        <w:rPr>
          <w:rFonts w:hint="eastAsia"/>
          <w:szCs w:val="22"/>
        </w:rPr>
        <w:t xml:space="preserve">. </w:t>
      </w:r>
      <w:r>
        <w:rPr>
          <w:rFonts w:hint="eastAsia"/>
          <w:b/>
          <w:bCs/>
          <w:szCs w:val="22"/>
        </w:rPr>
        <w:t>b,</w:t>
      </w:r>
      <w:r w:rsidRPr="00C7626B"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Hydrogen generation during the period 2020</w:t>
      </w:r>
      <w:r w:rsidRPr="0055354F">
        <w:rPr>
          <w:rFonts w:cstheme="minorHAnsi"/>
          <w:lang w:val="en-GB"/>
        </w:rPr>
        <w:t>–</w:t>
      </w:r>
      <w:r>
        <w:rPr>
          <w:rFonts w:hint="eastAsia"/>
          <w:szCs w:val="22"/>
        </w:rPr>
        <w:t>2100.</w:t>
      </w:r>
    </w:p>
    <w:p w14:paraId="4686457D" w14:textId="77777777" w:rsidR="0079457F" w:rsidRDefault="0079457F" w:rsidP="0079457F">
      <w:pPr>
        <w:widowControl/>
        <w:jc w:val="left"/>
        <w:rPr>
          <w:rFonts w:cstheme="minorHAnsi"/>
          <w:szCs w:val="24"/>
          <w:lang w:val="en-GB"/>
        </w:rPr>
      </w:pPr>
      <w:r>
        <w:rPr>
          <w:rFonts w:cstheme="minorHAnsi"/>
          <w:szCs w:val="24"/>
          <w:lang w:val="en-GB"/>
        </w:rPr>
        <w:br w:type="page"/>
      </w:r>
    </w:p>
    <w:p w14:paraId="2824AB92" w14:textId="77777777" w:rsidR="0079457F" w:rsidRDefault="0079457F" w:rsidP="0079457F">
      <w:pPr>
        <w:spacing w:line="259" w:lineRule="auto"/>
        <w:contextualSpacing/>
        <w:rPr>
          <w:rFonts w:cstheme="minorHAnsi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4FF82961" wp14:editId="7E584527">
            <wp:extent cx="5400040" cy="4495800"/>
            <wp:effectExtent l="0" t="0" r="0" b="0"/>
            <wp:docPr id="110127983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6CDBE" w14:textId="77777777" w:rsidR="0079457F" w:rsidRPr="005E2D1E" w:rsidRDefault="0079457F" w:rsidP="0079457F">
      <w:pPr>
        <w:widowControl/>
        <w:rPr>
          <w:szCs w:val="22"/>
        </w:rPr>
      </w:pPr>
      <w:r w:rsidRPr="00A32E81">
        <w:rPr>
          <w:rFonts w:cstheme="minorHAnsi"/>
          <w:b/>
          <w:szCs w:val="24"/>
          <w:lang w:val="en-GB"/>
        </w:rPr>
        <w:t xml:space="preserve">Extended Data Fig. </w:t>
      </w:r>
      <w:r>
        <w:rPr>
          <w:rFonts w:cstheme="minorHAnsi" w:hint="eastAsia"/>
          <w:b/>
          <w:szCs w:val="24"/>
          <w:lang w:val="en-GB"/>
        </w:rPr>
        <w:t>5</w:t>
      </w:r>
      <w:r w:rsidRPr="00A32E81">
        <w:rPr>
          <w:rFonts w:cstheme="minorHAnsi"/>
          <w:b/>
          <w:bCs/>
          <w:szCs w:val="24"/>
          <w:lang w:val="en-GB"/>
        </w:rPr>
        <w:t xml:space="preserve"> |</w:t>
      </w:r>
      <w:r>
        <w:rPr>
          <w:rFonts w:cstheme="minorHAnsi" w:hint="eastAsia"/>
          <w:b/>
          <w:bCs/>
          <w:szCs w:val="24"/>
          <w:lang w:val="en-GB"/>
        </w:rPr>
        <w:t xml:space="preserve"> </w:t>
      </w:r>
      <w:r w:rsidRPr="000341AE">
        <w:rPr>
          <w:rFonts w:hint="eastAsia"/>
          <w:b/>
          <w:szCs w:val="22"/>
        </w:rPr>
        <w:t>CO</w:t>
      </w:r>
      <w:r w:rsidRPr="000341AE">
        <w:rPr>
          <w:rFonts w:hint="eastAsia"/>
          <w:b/>
          <w:szCs w:val="22"/>
          <w:vertAlign w:val="subscript"/>
        </w:rPr>
        <w:t>2</w:t>
      </w:r>
      <w:r w:rsidRPr="000341AE">
        <w:rPr>
          <w:rFonts w:hint="eastAsia"/>
          <w:b/>
          <w:szCs w:val="22"/>
        </w:rPr>
        <w:t xml:space="preserve"> emissions and carbon capture, </w:t>
      </w:r>
      <w:r w:rsidRPr="000341AE">
        <w:rPr>
          <w:b/>
          <w:szCs w:val="22"/>
        </w:rPr>
        <w:t>utilization</w:t>
      </w:r>
      <w:r w:rsidRPr="000341AE">
        <w:rPr>
          <w:rFonts w:hint="eastAsia"/>
          <w:b/>
          <w:szCs w:val="22"/>
        </w:rPr>
        <w:t xml:space="preserve"> and storage.</w:t>
      </w:r>
      <w:r>
        <w:rPr>
          <w:rFonts w:hint="eastAsia"/>
          <w:szCs w:val="22"/>
        </w:rPr>
        <w:t xml:space="preserve"> </w:t>
      </w:r>
      <w:r w:rsidRPr="00B43E49">
        <w:rPr>
          <w:rFonts w:hint="eastAsia"/>
          <w:b/>
          <w:bCs/>
          <w:szCs w:val="22"/>
        </w:rPr>
        <w:t>a</w:t>
      </w:r>
      <w:r>
        <w:rPr>
          <w:rFonts w:hint="eastAsia"/>
          <w:szCs w:val="22"/>
        </w:rPr>
        <w:t>, Sectoral CO</w:t>
      </w:r>
      <w:r w:rsidRPr="00E52FB9">
        <w:rPr>
          <w:rFonts w:hint="eastAsia"/>
          <w:szCs w:val="22"/>
          <w:vertAlign w:val="subscript"/>
        </w:rPr>
        <w:t>2</w:t>
      </w:r>
      <w:r>
        <w:rPr>
          <w:rFonts w:hint="eastAsia"/>
          <w:szCs w:val="22"/>
          <w:vertAlign w:val="subscript"/>
        </w:rPr>
        <w:t xml:space="preserve"> </w:t>
      </w:r>
      <w:r>
        <w:rPr>
          <w:rFonts w:hint="eastAsia"/>
          <w:szCs w:val="22"/>
        </w:rPr>
        <w:t>emissions during the period 2020</w:t>
      </w:r>
      <w:r w:rsidRPr="0055354F">
        <w:rPr>
          <w:rFonts w:cstheme="minorHAnsi"/>
          <w:lang w:val="en-GB"/>
        </w:rPr>
        <w:t>–</w:t>
      </w:r>
      <w:r>
        <w:rPr>
          <w:rFonts w:hint="eastAsia"/>
          <w:szCs w:val="22"/>
        </w:rPr>
        <w:t>2100. Line and dot plots show net CO</w:t>
      </w:r>
      <w:r w:rsidRPr="009C741D">
        <w:rPr>
          <w:rFonts w:hint="eastAsia"/>
          <w:szCs w:val="22"/>
          <w:vertAlign w:val="subscript"/>
        </w:rPr>
        <w:t>2</w:t>
      </w:r>
      <w:r>
        <w:rPr>
          <w:rFonts w:hint="eastAsia"/>
          <w:szCs w:val="22"/>
        </w:rPr>
        <w:t xml:space="preserve"> emissions from energy and AFOLU sectors during the period 2020</w:t>
      </w:r>
      <w:r w:rsidRPr="0055354F">
        <w:rPr>
          <w:rFonts w:cstheme="minorHAnsi"/>
          <w:lang w:val="en-GB"/>
        </w:rPr>
        <w:t>–</w:t>
      </w:r>
      <w:r>
        <w:rPr>
          <w:rFonts w:hint="eastAsia"/>
          <w:szCs w:val="22"/>
        </w:rPr>
        <w:t xml:space="preserve">2100. </w:t>
      </w:r>
      <w:r w:rsidRPr="00E52FB9">
        <w:rPr>
          <w:rFonts w:hint="eastAsia"/>
          <w:b/>
          <w:bCs/>
          <w:szCs w:val="22"/>
        </w:rPr>
        <w:t>b</w:t>
      </w:r>
      <w:r>
        <w:rPr>
          <w:rFonts w:hint="eastAsia"/>
          <w:szCs w:val="22"/>
        </w:rPr>
        <w:t>, Carbon capture and its destination, including CCU and CCS during the period 2020</w:t>
      </w:r>
      <w:r w:rsidRPr="0055354F">
        <w:rPr>
          <w:rFonts w:cstheme="minorHAnsi"/>
          <w:lang w:val="en-GB"/>
        </w:rPr>
        <w:t>–</w:t>
      </w:r>
      <w:r>
        <w:rPr>
          <w:rFonts w:hint="eastAsia"/>
          <w:szCs w:val="22"/>
        </w:rPr>
        <w:t>2100.</w:t>
      </w:r>
    </w:p>
    <w:p w14:paraId="489FB35C" w14:textId="77777777" w:rsidR="0079457F" w:rsidRDefault="0079457F" w:rsidP="0079457F">
      <w:pPr>
        <w:widowControl/>
        <w:jc w:val="left"/>
        <w:rPr>
          <w:rFonts w:cstheme="minorHAnsi"/>
          <w:szCs w:val="24"/>
          <w:lang w:val="en-GB"/>
        </w:rPr>
      </w:pPr>
      <w:r>
        <w:rPr>
          <w:rFonts w:cstheme="minorHAnsi"/>
          <w:szCs w:val="24"/>
          <w:lang w:val="en-GB"/>
        </w:rPr>
        <w:br w:type="page"/>
      </w:r>
    </w:p>
    <w:p w14:paraId="31B0B93F" w14:textId="77777777" w:rsidR="0079457F" w:rsidRDefault="0079457F" w:rsidP="0079457F">
      <w:pPr>
        <w:spacing w:line="259" w:lineRule="auto"/>
        <w:contextualSpacing/>
        <w:rPr>
          <w:rFonts w:cstheme="minorHAnsi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1B61DDFC" wp14:editId="148DC6EB">
            <wp:extent cx="5400040" cy="2251075"/>
            <wp:effectExtent l="0" t="0" r="0" b="0"/>
            <wp:docPr id="422798699" name="Picture 8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798699" name="Picture 8" descr="A graph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25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F8425" w14:textId="77777777" w:rsidR="0079457F" w:rsidRPr="00A23E9D" w:rsidRDefault="0079457F" w:rsidP="0079457F">
      <w:pPr>
        <w:spacing w:line="259" w:lineRule="auto"/>
        <w:contextualSpacing/>
        <w:rPr>
          <w:rFonts w:cstheme="minorHAnsi"/>
          <w:szCs w:val="24"/>
          <w:lang w:val="en-GB"/>
        </w:rPr>
      </w:pPr>
      <w:r w:rsidRPr="00A32E81">
        <w:rPr>
          <w:rFonts w:cstheme="minorHAnsi"/>
          <w:b/>
          <w:szCs w:val="24"/>
          <w:lang w:val="en-GB"/>
        </w:rPr>
        <w:t xml:space="preserve">Extended Data Fig. </w:t>
      </w:r>
      <w:r>
        <w:rPr>
          <w:rFonts w:cstheme="minorHAnsi" w:hint="eastAsia"/>
          <w:b/>
          <w:szCs w:val="24"/>
          <w:lang w:val="en-GB"/>
        </w:rPr>
        <w:t>6</w:t>
      </w:r>
      <w:r w:rsidRPr="00A32E81">
        <w:rPr>
          <w:rFonts w:cstheme="minorHAnsi"/>
          <w:b/>
          <w:bCs/>
          <w:szCs w:val="24"/>
          <w:lang w:val="en-GB"/>
        </w:rPr>
        <w:t xml:space="preserve"> |</w:t>
      </w:r>
      <w:r>
        <w:rPr>
          <w:rFonts w:cstheme="minorHAnsi" w:hint="eastAsia"/>
          <w:b/>
          <w:bCs/>
          <w:szCs w:val="24"/>
          <w:lang w:val="en-GB"/>
        </w:rPr>
        <w:t xml:space="preserve"> </w:t>
      </w:r>
      <w:r>
        <w:rPr>
          <w:rFonts w:hint="eastAsia"/>
          <w:b/>
          <w:bCs/>
          <w:szCs w:val="22"/>
        </w:rPr>
        <w:t>Energy trade.</w:t>
      </w:r>
      <w:r w:rsidRPr="000341AE">
        <w:rPr>
          <w:szCs w:val="22"/>
        </w:rPr>
        <w:t xml:space="preserve"> </w:t>
      </w:r>
      <w:r>
        <w:rPr>
          <w:rFonts w:hint="eastAsia"/>
          <w:szCs w:val="22"/>
        </w:rPr>
        <w:t>International energy trade during the period 2020</w:t>
      </w:r>
      <w:r w:rsidRPr="00684817">
        <w:rPr>
          <w:szCs w:val="22"/>
          <w:lang w:val="en-GB"/>
        </w:rPr>
        <w:t>–</w:t>
      </w:r>
      <w:r>
        <w:rPr>
          <w:rFonts w:hint="eastAsia"/>
          <w:szCs w:val="22"/>
        </w:rPr>
        <w:t>2100. Hydrogen includes trade via liquefied hydrogen, methylcyclohexane (MCH), and ammonia.</w:t>
      </w:r>
    </w:p>
    <w:p w14:paraId="453D6C9D" w14:textId="77777777" w:rsidR="0079457F" w:rsidRPr="00A23E9D" w:rsidRDefault="0079457F" w:rsidP="0079457F">
      <w:pPr>
        <w:spacing w:line="259" w:lineRule="auto"/>
        <w:contextualSpacing/>
        <w:rPr>
          <w:rFonts w:cstheme="minorHAnsi"/>
          <w:szCs w:val="24"/>
          <w:lang w:val="en-GB"/>
        </w:rPr>
      </w:pPr>
    </w:p>
    <w:p w14:paraId="55C45281" w14:textId="77777777" w:rsidR="00F553FF" w:rsidRDefault="00F553FF"/>
    <w:sectPr w:rsidR="00F553FF" w:rsidSect="0079457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57F"/>
    <w:rsid w:val="003C2EF4"/>
    <w:rsid w:val="0079457F"/>
    <w:rsid w:val="0099608B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EA5DF"/>
  <w15:chartTrackingRefBased/>
  <w15:docId w15:val="{96C7110B-308A-461F-9EA0-A45CEA72F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57F"/>
    <w:pPr>
      <w:widowControl w:val="0"/>
      <w:spacing w:after="0" w:line="240" w:lineRule="auto"/>
      <w:jc w:val="both"/>
    </w:pPr>
    <w:rPr>
      <w:rFonts w:eastAsiaTheme="minorEastAsia"/>
      <w:szCs w:val="21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457F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457F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57F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57F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57F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57F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57F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57F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57F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5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45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5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5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5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5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5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5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5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457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7945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57F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945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457F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7945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457F"/>
    <w:pPr>
      <w:widowControl/>
      <w:spacing w:after="160" w:line="259" w:lineRule="auto"/>
      <w:ind w:left="720"/>
      <w:contextualSpacing/>
      <w:jc w:val="left"/>
    </w:pPr>
    <w:rPr>
      <w:rFonts w:eastAsiaTheme="minorHAnsi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7945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457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45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45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337</Words>
  <Characters>1921</Characters>
  <Application>Microsoft Office Word</Application>
  <DocSecurity>0</DocSecurity>
  <Lines>16</Lines>
  <Paragraphs>4</Paragraphs>
  <ScaleCrop>false</ScaleCrop>
  <Company>Springer Nature</Company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2025-01-07T04:35:00Z</dcterms:created>
  <dcterms:modified xsi:type="dcterms:W3CDTF">2025-01-07T04:36:00Z</dcterms:modified>
</cp:coreProperties>
</file>