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551115" w14:textId="77777777" w:rsidR="00BE7986" w:rsidRPr="003A273D" w:rsidRDefault="00BE7986" w:rsidP="00BE7986">
      <w:pPr>
        <w:spacing w:before="240" w:line="276" w:lineRule="auto"/>
        <w:rPr>
          <w:rFonts w:ascii="Arial" w:hAnsi="Arial" w:cs="Arial"/>
        </w:rPr>
      </w:pPr>
      <w:r w:rsidRPr="003A273D">
        <w:rPr>
          <w:rFonts w:ascii="Arial" w:hAnsi="Arial" w:cs="Arial"/>
          <w:b/>
          <w:bCs/>
        </w:rPr>
        <w:t>Table A</w:t>
      </w:r>
      <w:r>
        <w:rPr>
          <w:rFonts w:ascii="Arial" w:hAnsi="Arial" w:cs="Arial"/>
          <w:b/>
          <w:bCs/>
        </w:rPr>
        <w:t>1</w:t>
      </w:r>
      <w:r w:rsidRPr="003A273D">
        <w:rPr>
          <w:rFonts w:ascii="Arial" w:hAnsi="Arial" w:cs="Arial"/>
          <w:b/>
          <w:bCs/>
        </w:rPr>
        <w:t xml:space="preserve">: </w:t>
      </w:r>
      <w:r>
        <w:rPr>
          <w:rFonts w:ascii="Arial" w:hAnsi="Arial" w:cs="Arial"/>
          <w:b/>
          <w:bCs/>
        </w:rPr>
        <w:t>Variable definitions and data sources</w:t>
      </w:r>
    </w:p>
    <w:tbl>
      <w:tblPr>
        <w:tblStyle w:val="PlainTable5"/>
        <w:tblpPr w:leftFromText="180" w:rightFromText="180" w:vertAnchor="text" w:horzAnchor="margin" w:tblpYSpec="bottom"/>
        <w:tblW w:w="9248" w:type="dxa"/>
        <w:tblLook w:val="04A0" w:firstRow="1" w:lastRow="0" w:firstColumn="1" w:lastColumn="0" w:noHBand="0" w:noVBand="1"/>
      </w:tblPr>
      <w:tblGrid>
        <w:gridCol w:w="3042"/>
        <w:gridCol w:w="3043"/>
        <w:gridCol w:w="3163"/>
      </w:tblGrid>
      <w:tr w:rsidR="00BE7986" w:rsidRPr="00A01893" w14:paraId="358C4C2D" w14:textId="77777777" w:rsidTr="00B51D3F">
        <w:trPr>
          <w:cnfStyle w:val="100000000000" w:firstRow="1" w:lastRow="0" w:firstColumn="0" w:lastColumn="0" w:oddVBand="0" w:evenVBand="0" w:oddHBand="0" w:evenHBand="0" w:firstRowFirstColumn="0" w:firstRowLastColumn="0" w:lastRowFirstColumn="0" w:lastRowLastColumn="0"/>
          <w:trHeight w:val="423"/>
        </w:trPr>
        <w:tc>
          <w:tcPr>
            <w:cnfStyle w:val="001000000100" w:firstRow="0" w:lastRow="0" w:firstColumn="1" w:lastColumn="0" w:oddVBand="0" w:evenVBand="0" w:oddHBand="0" w:evenHBand="0" w:firstRowFirstColumn="1" w:firstRowLastColumn="0" w:lastRowFirstColumn="0" w:lastRowLastColumn="0"/>
            <w:tcW w:w="3042" w:type="dxa"/>
            <w:tcBorders>
              <w:top w:val="single" w:sz="4" w:space="0" w:color="auto"/>
            </w:tcBorders>
          </w:tcPr>
          <w:p w14:paraId="3B7D2D4B" w14:textId="77777777" w:rsidR="00BE7986" w:rsidRPr="00F42CE8" w:rsidRDefault="00BE7986" w:rsidP="00B51D3F">
            <w:pPr>
              <w:contextualSpacing/>
              <w:jc w:val="center"/>
              <w:rPr>
                <w:rFonts w:ascii="Arial" w:hAnsi="Arial" w:cs="Arial"/>
                <w:b/>
                <w:bCs/>
                <w:sz w:val="24"/>
                <w:szCs w:val="24"/>
                <w14:ligatures w14:val="none"/>
              </w:rPr>
            </w:pPr>
            <w:r w:rsidRPr="00F42CE8">
              <w:rPr>
                <w:rFonts w:ascii="Arial" w:hAnsi="Arial" w:cs="Arial"/>
                <w:b/>
                <w:bCs/>
                <w:i w:val="0"/>
                <w:iCs w:val="0"/>
                <w:sz w:val="24"/>
                <w:szCs w:val="24"/>
                <w14:ligatures w14:val="none"/>
              </w:rPr>
              <w:t>Variable</w:t>
            </w:r>
          </w:p>
        </w:tc>
        <w:tc>
          <w:tcPr>
            <w:tcW w:w="3043" w:type="dxa"/>
            <w:tcBorders>
              <w:top w:val="single" w:sz="4" w:space="0" w:color="auto"/>
            </w:tcBorders>
          </w:tcPr>
          <w:p w14:paraId="4C3F67D8" w14:textId="77777777" w:rsidR="00BE7986" w:rsidRPr="00F42CE8" w:rsidRDefault="00BE7986" w:rsidP="00B51D3F">
            <w:pPr>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
                <w:bCs/>
                <w:sz w:val="24"/>
                <w:szCs w:val="24"/>
                <w14:ligatures w14:val="none"/>
              </w:rPr>
            </w:pPr>
            <w:r w:rsidRPr="00F42CE8">
              <w:rPr>
                <w:rFonts w:ascii="Arial" w:hAnsi="Arial" w:cs="Arial"/>
                <w:b/>
                <w:bCs/>
                <w:i w:val="0"/>
                <w:iCs w:val="0"/>
                <w:sz w:val="24"/>
                <w:szCs w:val="24"/>
                <w14:ligatures w14:val="none"/>
              </w:rPr>
              <w:t>Description</w:t>
            </w:r>
          </w:p>
        </w:tc>
        <w:tc>
          <w:tcPr>
            <w:tcW w:w="3163" w:type="dxa"/>
            <w:tcBorders>
              <w:top w:val="single" w:sz="4" w:space="0" w:color="auto"/>
            </w:tcBorders>
          </w:tcPr>
          <w:p w14:paraId="377F9BE4" w14:textId="77777777" w:rsidR="00BE7986" w:rsidRPr="00F42CE8" w:rsidRDefault="00BE7986" w:rsidP="00B51D3F">
            <w:pPr>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b/>
                <w:bCs/>
                <w:sz w:val="24"/>
                <w:szCs w:val="24"/>
                <w14:ligatures w14:val="none"/>
              </w:rPr>
            </w:pPr>
            <w:r w:rsidRPr="00F42CE8">
              <w:rPr>
                <w:rFonts w:ascii="Arial" w:hAnsi="Arial" w:cs="Arial"/>
                <w:b/>
                <w:bCs/>
                <w:i w:val="0"/>
                <w:iCs w:val="0"/>
                <w:sz w:val="24"/>
                <w:szCs w:val="24"/>
                <w14:ligatures w14:val="none"/>
              </w:rPr>
              <w:t>Sources</w:t>
            </w:r>
          </w:p>
        </w:tc>
      </w:tr>
      <w:tr w:rsidR="00BE7986" w:rsidRPr="00A01893" w14:paraId="099A4968" w14:textId="77777777" w:rsidTr="00B51D3F">
        <w:trPr>
          <w:cnfStyle w:val="000000100000" w:firstRow="0" w:lastRow="0" w:firstColumn="0" w:lastColumn="0" w:oddVBand="0" w:evenVBand="0" w:oddHBand="1" w:evenHBand="0" w:firstRowFirstColumn="0" w:firstRowLastColumn="0" w:lastRowFirstColumn="0" w:lastRowLastColumn="0"/>
          <w:trHeight w:val="1173"/>
        </w:trPr>
        <w:tc>
          <w:tcPr>
            <w:cnfStyle w:val="001000000000" w:firstRow="0" w:lastRow="0" w:firstColumn="1" w:lastColumn="0" w:oddVBand="0" w:evenVBand="0" w:oddHBand="0" w:evenHBand="0" w:firstRowFirstColumn="0" w:firstRowLastColumn="0" w:lastRowFirstColumn="0" w:lastRowLastColumn="0"/>
            <w:tcW w:w="3042" w:type="dxa"/>
          </w:tcPr>
          <w:p w14:paraId="625325B9"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Trade Duration</w:t>
            </w:r>
          </w:p>
        </w:tc>
        <w:tc>
          <w:tcPr>
            <w:tcW w:w="3043" w:type="dxa"/>
          </w:tcPr>
          <w:p w14:paraId="2ADB2012"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rPr>
              <w:t>Harmonized Commodity Description and Coding System-6-digit product level data</w:t>
            </w:r>
          </w:p>
        </w:tc>
        <w:tc>
          <w:tcPr>
            <w:tcW w:w="3163" w:type="dxa"/>
          </w:tcPr>
          <w:p w14:paraId="336A21AA"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rPr>
              <w:t>World Integrated Trade Solution (WITS) database (2024)</w:t>
            </w:r>
          </w:p>
        </w:tc>
      </w:tr>
      <w:tr w:rsidR="00BE7986" w:rsidRPr="00A01893" w14:paraId="24627890" w14:textId="77777777" w:rsidTr="00B51D3F">
        <w:trPr>
          <w:trHeight w:val="1173"/>
        </w:trPr>
        <w:tc>
          <w:tcPr>
            <w:cnfStyle w:val="001000000000" w:firstRow="0" w:lastRow="0" w:firstColumn="1" w:lastColumn="0" w:oddVBand="0" w:evenVBand="0" w:oddHBand="0" w:evenHBand="0" w:firstRowFirstColumn="0" w:firstRowLastColumn="0" w:lastRowFirstColumn="0" w:lastRowLastColumn="0"/>
            <w:tcW w:w="3042" w:type="dxa"/>
          </w:tcPr>
          <w:p w14:paraId="7EFEDBAA" w14:textId="77777777" w:rsidR="00BE7986" w:rsidRPr="00A01893" w:rsidRDefault="00BE7986" w:rsidP="00B51D3F">
            <w:pPr>
              <w:contextualSpacing/>
              <w:rPr>
                <w:rFonts w:ascii="Arial" w:hAnsi="Arial" w:cs="Arial"/>
                <w14:ligatures w14:val="none"/>
              </w:rPr>
            </w:pPr>
            <w:bookmarkStart w:id="0" w:name="_Hlk156693586"/>
          </w:p>
          <w:p w14:paraId="123E1481"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Agglomeration</w:t>
            </w:r>
          </w:p>
        </w:tc>
        <w:tc>
          <w:tcPr>
            <w:tcW w:w="3043" w:type="dxa"/>
          </w:tcPr>
          <w:p w14:paraId="72A54332"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bookmarkStart w:id="1" w:name="_Hlk174261304"/>
            <w:r w:rsidRPr="00A01893">
              <w:rPr>
                <w:rFonts w:ascii="Arial" w:hAnsi="Arial" w:cs="Arial"/>
                <w14:ligatures w14:val="none"/>
              </w:rPr>
              <w:t>The proportion of the population in an urban area</w:t>
            </w:r>
            <w:bookmarkEnd w:id="1"/>
            <w:r w:rsidRPr="00A01893">
              <w:rPr>
                <w:rFonts w:ascii="Arial" w:hAnsi="Arial" w:cs="Arial"/>
                <w14:ligatures w14:val="none"/>
              </w:rPr>
              <w:t xml:space="preserve"> of the importer’s country</w:t>
            </w:r>
          </w:p>
        </w:tc>
        <w:tc>
          <w:tcPr>
            <w:tcW w:w="3163" w:type="dxa"/>
          </w:tcPr>
          <w:p w14:paraId="490FC70E"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p>
          <w:p w14:paraId="7D544185"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bookmarkEnd w:id="0"/>
      <w:tr w:rsidR="00BE7986" w:rsidRPr="00A01893" w14:paraId="61312E52" w14:textId="77777777" w:rsidTr="00B51D3F">
        <w:trPr>
          <w:cnfStyle w:val="000000100000" w:firstRow="0" w:lastRow="0" w:firstColumn="0" w:lastColumn="0" w:oddVBand="0" w:evenVBand="0" w:oddHBand="1" w:evenHBand="0" w:firstRowFirstColumn="0" w:firstRowLastColumn="0" w:lastRowFirstColumn="0" w:lastRowLastColumn="0"/>
          <w:trHeight w:val="868"/>
        </w:trPr>
        <w:tc>
          <w:tcPr>
            <w:cnfStyle w:val="001000000000" w:firstRow="0" w:lastRow="0" w:firstColumn="1" w:lastColumn="0" w:oddVBand="0" w:evenVBand="0" w:oddHBand="0" w:evenHBand="0" w:firstRowFirstColumn="0" w:firstRowLastColumn="0" w:lastRowFirstColumn="0" w:lastRowLastColumn="0"/>
            <w:tcW w:w="3042" w:type="dxa"/>
          </w:tcPr>
          <w:p w14:paraId="70B7FFDB"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Distance</w:t>
            </w:r>
          </w:p>
        </w:tc>
        <w:tc>
          <w:tcPr>
            <w:tcW w:w="3043" w:type="dxa"/>
          </w:tcPr>
          <w:p w14:paraId="5DDF62B4"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Log Distance in km between the exporter and the partner's capitals.</w:t>
            </w:r>
          </w:p>
        </w:tc>
        <w:tc>
          <w:tcPr>
            <w:tcW w:w="3163" w:type="dxa"/>
          </w:tcPr>
          <w:p w14:paraId="5DDA6DD4"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p>
          <w:p w14:paraId="1FB44113"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CEPII database (2024)</w:t>
            </w:r>
          </w:p>
        </w:tc>
      </w:tr>
      <w:tr w:rsidR="00BE7986" w:rsidRPr="00A01893" w14:paraId="6B34A43E" w14:textId="77777777" w:rsidTr="00B51D3F">
        <w:trPr>
          <w:trHeight w:val="576"/>
        </w:trPr>
        <w:tc>
          <w:tcPr>
            <w:cnfStyle w:val="001000000000" w:firstRow="0" w:lastRow="0" w:firstColumn="1" w:lastColumn="0" w:oddVBand="0" w:evenVBand="0" w:oddHBand="0" w:evenHBand="0" w:firstRowFirstColumn="0" w:firstRowLastColumn="0" w:lastRowFirstColumn="0" w:lastRowLastColumn="0"/>
            <w:tcW w:w="3042" w:type="dxa"/>
          </w:tcPr>
          <w:p w14:paraId="36CAF760"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 xml:space="preserve">Real GDP </w:t>
            </w:r>
          </w:p>
        </w:tc>
        <w:tc>
          <w:tcPr>
            <w:tcW w:w="3043" w:type="dxa"/>
          </w:tcPr>
          <w:p w14:paraId="2380F3D2"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Value of real GDP of the partner country.</w:t>
            </w:r>
          </w:p>
        </w:tc>
        <w:tc>
          <w:tcPr>
            <w:tcW w:w="3163" w:type="dxa"/>
          </w:tcPr>
          <w:p w14:paraId="25167FE1"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tr w:rsidR="00BE7986" w:rsidRPr="00A01893" w14:paraId="7B46D86A" w14:textId="77777777" w:rsidTr="00B51D3F">
        <w:trPr>
          <w:cnfStyle w:val="000000100000" w:firstRow="0" w:lastRow="0" w:firstColumn="0" w:lastColumn="0" w:oddVBand="0" w:evenVBand="0" w:oddHBand="1" w:evenHBand="0" w:firstRowFirstColumn="0" w:firstRowLastColumn="0" w:lastRowFirstColumn="0" w:lastRowLastColumn="0"/>
          <w:trHeight w:val="868"/>
        </w:trPr>
        <w:tc>
          <w:tcPr>
            <w:cnfStyle w:val="001000000000" w:firstRow="0" w:lastRow="0" w:firstColumn="1" w:lastColumn="0" w:oddVBand="0" w:evenVBand="0" w:oddHBand="0" w:evenHBand="0" w:firstRowFirstColumn="0" w:firstRowLastColumn="0" w:lastRowFirstColumn="0" w:lastRowLastColumn="0"/>
            <w:tcW w:w="3042" w:type="dxa"/>
          </w:tcPr>
          <w:p w14:paraId="5D8DBFA1"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Contiguity</w:t>
            </w:r>
          </w:p>
        </w:tc>
        <w:tc>
          <w:tcPr>
            <w:tcW w:w="3043" w:type="dxa"/>
          </w:tcPr>
          <w:p w14:paraId="21FD6CEA"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The dummy variable equals 1 if the country is landlocked and 0, otherwise.</w:t>
            </w:r>
          </w:p>
        </w:tc>
        <w:tc>
          <w:tcPr>
            <w:tcW w:w="3163" w:type="dxa"/>
          </w:tcPr>
          <w:p w14:paraId="1248164A"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p>
          <w:p w14:paraId="728BE115"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CEPII database (2024)</w:t>
            </w:r>
          </w:p>
        </w:tc>
      </w:tr>
      <w:tr w:rsidR="00BE7986" w:rsidRPr="00A01893" w14:paraId="02221C26" w14:textId="77777777" w:rsidTr="00B51D3F">
        <w:trPr>
          <w:trHeight w:val="1158"/>
        </w:trPr>
        <w:tc>
          <w:tcPr>
            <w:cnfStyle w:val="001000000000" w:firstRow="0" w:lastRow="0" w:firstColumn="1" w:lastColumn="0" w:oddVBand="0" w:evenVBand="0" w:oddHBand="0" w:evenHBand="0" w:firstRowFirstColumn="0" w:firstRowLastColumn="0" w:lastRowFirstColumn="0" w:lastRowLastColumn="0"/>
            <w:tcW w:w="3042" w:type="dxa"/>
          </w:tcPr>
          <w:p w14:paraId="67E94906"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Common language</w:t>
            </w:r>
          </w:p>
        </w:tc>
        <w:tc>
          <w:tcPr>
            <w:tcW w:w="3043" w:type="dxa"/>
          </w:tcPr>
          <w:p w14:paraId="7BA36862"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The dummy variable equals 1 if the partner has the same common official language and 0, otherwise.</w:t>
            </w:r>
          </w:p>
        </w:tc>
        <w:tc>
          <w:tcPr>
            <w:tcW w:w="3163" w:type="dxa"/>
          </w:tcPr>
          <w:p w14:paraId="46E86572"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p>
          <w:p w14:paraId="5C88AB57"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CEPII database (2024)</w:t>
            </w:r>
          </w:p>
        </w:tc>
      </w:tr>
      <w:tr w:rsidR="00BE7986" w:rsidRPr="00A01893" w14:paraId="19DDDBA7" w14:textId="77777777" w:rsidTr="00B51D3F">
        <w:trPr>
          <w:cnfStyle w:val="000000100000" w:firstRow="0" w:lastRow="0" w:firstColumn="0" w:lastColumn="0" w:oddVBand="0" w:evenVBand="0" w:oddHBand="1" w:evenHBand="0" w:firstRowFirstColumn="0" w:firstRowLastColumn="0" w:lastRowFirstColumn="0" w:lastRowLastColumn="0"/>
          <w:trHeight w:val="1158"/>
        </w:trPr>
        <w:tc>
          <w:tcPr>
            <w:cnfStyle w:val="001000000000" w:firstRow="0" w:lastRow="0" w:firstColumn="1" w:lastColumn="0" w:oddVBand="0" w:evenVBand="0" w:oddHBand="0" w:evenHBand="0" w:firstRowFirstColumn="0" w:firstRowLastColumn="0" w:lastRowFirstColumn="0" w:lastRowLastColumn="0"/>
            <w:tcW w:w="3042" w:type="dxa"/>
          </w:tcPr>
          <w:p w14:paraId="719E94B9"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Colony</w:t>
            </w:r>
          </w:p>
        </w:tc>
        <w:tc>
          <w:tcPr>
            <w:tcW w:w="3043" w:type="dxa"/>
          </w:tcPr>
          <w:p w14:paraId="6BBC82E1"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The dummy variable equals 1 if pairs in a colonial relationship and 0, otherwise.</w:t>
            </w:r>
          </w:p>
        </w:tc>
        <w:tc>
          <w:tcPr>
            <w:tcW w:w="3163" w:type="dxa"/>
          </w:tcPr>
          <w:p w14:paraId="39F5E474"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p>
          <w:p w14:paraId="294A1394"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CEPII database (2024)</w:t>
            </w:r>
          </w:p>
        </w:tc>
      </w:tr>
      <w:tr w:rsidR="00BE7986" w:rsidRPr="00A01893" w14:paraId="256F9FE3" w14:textId="77777777" w:rsidTr="00B51D3F">
        <w:trPr>
          <w:trHeight w:val="773"/>
        </w:trPr>
        <w:tc>
          <w:tcPr>
            <w:cnfStyle w:val="001000000000" w:firstRow="0" w:lastRow="0" w:firstColumn="1" w:lastColumn="0" w:oddVBand="0" w:evenVBand="0" w:oddHBand="0" w:evenHBand="0" w:firstRowFirstColumn="0" w:firstRowLastColumn="0" w:lastRowFirstColumn="0" w:lastRowLastColumn="0"/>
            <w:tcW w:w="3042" w:type="dxa"/>
          </w:tcPr>
          <w:p w14:paraId="6F4042B3"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Population density</w:t>
            </w:r>
          </w:p>
        </w:tc>
        <w:tc>
          <w:tcPr>
            <w:tcW w:w="3043" w:type="dxa"/>
          </w:tcPr>
          <w:p w14:paraId="0F4BAD3D"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Population density of the partner country</w:t>
            </w:r>
          </w:p>
        </w:tc>
        <w:tc>
          <w:tcPr>
            <w:tcW w:w="3163" w:type="dxa"/>
          </w:tcPr>
          <w:p w14:paraId="6541B953"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tr w:rsidR="00BE7986" w:rsidRPr="00A01893" w14:paraId="1904810F" w14:textId="77777777" w:rsidTr="00B51D3F">
        <w:trPr>
          <w:cnfStyle w:val="000000100000" w:firstRow="0" w:lastRow="0" w:firstColumn="0" w:lastColumn="0" w:oddVBand="0" w:evenVBand="0" w:oddHBand="1" w:evenHBand="0" w:firstRowFirstColumn="0" w:firstRowLastColumn="0" w:lastRowFirstColumn="0" w:lastRowLastColumn="0"/>
          <w:trHeight w:val="868"/>
        </w:trPr>
        <w:tc>
          <w:tcPr>
            <w:cnfStyle w:val="001000000000" w:firstRow="0" w:lastRow="0" w:firstColumn="1" w:lastColumn="0" w:oddVBand="0" w:evenVBand="0" w:oddHBand="0" w:evenHBand="0" w:firstRowFirstColumn="0" w:firstRowLastColumn="0" w:lastRowFirstColumn="0" w:lastRowLastColumn="0"/>
            <w:tcW w:w="3042" w:type="dxa"/>
          </w:tcPr>
          <w:p w14:paraId="46558F2C"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Exchange rate</w:t>
            </w:r>
          </w:p>
        </w:tc>
        <w:tc>
          <w:tcPr>
            <w:tcW w:w="3043" w:type="dxa"/>
          </w:tcPr>
          <w:p w14:paraId="5B625E4E"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Official Exchange rates in US$ of importer</w:t>
            </w:r>
          </w:p>
        </w:tc>
        <w:tc>
          <w:tcPr>
            <w:tcW w:w="3163" w:type="dxa"/>
          </w:tcPr>
          <w:p w14:paraId="67C8AF93"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tr w:rsidR="00BE7986" w:rsidRPr="00A01893" w14:paraId="3BEC036A" w14:textId="77777777" w:rsidTr="00B51D3F">
        <w:trPr>
          <w:trHeight w:val="576"/>
        </w:trPr>
        <w:tc>
          <w:tcPr>
            <w:cnfStyle w:val="001000000000" w:firstRow="0" w:lastRow="0" w:firstColumn="1" w:lastColumn="0" w:oddVBand="0" w:evenVBand="0" w:oddHBand="0" w:evenHBand="0" w:firstRowFirstColumn="0" w:firstRowLastColumn="0" w:lastRowFirstColumn="0" w:lastRowLastColumn="0"/>
            <w:tcW w:w="3042" w:type="dxa"/>
          </w:tcPr>
          <w:p w14:paraId="5CD7CA14"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Financial development</w:t>
            </w:r>
          </w:p>
        </w:tc>
        <w:tc>
          <w:tcPr>
            <w:tcW w:w="3043" w:type="dxa"/>
          </w:tcPr>
          <w:p w14:paraId="5D7052DB"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Percentage of domestic credit to the private sector.</w:t>
            </w:r>
          </w:p>
        </w:tc>
        <w:tc>
          <w:tcPr>
            <w:tcW w:w="3163" w:type="dxa"/>
          </w:tcPr>
          <w:p w14:paraId="3927837C"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tr w:rsidR="00BE7986" w:rsidRPr="00A01893" w14:paraId="1D87AED9" w14:textId="77777777" w:rsidTr="00B51D3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042" w:type="dxa"/>
          </w:tcPr>
          <w:p w14:paraId="684BCB67"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Trade tariffs</w:t>
            </w:r>
          </w:p>
        </w:tc>
        <w:tc>
          <w:tcPr>
            <w:tcW w:w="3043" w:type="dxa"/>
          </w:tcPr>
          <w:p w14:paraId="3EC71CB6"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Tariff rates in the importer country.</w:t>
            </w:r>
          </w:p>
        </w:tc>
        <w:tc>
          <w:tcPr>
            <w:tcW w:w="3163" w:type="dxa"/>
          </w:tcPr>
          <w:p w14:paraId="77A55A57" w14:textId="77777777" w:rsidR="00BE7986" w:rsidRPr="00A01893" w:rsidRDefault="00BE7986" w:rsidP="00B51D3F">
            <w:pPr>
              <w:contextualSpacing/>
              <w:cnfStyle w:val="000000100000" w:firstRow="0" w:lastRow="0" w:firstColumn="0" w:lastColumn="0" w:oddVBand="0" w:evenVBand="0" w:oddHBand="1" w:evenHBand="0" w:firstRowFirstColumn="0" w:firstRowLastColumn="0" w:lastRowFirstColumn="0" w:lastRowLastColumn="0"/>
              <w:rPr>
                <w:rFonts w:ascii="Arial" w:hAnsi="Arial" w:cs="Arial"/>
                <w14:ligatures w14:val="none"/>
              </w:rPr>
            </w:pPr>
            <w:r w:rsidRPr="00A01893">
              <w:rPr>
                <w:rFonts w:ascii="Arial" w:hAnsi="Arial" w:cs="Arial"/>
                <w14:ligatures w14:val="none"/>
              </w:rPr>
              <w:t>WDI database (2024)</w:t>
            </w:r>
          </w:p>
        </w:tc>
      </w:tr>
      <w:tr w:rsidR="00BE7986" w:rsidRPr="00A01893" w14:paraId="2E01C102" w14:textId="77777777" w:rsidTr="00B51D3F">
        <w:trPr>
          <w:trHeight w:val="868"/>
        </w:trPr>
        <w:tc>
          <w:tcPr>
            <w:cnfStyle w:val="001000000000" w:firstRow="0" w:lastRow="0" w:firstColumn="1" w:lastColumn="0" w:oddVBand="0" w:evenVBand="0" w:oddHBand="0" w:evenHBand="0" w:firstRowFirstColumn="0" w:firstRowLastColumn="0" w:lastRowFirstColumn="0" w:lastRowLastColumn="0"/>
            <w:tcW w:w="3042" w:type="dxa"/>
            <w:tcBorders>
              <w:bottom w:val="single" w:sz="4" w:space="0" w:color="auto"/>
            </w:tcBorders>
          </w:tcPr>
          <w:p w14:paraId="794B7C64" w14:textId="77777777" w:rsidR="00BE7986" w:rsidRPr="00A01893" w:rsidRDefault="00BE7986" w:rsidP="00B51D3F">
            <w:pPr>
              <w:contextualSpacing/>
              <w:rPr>
                <w:rFonts w:ascii="Arial" w:hAnsi="Arial" w:cs="Arial"/>
                <w14:ligatures w14:val="none"/>
              </w:rPr>
            </w:pPr>
            <w:r w:rsidRPr="00A01893">
              <w:rPr>
                <w:rFonts w:ascii="Arial" w:hAnsi="Arial" w:cs="Arial"/>
                <w:i w:val="0"/>
                <w:iCs w:val="0"/>
                <w14:ligatures w14:val="none"/>
              </w:rPr>
              <w:t xml:space="preserve">Institutional quality </w:t>
            </w:r>
          </w:p>
        </w:tc>
        <w:tc>
          <w:tcPr>
            <w:tcW w:w="3043" w:type="dxa"/>
            <w:tcBorders>
              <w:bottom w:val="single" w:sz="4" w:space="0" w:color="auto"/>
            </w:tcBorders>
          </w:tcPr>
          <w:p w14:paraId="5FF0060E"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A computed variable from the principal component analysis.</w:t>
            </w:r>
          </w:p>
        </w:tc>
        <w:tc>
          <w:tcPr>
            <w:tcW w:w="3163" w:type="dxa"/>
            <w:tcBorders>
              <w:bottom w:val="single" w:sz="4" w:space="0" w:color="auto"/>
            </w:tcBorders>
          </w:tcPr>
          <w:p w14:paraId="16253F80" w14:textId="77777777" w:rsidR="00BE7986" w:rsidRPr="00A01893" w:rsidRDefault="00BE7986" w:rsidP="00B51D3F">
            <w:pPr>
              <w:contextualSpacing/>
              <w:cnfStyle w:val="000000000000" w:firstRow="0" w:lastRow="0" w:firstColumn="0" w:lastColumn="0" w:oddVBand="0" w:evenVBand="0" w:oddHBand="0" w:evenHBand="0" w:firstRowFirstColumn="0" w:firstRowLastColumn="0" w:lastRowFirstColumn="0" w:lastRowLastColumn="0"/>
              <w:rPr>
                <w:rFonts w:ascii="Arial" w:hAnsi="Arial" w:cs="Arial"/>
                <w14:ligatures w14:val="none"/>
              </w:rPr>
            </w:pPr>
            <w:r w:rsidRPr="00A01893">
              <w:rPr>
                <w:rFonts w:ascii="Arial" w:hAnsi="Arial" w:cs="Arial"/>
                <w14:ligatures w14:val="none"/>
              </w:rPr>
              <w:t>Author’s computation</w:t>
            </w:r>
          </w:p>
        </w:tc>
      </w:tr>
    </w:tbl>
    <w:p w14:paraId="14562359" w14:textId="77777777" w:rsidR="00BE7986" w:rsidRPr="00A01893" w:rsidRDefault="00BE7986" w:rsidP="00BE7986">
      <w:pPr>
        <w:rPr>
          <w:rFonts w:ascii="Arial" w:hAnsi="Arial" w:cs="Arial"/>
          <w:b/>
          <w:bCs/>
          <w:u w:val="single"/>
        </w:rPr>
        <w:sectPr w:rsidR="00BE7986" w:rsidRPr="00A01893" w:rsidSect="00BE7986">
          <w:pgSz w:w="12240" w:h="15840"/>
          <w:pgMar w:top="1440" w:right="1440" w:bottom="1440" w:left="1440" w:header="720" w:footer="720" w:gutter="0"/>
          <w:cols w:space="540"/>
          <w:docGrid w:linePitch="360"/>
        </w:sectPr>
      </w:pPr>
    </w:p>
    <w:p w14:paraId="4796DAF5" w14:textId="77777777" w:rsidR="00BE7986" w:rsidRPr="00EB28B3" w:rsidRDefault="00BE7986" w:rsidP="00BE7986">
      <w:pPr>
        <w:pStyle w:val="Caption"/>
        <w:keepNext/>
        <w:rPr>
          <w:rFonts w:ascii="Arial" w:hAnsi="Arial" w:cs="Arial"/>
          <w:i w:val="0"/>
          <w:iCs w:val="0"/>
          <w:color w:val="auto"/>
          <w:sz w:val="24"/>
          <w:szCs w:val="24"/>
        </w:rPr>
        <w:sectPr w:rsidR="00BE7986" w:rsidRPr="00EB28B3" w:rsidSect="00BE7986">
          <w:type w:val="continuous"/>
          <w:pgSz w:w="12240" w:h="15840"/>
          <w:pgMar w:top="1440" w:right="1440" w:bottom="1440" w:left="1440" w:header="720" w:footer="720" w:gutter="0"/>
          <w:cols w:space="360"/>
          <w:docGrid w:linePitch="360"/>
        </w:sectPr>
      </w:pPr>
    </w:p>
    <w:p w14:paraId="015AC9BE" w14:textId="77777777" w:rsidR="00BE7986" w:rsidRPr="00A01893" w:rsidRDefault="00BE7986" w:rsidP="00BE7986">
      <w:pPr>
        <w:contextualSpacing/>
        <w:rPr>
          <w:rFonts w:ascii="Arial" w:eastAsiaTheme="majorEastAsia" w:hAnsi="Arial" w:cs="Arial"/>
          <w:i/>
          <w:iCs/>
          <w:sz w:val="26"/>
          <w14:ligatures w14:val="none"/>
        </w:rPr>
        <w:sectPr w:rsidR="00BE7986" w:rsidRPr="00A01893" w:rsidSect="00BE7986">
          <w:type w:val="continuous"/>
          <w:pgSz w:w="12240" w:h="15840"/>
          <w:pgMar w:top="1440" w:right="1440" w:bottom="1440" w:left="1440" w:header="720" w:footer="720" w:gutter="0"/>
          <w:cols w:space="360"/>
          <w:docGrid w:linePitch="360"/>
        </w:sectPr>
      </w:pPr>
    </w:p>
    <w:p w14:paraId="12FA1E3F" w14:textId="77777777" w:rsidR="00BE7986" w:rsidRPr="00914A56" w:rsidRDefault="00BE7986" w:rsidP="00BE7986">
      <w:pPr>
        <w:spacing w:before="240" w:line="276" w:lineRule="auto"/>
        <w:rPr>
          <w:rFonts w:ascii="Arial" w:hAnsi="Arial" w:cs="Arial"/>
          <w:b/>
          <w:bCs/>
          <w:sz w:val="24"/>
          <w:szCs w:val="24"/>
        </w:rPr>
      </w:pPr>
      <w:r w:rsidRPr="00914A56">
        <w:rPr>
          <w:rFonts w:ascii="Arial" w:hAnsi="Arial" w:cs="Arial"/>
          <w:b/>
          <w:bCs/>
          <w:sz w:val="24"/>
          <w:szCs w:val="24"/>
        </w:rPr>
        <w:lastRenderedPageBreak/>
        <w:t xml:space="preserve">List of trading partners used </w:t>
      </w:r>
    </w:p>
    <w:p w14:paraId="20670E69" w14:textId="77777777" w:rsidR="00BE7986" w:rsidRPr="00A70A5E" w:rsidRDefault="00BE7986" w:rsidP="00BE7986">
      <w:pPr>
        <w:spacing w:before="240" w:line="276" w:lineRule="auto"/>
        <w:jc w:val="both"/>
        <w:rPr>
          <w:rFonts w:ascii="Arial" w:hAnsi="Arial" w:cs="Arial"/>
          <w:sz w:val="20"/>
          <w:szCs w:val="20"/>
        </w:rPr>
      </w:pPr>
      <w:r w:rsidRPr="00914A56">
        <w:rPr>
          <w:rFonts w:ascii="Arial" w:hAnsi="Arial" w:cs="Arial"/>
          <w:sz w:val="20"/>
          <w:szCs w:val="20"/>
        </w:rPr>
        <w:t>Angola, Andorra, United Arab Emirates, Armenia, Australia, Austria, Burundi, Belgium, Bangladesh, Bulgaria, Belarus, Brazil, Botswana, Canada, Switzerland, China, Cote d'Ivoire, Cameroon, Congo (Republic), Czech Republic, Germany, Denmark, Dominican Republic, Algeria., Egypt (Arab Republic), Eritrea, Spain, Ethiopia (excluding Eritrea), Finland, Fiji, France, Gabon, United Kingdom, Georgia, Ghana, Guinea, Gambia (The), Greece, Hong Kong (China), Croatia, Hungary, Indonesia, India, Ireland, Iran (Islamic Republic), Iceland, Israel, Italy, Jordan, Japan, Kazakhstan, Kenya, Cambodia, Korea (Republic), Kuwait, Lao PDR, Lebanon, Liberia, Latin America &amp; Caribbean, Sri Lanka, Lesotho, Lithuania, Luxembourg, Morocco, Moldova, Madagascar, Mexico, Malta, Mozambique, Mauritania, Mauritius, Malaysia, North America, Namibia, Nigeria, Netherlands, Norway, Oman, Pakistan, Philippines, Poland, Korea (Democratic Republic), Portugal, Paraguay, Qatar, Romania, Russian Federation, Rwanda, South Asia, Saudi Arabia, Senegal, Serbia (FR Serbia/Montenegro), Singapore, Sierra Leone, Sudan, Suriname, Sweden, Eswatini, Seychelles, Thailand, Tunisia, Turkey, Tanzania, Uganda, Ukraine, United States, Uzbekistan, Vietnam, South Africa, Congo (Democratic Republic), Zambia, and Zimbabwe.</w:t>
      </w:r>
    </w:p>
    <w:p w14:paraId="2CA0A7FA" w14:textId="77777777" w:rsidR="00BE7986" w:rsidRPr="00A70A5E" w:rsidRDefault="00BE7986" w:rsidP="00BE7986">
      <w:pPr>
        <w:spacing w:before="240" w:line="276" w:lineRule="auto"/>
        <w:rPr>
          <w:rFonts w:ascii="Arial" w:hAnsi="Arial" w:cs="Arial"/>
          <w:sz w:val="24"/>
          <w:szCs w:val="24"/>
        </w:rPr>
      </w:pPr>
      <w:r>
        <w:rPr>
          <w:rFonts w:ascii="Arial" w:hAnsi="Arial" w:cs="Arial"/>
          <w:b/>
          <w:bCs/>
          <w:sz w:val="24"/>
          <w:szCs w:val="24"/>
        </w:rPr>
        <w:t>Table</w:t>
      </w:r>
      <w:r w:rsidRPr="00D13977">
        <w:rPr>
          <w:rFonts w:ascii="Arial" w:hAnsi="Arial" w:cs="Arial"/>
          <w:b/>
          <w:bCs/>
          <w:sz w:val="24"/>
          <w:szCs w:val="24"/>
        </w:rPr>
        <w:t xml:space="preserve"> </w:t>
      </w:r>
      <w:r w:rsidRPr="00B320BB">
        <w:rPr>
          <w:rFonts w:ascii="Arial" w:hAnsi="Arial" w:cs="Arial"/>
          <w:b/>
          <w:bCs/>
          <w:sz w:val="24"/>
          <w:szCs w:val="24"/>
        </w:rPr>
        <w:t>A2: Model comparison with different distributions</w:t>
      </w:r>
    </w:p>
    <w:tbl>
      <w:tblPr>
        <w:tblW w:w="9379" w:type="dxa"/>
        <w:tblLook w:val="04A0" w:firstRow="1" w:lastRow="0" w:firstColumn="1" w:lastColumn="0" w:noHBand="0" w:noVBand="1"/>
      </w:tblPr>
      <w:tblGrid>
        <w:gridCol w:w="2476"/>
        <w:gridCol w:w="3289"/>
        <w:gridCol w:w="1807"/>
        <w:gridCol w:w="1807"/>
      </w:tblGrid>
      <w:tr w:rsidR="00BE7986" w:rsidRPr="00A70A5E" w14:paraId="6C5141C4" w14:textId="77777777" w:rsidTr="00B51D3F">
        <w:trPr>
          <w:trHeight w:val="296"/>
        </w:trPr>
        <w:tc>
          <w:tcPr>
            <w:tcW w:w="2476" w:type="dxa"/>
            <w:tcBorders>
              <w:top w:val="single" w:sz="4" w:space="0" w:color="auto"/>
              <w:bottom w:val="single" w:sz="4" w:space="0" w:color="auto"/>
            </w:tcBorders>
          </w:tcPr>
          <w:p w14:paraId="2A58EB24"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b/>
                <w:bCs/>
                <w:kern w:val="0"/>
                <w:sz w:val="24"/>
                <w:szCs w:val="24"/>
                <w14:ligatures w14:val="none"/>
              </w:rPr>
              <w:t>Survival Distribution</w:t>
            </w:r>
          </w:p>
        </w:tc>
        <w:tc>
          <w:tcPr>
            <w:tcW w:w="3289" w:type="dxa"/>
            <w:tcBorders>
              <w:top w:val="single" w:sz="4" w:space="0" w:color="auto"/>
              <w:bottom w:val="single" w:sz="4" w:space="0" w:color="auto"/>
            </w:tcBorders>
          </w:tcPr>
          <w:p w14:paraId="30418096"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b/>
                <w:bCs/>
                <w:kern w:val="0"/>
                <w:sz w:val="24"/>
                <w:szCs w:val="24"/>
                <w14:ligatures w14:val="none"/>
              </w:rPr>
              <w:t>Parameterization</w:t>
            </w:r>
          </w:p>
        </w:tc>
        <w:tc>
          <w:tcPr>
            <w:tcW w:w="1807" w:type="dxa"/>
            <w:tcBorders>
              <w:top w:val="single" w:sz="4" w:space="0" w:color="auto"/>
              <w:bottom w:val="single" w:sz="4" w:space="0" w:color="auto"/>
            </w:tcBorders>
          </w:tcPr>
          <w:p w14:paraId="5BEEB4AC"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b/>
                <w:bCs/>
                <w:kern w:val="0"/>
                <w:sz w:val="24"/>
                <w:szCs w:val="24"/>
                <w14:ligatures w14:val="none"/>
              </w:rPr>
              <w:t>AIC</w:t>
            </w:r>
          </w:p>
        </w:tc>
        <w:tc>
          <w:tcPr>
            <w:tcW w:w="1807" w:type="dxa"/>
            <w:tcBorders>
              <w:top w:val="single" w:sz="4" w:space="0" w:color="auto"/>
              <w:bottom w:val="single" w:sz="4" w:space="0" w:color="auto"/>
            </w:tcBorders>
          </w:tcPr>
          <w:p w14:paraId="6F961930"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b/>
                <w:bCs/>
                <w:kern w:val="0"/>
                <w:sz w:val="24"/>
                <w:szCs w:val="24"/>
                <w14:ligatures w14:val="none"/>
              </w:rPr>
              <w:t>BIC</w:t>
            </w:r>
          </w:p>
        </w:tc>
      </w:tr>
      <w:tr w:rsidR="00BE7986" w:rsidRPr="00A70A5E" w14:paraId="2A89CCDB" w14:textId="77777777" w:rsidTr="00B51D3F">
        <w:trPr>
          <w:trHeight w:val="259"/>
        </w:trPr>
        <w:tc>
          <w:tcPr>
            <w:tcW w:w="2476" w:type="dxa"/>
            <w:tcBorders>
              <w:top w:val="single" w:sz="4" w:space="0" w:color="auto"/>
            </w:tcBorders>
          </w:tcPr>
          <w:p w14:paraId="0454FBCF"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 xml:space="preserve">Exponential </w:t>
            </w:r>
          </w:p>
        </w:tc>
        <w:tc>
          <w:tcPr>
            <w:tcW w:w="3289" w:type="dxa"/>
            <w:tcBorders>
              <w:top w:val="single" w:sz="4" w:space="0" w:color="auto"/>
            </w:tcBorders>
          </w:tcPr>
          <w:p w14:paraId="4B4CF490"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Gamma</w:t>
            </w:r>
          </w:p>
        </w:tc>
        <w:tc>
          <w:tcPr>
            <w:tcW w:w="1807" w:type="dxa"/>
            <w:tcBorders>
              <w:top w:val="single" w:sz="4" w:space="0" w:color="auto"/>
            </w:tcBorders>
          </w:tcPr>
          <w:p w14:paraId="624F1346"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2986.017</w:t>
            </w:r>
          </w:p>
        </w:tc>
        <w:tc>
          <w:tcPr>
            <w:tcW w:w="1807" w:type="dxa"/>
            <w:tcBorders>
              <w:top w:val="single" w:sz="4" w:space="0" w:color="auto"/>
            </w:tcBorders>
          </w:tcPr>
          <w:p w14:paraId="0EA351E7"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3069.584</w:t>
            </w:r>
          </w:p>
        </w:tc>
      </w:tr>
      <w:tr w:rsidR="00BE7986" w:rsidRPr="00A70A5E" w14:paraId="0971D575" w14:textId="77777777" w:rsidTr="00B51D3F">
        <w:trPr>
          <w:trHeight w:val="272"/>
        </w:trPr>
        <w:tc>
          <w:tcPr>
            <w:tcW w:w="2476" w:type="dxa"/>
          </w:tcPr>
          <w:p w14:paraId="0384C168"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Weibull</w:t>
            </w:r>
          </w:p>
        </w:tc>
        <w:tc>
          <w:tcPr>
            <w:tcW w:w="3289" w:type="dxa"/>
          </w:tcPr>
          <w:p w14:paraId="16FC7013"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Gamma</w:t>
            </w:r>
          </w:p>
        </w:tc>
        <w:tc>
          <w:tcPr>
            <w:tcW w:w="1807" w:type="dxa"/>
          </w:tcPr>
          <w:p w14:paraId="6D6452B4"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w:t>
            </w:r>
          </w:p>
        </w:tc>
        <w:tc>
          <w:tcPr>
            <w:tcW w:w="1807" w:type="dxa"/>
          </w:tcPr>
          <w:p w14:paraId="3CC5C05F"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w:t>
            </w:r>
          </w:p>
        </w:tc>
      </w:tr>
      <w:tr w:rsidR="00BE7986" w:rsidRPr="00A70A5E" w14:paraId="49D0C557" w14:textId="77777777" w:rsidTr="00B51D3F">
        <w:trPr>
          <w:trHeight w:val="272"/>
        </w:trPr>
        <w:tc>
          <w:tcPr>
            <w:tcW w:w="2476" w:type="dxa"/>
          </w:tcPr>
          <w:p w14:paraId="6F168DEB"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 xml:space="preserve">Gompertz </w:t>
            </w:r>
          </w:p>
        </w:tc>
        <w:tc>
          <w:tcPr>
            <w:tcW w:w="3289" w:type="dxa"/>
          </w:tcPr>
          <w:p w14:paraId="4F4F54D9"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Gamma</w:t>
            </w:r>
          </w:p>
        </w:tc>
        <w:tc>
          <w:tcPr>
            <w:tcW w:w="1807" w:type="dxa"/>
          </w:tcPr>
          <w:p w14:paraId="3176F900"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2928.275</w:t>
            </w:r>
          </w:p>
        </w:tc>
        <w:tc>
          <w:tcPr>
            <w:tcW w:w="1807" w:type="dxa"/>
          </w:tcPr>
          <w:p w14:paraId="3C3B4B9E"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3016.758</w:t>
            </w:r>
          </w:p>
        </w:tc>
      </w:tr>
      <w:tr w:rsidR="00BE7986" w:rsidRPr="00A70A5E" w14:paraId="5AE324AC" w14:textId="77777777" w:rsidTr="00B51D3F">
        <w:trPr>
          <w:trHeight w:val="259"/>
        </w:trPr>
        <w:tc>
          <w:tcPr>
            <w:tcW w:w="2476" w:type="dxa"/>
          </w:tcPr>
          <w:p w14:paraId="692F6562"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kern w:val="0"/>
                <w:sz w:val="24"/>
                <w:szCs w:val="24"/>
                <w14:ligatures w14:val="none"/>
              </w:rPr>
              <w:t xml:space="preserve">Exponential </w:t>
            </w:r>
          </w:p>
        </w:tc>
        <w:tc>
          <w:tcPr>
            <w:tcW w:w="3289" w:type="dxa"/>
          </w:tcPr>
          <w:p w14:paraId="5A514514"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Inverse-Gaussian</w:t>
            </w:r>
          </w:p>
        </w:tc>
        <w:tc>
          <w:tcPr>
            <w:tcW w:w="1807" w:type="dxa"/>
          </w:tcPr>
          <w:p w14:paraId="7AD4005B"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2954.262</w:t>
            </w:r>
          </w:p>
        </w:tc>
        <w:tc>
          <w:tcPr>
            <w:tcW w:w="1807" w:type="dxa"/>
          </w:tcPr>
          <w:p w14:paraId="321E9912"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3032.914</w:t>
            </w:r>
          </w:p>
        </w:tc>
      </w:tr>
      <w:tr w:rsidR="00BE7986" w:rsidRPr="00A70A5E" w14:paraId="10A697B1" w14:textId="77777777" w:rsidTr="00B51D3F">
        <w:trPr>
          <w:trHeight w:val="272"/>
        </w:trPr>
        <w:tc>
          <w:tcPr>
            <w:tcW w:w="2476" w:type="dxa"/>
          </w:tcPr>
          <w:p w14:paraId="5702D238"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kern w:val="0"/>
                <w:sz w:val="24"/>
                <w:szCs w:val="24"/>
                <w14:ligatures w14:val="none"/>
              </w:rPr>
              <w:t xml:space="preserve">Weibull </w:t>
            </w:r>
          </w:p>
        </w:tc>
        <w:tc>
          <w:tcPr>
            <w:tcW w:w="3289" w:type="dxa"/>
          </w:tcPr>
          <w:p w14:paraId="2247923A"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Inverse-Gaussian</w:t>
            </w:r>
          </w:p>
        </w:tc>
        <w:tc>
          <w:tcPr>
            <w:tcW w:w="1807" w:type="dxa"/>
          </w:tcPr>
          <w:p w14:paraId="2EC1736B"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2874.559</w:t>
            </w:r>
          </w:p>
        </w:tc>
        <w:tc>
          <w:tcPr>
            <w:tcW w:w="1807" w:type="dxa"/>
          </w:tcPr>
          <w:p w14:paraId="4E759A20"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2963.082</w:t>
            </w:r>
          </w:p>
        </w:tc>
      </w:tr>
      <w:tr w:rsidR="00BE7986" w:rsidRPr="00A70A5E" w14:paraId="21E65AE5" w14:textId="77777777" w:rsidTr="00B51D3F">
        <w:trPr>
          <w:trHeight w:val="272"/>
        </w:trPr>
        <w:tc>
          <w:tcPr>
            <w:tcW w:w="2476" w:type="dxa"/>
            <w:tcBorders>
              <w:bottom w:val="single" w:sz="4" w:space="0" w:color="auto"/>
            </w:tcBorders>
          </w:tcPr>
          <w:p w14:paraId="62162183"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b/>
                <w:bCs/>
                <w:kern w:val="0"/>
                <w:sz w:val="24"/>
                <w:szCs w:val="24"/>
                <w14:ligatures w14:val="none"/>
              </w:rPr>
            </w:pPr>
            <w:r w:rsidRPr="00A70A5E">
              <w:rPr>
                <w:rFonts w:ascii="Arial" w:eastAsiaTheme="minorEastAsia" w:hAnsi="Arial" w:cs="Arial"/>
                <w:kern w:val="0"/>
                <w:sz w:val="24"/>
                <w:szCs w:val="24"/>
                <w14:ligatures w14:val="none"/>
              </w:rPr>
              <w:t xml:space="preserve">Gompertz </w:t>
            </w:r>
          </w:p>
        </w:tc>
        <w:tc>
          <w:tcPr>
            <w:tcW w:w="3289" w:type="dxa"/>
            <w:tcBorders>
              <w:bottom w:val="single" w:sz="4" w:space="0" w:color="auto"/>
            </w:tcBorders>
          </w:tcPr>
          <w:p w14:paraId="061091FC"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Inverse-Gaussian</w:t>
            </w:r>
          </w:p>
        </w:tc>
        <w:tc>
          <w:tcPr>
            <w:tcW w:w="1807" w:type="dxa"/>
            <w:tcBorders>
              <w:bottom w:val="single" w:sz="4" w:space="0" w:color="auto"/>
            </w:tcBorders>
          </w:tcPr>
          <w:p w14:paraId="44BD1988"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2952.556</w:t>
            </w:r>
          </w:p>
        </w:tc>
        <w:tc>
          <w:tcPr>
            <w:tcW w:w="1807" w:type="dxa"/>
            <w:tcBorders>
              <w:bottom w:val="single" w:sz="4" w:space="0" w:color="auto"/>
            </w:tcBorders>
          </w:tcPr>
          <w:p w14:paraId="25895DF6" w14:textId="77777777" w:rsidR="00BE7986" w:rsidRPr="00A70A5E" w:rsidRDefault="00BE7986" w:rsidP="00B51D3F">
            <w:pPr>
              <w:widowControl w:val="0"/>
              <w:autoSpaceDE w:val="0"/>
              <w:autoSpaceDN w:val="0"/>
              <w:adjustRightInd w:val="0"/>
              <w:spacing w:after="0" w:line="276" w:lineRule="auto"/>
              <w:jc w:val="center"/>
              <w:rPr>
                <w:rFonts w:ascii="Arial" w:eastAsiaTheme="minorEastAsia" w:hAnsi="Arial" w:cs="Arial"/>
                <w:kern w:val="0"/>
                <w:sz w:val="24"/>
                <w:szCs w:val="24"/>
                <w14:ligatures w14:val="none"/>
              </w:rPr>
            </w:pPr>
            <w:r w:rsidRPr="00A70A5E">
              <w:rPr>
                <w:rFonts w:ascii="Arial" w:eastAsiaTheme="minorEastAsia" w:hAnsi="Arial" w:cs="Arial"/>
                <w:kern w:val="0"/>
                <w:sz w:val="24"/>
                <w:szCs w:val="24"/>
                <w14:ligatures w14:val="none"/>
              </w:rPr>
              <w:t>3041.039</w:t>
            </w:r>
          </w:p>
        </w:tc>
      </w:tr>
    </w:tbl>
    <w:p w14:paraId="1D39C355" w14:textId="77777777" w:rsidR="00BE7986" w:rsidRDefault="00BE7986" w:rsidP="00BE7986">
      <w:pPr>
        <w:spacing w:line="276" w:lineRule="auto"/>
        <w:jc w:val="both"/>
        <w:rPr>
          <w:rFonts w:ascii="Arial" w:eastAsiaTheme="minorEastAsia" w:hAnsi="Arial" w:cs="Arial"/>
          <w:sz w:val="24"/>
          <w:szCs w:val="24"/>
        </w:rPr>
      </w:pPr>
      <w:r w:rsidRPr="000E1C04">
        <w:rPr>
          <w:rFonts w:ascii="Arial" w:hAnsi="Arial" w:cs="Arial"/>
          <w:b/>
          <w:bCs/>
          <w:noProof/>
          <w:sz w:val="24"/>
          <w:szCs w:val="24"/>
        </w:rPr>
        <w:drawing>
          <wp:anchor distT="0" distB="0" distL="114300" distR="114300" simplePos="0" relativeHeight="251659264" behindDoc="0" locked="0" layoutInCell="1" allowOverlap="1" wp14:anchorId="47FF6AAA" wp14:editId="2CABD081">
            <wp:simplePos x="0" y="0"/>
            <wp:positionH relativeFrom="margin">
              <wp:align>right</wp:align>
            </wp:positionH>
            <wp:positionV relativeFrom="paragraph">
              <wp:posOffset>514350</wp:posOffset>
            </wp:positionV>
            <wp:extent cx="5943600" cy="3037205"/>
            <wp:effectExtent l="0" t="0" r="0" b="0"/>
            <wp:wrapSquare wrapText="bothSides"/>
            <wp:docPr id="4" name="Chart 4">
              <a:extLst xmlns:a="http://schemas.openxmlformats.org/drawingml/2006/main">
                <a:ext uri="{FF2B5EF4-FFF2-40B4-BE49-F238E27FC236}">
                  <a16:creationId xmlns:a16="http://schemas.microsoft.com/office/drawing/2014/main" id="{7279933B-A92D-48FA-A750-2B9F96B361C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14:sizeRelH relativeFrom="margin">
              <wp14:pctWidth>0</wp14:pctWidth>
            </wp14:sizeRelH>
            <wp14:sizeRelV relativeFrom="margin">
              <wp14:pctHeight>0</wp14:pctHeight>
            </wp14:sizeRelV>
          </wp:anchor>
        </w:drawing>
      </w:r>
      <w:r w:rsidRPr="00A70A5E">
        <w:rPr>
          <w:rFonts w:ascii="Arial" w:eastAsiaTheme="minorEastAsia" w:hAnsi="Arial" w:cs="Arial"/>
          <w:sz w:val="24"/>
          <w:szCs w:val="24"/>
        </w:rPr>
        <w:t>*Convergence not achieved</w:t>
      </w:r>
    </w:p>
    <w:p w14:paraId="4C0759F0" w14:textId="77777777" w:rsidR="00BE7986" w:rsidRPr="003A273D" w:rsidRDefault="00BE7986" w:rsidP="00BE7986">
      <w:pPr>
        <w:spacing w:line="276" w:lineRule="auto"/>
        <w:jc w:val="both"/>
        <w:rPr>
          <w:rFonts w:ascii="Arial" w:eastAsiaTheme="minorEastAsia" w:hAnsi="Arial" w:cs="Arial"/>
          <w:b/>
          <w:bCs/>
        </w:rPr>
      </w:pPr>
      <w:r w:rsidRPr="003A273D">
        <w:rPr>
          <w:rFonts w:ascii="Arial" w:eastAsiaTheme="minorEastAsia" w:hAnsi="Arial" w:cs="Arial"/>
          <w:b/>
          <w:bCs/>
        </w:rPr>
        <w:t xml:space="preserve">Figure A1: </w:t>
      </w:r>
      <w:r w:rsidRPr="003A273D">
        <w:rPr>
          <w:rFonts w:ascii="Arial" w:hAnsi="Arial" w:cs="Arial"/>
          <w:b/>
          <w:bCs/>
        </w:rPr>
        <w:t>Bubble graph on the prospects of market diversification: Evidence from Malawi</w:t>
      </w:r>
    </w:p>
    <w:p w14:paraId="51121FA8" w14:textId="77777777" w:rsidR="00BE7986" w:rsidRPr="008E6EEB" w:rsidRDefault="00BE7986" w:rsidP="00BE7986">
      <w:pPr>
        <w:rPr>
          <w:rFonts w:ascii="Arial" w:hAnsi="Arial" w:cs="Arial"/>
          <w:b/>
          <w:bCs/>
          <w:sz w:val="24"/>
          <w:szCs w:val="24"/>
        </w:rPr>
      </w:pPr>
      <w:r w:rsidRPr="008E6EEB">
        <w:rPr>
          <w:rFonts w:ascii="Arial" w:hAnsi="Arial" w:cs="Arial"/>
          <w:b/>
          <w:bCs/>
          <w:sz w:val="24"/>
          <w:szCs w:val="24"/>
        </w:rPr>
        <w:lastRenderedPageBreak/>
        <w:t>Figure A2: Histogram of Export Values: Evidence from Malawi in USD</w:t>
      </w:r>
    </w:p>
    <w:p w14:paraId="3F555735" w14:textId="77777777" w:rsidR="00BE7986" w:rsidRPr="00A01893" w:rsidRDefault="00BE7986" w:rsidP="00BE7986">
      <w:pPr>
        <w:rPr>
          <w:rFonts w:ascii="Arial" w:hAnsi="Arial" w:cs="Arial"/>
          <w:i/>
          <w:iCs/>
          <w:sz w:val="24"/>
          <w:szCs w:val="24"/>
        </w:rPr>
      </w:pPr>
      <w:r w:rsidRPr="00A01893">
        <w:rPr>
          <w:rFonts w:ascii="Arial" w:hAnsi="Arial" w:cs="Arial"/>
          <w:i/>
          <w:iCs/>
          <w:noProof/>
          <w:sz w:val="24"/>
          <w:szCs w:val="24"/>
        </w:rPr>
        <w:drawing>
          <wp:anchor distT="0" distB="0" distL="114300" distR="114300" simplePos="0" relativeHeight="251660288" behindDoc="1" locked="0" layoutInCell="1" allowOverlap="1" wp14:anchorId="566AA90C" wp14:editId="6F7750DC">
            <wp:simplePos x="0" y="0"/>
            <wp:positionH relativeFrom="margin">
              <wp:posOffset>-246490</wp:posOffset>
            </wp:positionH>
            <wp:positionV relativeFrom="paragraph">
              <wp:posOffset>66979</wp:posOffset>
            </wp:positionV>
            <wp:extent cx="5693249" cy="2949575"/>
            <wp:effectExtent l="0" t="0" r="3175" b="3175"/>
            <wp:wrapNone/>
            <wp:docPr id="8" name="Picture 8" descr="A graph of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numbers and a lin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5693249" cy="2949575"/>
                    </a:xfrm>
                    <a:prstGeom prst="rect">
                      <a:avLst/>
                    </a:prstGeom>
                    <a:noFill/>
                  </pic:spPr>
                </pic:pic>
              </a:graphicData>
            </a:graphic>
            <wp14:sizeRelH relativeFrom="margin">
              <wp14:pctWidth>0</wp14:pctWidth>
            </wp14:sizeRelH>
            <wp14:sizeRelV relativeFrom="margin">
              <wp14:pctHeight>0</wp14:pctHeight>
            </wp14:sizeRelV>
          </wp:anchor>
        </w:drawing>
      </w:r>
    </w:p>
    <w:p w14:paraId="6F780F61" w14:textId="77777777" w:rsidR="00F553FF" w:rsidRDefault="00F553FF"/>
    <w:sectPr w:rsidR="00F553FF" w:rsidSect="00BE798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986"/>
    <w:rsid w:val="00040A74"/>
    <w:rsid w:val="0009686D"/>
    <w:rsid w:val="003C2EF4"/>
    <w:rsid w:val="00B74216"/>
    <w:rsid w:val="00BE798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AC8C9"/>
  <w15:chartTrackingRefBased/>
  <w15:docId w15:val="{5FECE91F-7B23-4B4B-AAAF-28C0723D7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986"/>
  </w:style>
  <w:style w:type="paragraph" w:styleId="Heading1">
    <w:name w:val="heading 1"/>
    <w:basedOn w:val="Normal"/>
    <w:next w:val="Normal"/>
    <w:link w:val="Heading1Char"/>
    <w:uiPriority w:val="9"/>
    <w:qFormat/>
    <w:rsid w:val="00BE79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79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79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79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79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798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798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798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798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9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79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79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79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79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79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79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79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7986"/>
    <w:rPr>
      <w:rFonts w:eastAsiaTheme="majorEastAsia" w:cstheme="majorBidi"/>
      <w:color w:val="272727" w:themeColor="text1" w:themeTint="D8"/>
    </w:rPr>
  </w:style>
  <w:style w:type="paragraph" w:styleId="Title">
    <w:name w:val="Title"/>
    <w:basedOn w:val="Normal"/>
    <w:next w:val="Normal"/>
    <w:link w:val="TitleChar"/>
    <w:uiPriority w:val="10"/>
    <w:qFormat/>
    <w:rsid w:val="00BE79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79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79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79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7986"/>
    <w:pPr>
      <w:spacing w:before="160"/>
      <w:jc w:val="center"/>
    </w:pPr>
    <w:rPr>
      <w:i/>
      <w:iCs/>
      <w:color w:val="404040" w:themeColor="text1" w:themeTint="BF"/>
    </w:rPr>
  </w:style>
  <w:style w:type="character" w:customStyle="1" w:styleId="QuoteChar">
    <w:name w:val="Quote Char"/>
    <w:basedOn w:val="DefaultParagraphFont"/>
    <w:link w:val="Quote"/>
    <w:uiPriority w:val="29"/>
    <w:rsid w:val="00BE7986"/>
    <w:rPr>
      <w:i/>
      <w:iCs/>
      <w:color w:val="404040" w:themeColor="text1" w:themeTint="BF"/>
    </w:rPr>
  </w:style>
  <w:style w:type="paragraph" w:styleId="ListParagraph">
    <w:name w:val="List Paragraph"/>
    <w:basedOn w:val="Normal"/>
    <w:uiPriority w:val="34"/>
    <w:qFormat/>
    <w:rsid w:val="00BE7986"/>
    <w:pPr>
      <w:ind w:left="720"/>
      <w:contextualSpacing/>
    </w:pPr>
  </w:style>
  <w:style w:type="character" w:styleId="IntenseEmphasis">
    <w:name w:val="Intense Emphasis"/>
    <w:basedOn w:val="DefaultParagraphFont"/>
    <w:uiPriority w:val="21"/>
    <w:qFormat/>
    <w:rsid w:val="00BE7986"/>
    <w:rPr>
      <w:i/>
      <w:iCs/>
      <w:color w:val="0F4761" w:themeColor="accent1" w:themeShade="BF"/>
    </w:rPr>
  </w:style>
  <w:style w:type="paragraph" w:styleId="IntenseQuote">
    <w:name w:val="Intense Quote"/>
    <w:basedOn w:val="Normal"/>
    <w:next w:val="Normal"/>
    <w:link w:val="IntenseQuoteChar"/>
    <w:uiPriority w:val="30"/>
    <w:qFormat/>
    <w:rsid w:val="00BE79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7986"/>
    <w:rPr>
      <w:i/>
      <w:iCs/>
      <w:color w:val="0F4761" w:themeColor="accent1" w:themeShade="BF"/>
    </w:rPr>
  </w:style>
  <w:style w:type="character" w:styleId="IntenseReference">
    <w:name w:val="Intense Reference"/>
    <w:basedOn w:val="DefaultParagraphFont"/>
    <w:uiPriority w:val="32"/>
    <w:qFormat/>
    <w:rsid w:val="00BE7986"/>
    <w:rPr>
      <w:b/>
      <w:bCs/>
      <w:smallCaps/>
      <w:color w:val="0F4761" w:themeColor="accent1" w:themeShade="BF"/>
      <w:spacing w:val="5"/>
    </w:rPr>
  </w:style>
  <w:style w:type="paragraph" w:styleId="Caption">
    <w:name w:val="caption"/>
    <w:basedOn w:val="Normal"/>
    <w:next w:val="Normal"/>
    <w:uiPriority w:val="35"/>
    <w:unhideWhenUsed/>
    <w:qFormat/>
    <w:rsid w:val="00BE7986"/>
    <w:pPr>
      <w:spacing w:after="200" w:line="240" w:lineRule="auto"/>
    </w:pPr>
    <w:rPr>
      <w:i/>
      <w:iCs/>
      <w:color w:val="0E2841" w:themeColor="text2"/>
      <w:sz w:val="18"/>
      <w:szCs w:val="18"/>
    </w:rPr>
  </w:style>
  <w:style w:type="table" w:styleId="PlainTable5">
    <w:name w:val="Plain Table 5"/>
    <w:basedOn w:val="TableNormal"/>
    <w:uiPriority w:val="45"/>
    <w:rsid w:val="00BE7986"/>
    <w:pPr>
      <w:spacing w:after="0" w:line="240" w:lineRule="auto"/>
    </w:pPr>
    <w:rPr>
      <w:kern w:val="0"/>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7096372568813522E-2"/>
          <c:y val="0.11595963061956704"/>
          <c:w val="0.93084182133870019"/>
          <c:h val="0.74657439909644241"/>
        </c:manualLayout>
      </c:layout>
      <c:bubbleChart>
        <c:varyColors val="0"/>
        <c:ser>
          <c:idx val="1"/>
          <c:order val="0"/>
          <c:tx>
            <c:strRef>
              <c:f>Graphs!$J$1</c:f>
              <c:strCache>
                <c:ptCount val="1"/>
                <c:pt idx="0">
                  <c:v>Share of partners countries in world imports(%)</c:v>
                </c:pt>
              </c:strCache>
            </c:strRef>
          </c:tx>
          <c:spPr>
            <a:solidFill>
              <a:srgbClr val="E7E6E6">
                <a:lumMod val="50000"/>
              </a:srgbClr>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tx>
                <c:rich>
                  <a:bodyPr/>
                  <a:lstStyle/>
                  <a:p>
                    <a:fld id="{38CC9F06-63C9-4F29-9002-D598D7307DC0}" type="CELLRANGE">
                      <a:rPr lang="en-US"/>
                      <a:pPr/>
                      <a:t>[CELLRANGE]</a:t>
                    </a:fld>
                    <a:endParaRPr lang="en-US"/>
                  </a:p>
                </c:rich>
              </c:tx>
              <c:dLblPos val="t"/>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0-456F-45A0-BACD-BD2C292ADBD7}"/>
                </c:ext>
              </c:extLst>
            </c:dLbl>
            <c:dLbl>
              <c:idx val="1"/>
              <c:layout>
                <c:manualLayout>
                  <c:x val="1.274292254979972E-3"/>
                  <c:y val="-6.1516412601407673E-2"/>
                </c:manualLayout>
              </c:layout>
              <c:tx>
                <c:rich>
                  <a:bodyPr/>
                  <a:lstStyle/>
                  <a:p>
                    <a:fld id="{6606B401-09C8-4368-9A66-7EA00A43A42B}"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1-456F-45A0-BACD-BD2C292ADBD7}"/>
                </c:ext>
              </c:extLst>
            </c:dLbl>
            <c:dLbl>
              <c:idx val="2"/>
              <c:layout>
                <c:manualLayout>
                  <c:x val="2.2833263328493534E-2"/>
                  <c:y val="-3.4644214026808645E-2"/>
                </c:manualLayout>
              </c:layout>
              <c:tx>
                <c:rich>
                  <a:bodyPr/>
                  <a:lstStyle/>
                  <a:p>
                    <a:fld id="{A3C0D25E-861C-4215-A88A-B3035557A15E}"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2-456F-45A0-BACD-BD2C292ADBD7}"/>
                </c:ext>
              </c:extLst>
            </c:dLbl>
            <c:dLbl>
              <c:idx val="3"/>
              <c:layout>
                <c:manualLayout>
                  <c:x val="4.0094984165179532E-3"/>
                  <c:y val="5.6762739015200944E-2"/>
                </c:manualLayout>
              </c:layout>
              <c:tx>
                <c:rich>
                  <a:bodyPr/>
                  <a:lstStyle/>
                  <a:p>
                    <a:fld id="{C7D73B31-B6B8-4527-B5B8-E060EE18290F}"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3-456F-45A0-BACD-BD2C292ADBD7}"/>
                </c:ext>
              </c:extLst>
            </c:dLbl>
            <c:dLbl>
              <c:idx val="4"/>
              <c:layout>
                <c:manualLayout>
                  <c:x val="-1.9403178224068226E-2"/>
                  <c:y val="-0.10560035172525625"/>
                </c:manualLayout>
              </c:layout>
              <c:tx>
                <c:rich>
                  <a:bodyPr/>
                  <a:lstStyle/>
                  <a:p>
                    <a:fld id="{A567B34F-C5C8-4745-A290-1210EA280E45}"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4-456F-45A0-BACD-BD2C292ADBD7}"/>
                </c:ext>
              </c:extLst>
            </c:dLbl>
            <c:dLbl>
              <c:idx val="5"/>
              <c:layout>
                <c:manualLayout>
                  <c:x val="1.824734901467814E-2"/>
                  <c:y val="-9.6255840319628513E-2"/>
                </c:manualLayout>
              </c:layout>
              <c:tx>
                <c:rich>
                  <a:bodyPr/>
                  <a:lstStyle/>
                  <a:p>
                    <a:fld id="{F12E05F3-CCB4-45C8-80FE-50BA3770BB33}"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5-456F-45A0-BACD-BD2C292ADBD7}"/>
                </c:ext>
              </c:extLst>
            </c:dLbl>
            <c:dLbl>
              <c:idx val="6"/>
              <c:layout>
                <c:manualLayout>
                  <c:x val="-5.5308904337307931E-2"/>
                  <c:y val="6.032313771236112E-2"/>
                </c:manualLayout>
              </c:layout>
              <c:tx>
                <c:rich>
                  <a:bodyPr/>
                  <a:lstStyle/>
                  <a:p>
                    <a:fld id="{5C8033A0-D592-402E-8523-ABF7E2CC8712}"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6-456F-45A0-BACD-BD2C292ADBD7}"/>
                </c:ext>
              </c:extLst>
            </c:dLbl>
            <c:dLbl>
              <c:idx val="7"/>
              <c:layout>
                <c:manualLayout>
                  <c:x val="-6.1369200833177054E-2"/>
                  <c:y val="-7.0833784712571124E-2"/>
                </c:manualLayout>
              </c:layout>
              <c:tx>
                <c:rich>
                  <a:bodyPr/>
                  <a:lstStyle/>
                  <a:p>
                    <a:fld id="{21E8C81F-A302-48EB-B963-B1C669DADFAA}"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7-456F-45A0-BACD-BD2C292ADBD7}"/>
                </c:ext>
              </c:extLst>
            </c:dLbl>
            <c:dLbl>
              <c:idx val="8"/>
              <c:layout>
                <c:manualLayout>
                  <c:x val="-0.29152321973435347"/>
                  <c:y val="3.6069931629332419E-2"/>
                </c:manualLayout>
              </c:layout>
              <c:tx>
                <c:rich>
                  <a:bodyPr/>
                  <a:lstStyle/>
                  <a:p>
                    <a:fld id="{31882152-3E5A-474E-9ADB-0105CA761731}"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8-456F-45A0-BACD-BD2C292ADBD7}"/>
                </c:ext>
              </c:extLst>
            </c:dLbl>
            <c:dLbl>
              <c:idx val="9"/>
              <c:layout>
                <c:manualLayout>
                  <c:x val="6.3545128151151695E-3"/>
                  <c:y val="9.8199326391390611E-3"/>
                </c:manualLayout>
              </c:layout>
              <c:tx>
                <c:rich>
                  <a:bodyPr/>
                  <a:lstStyle/>
                  <a:p>
                    <a:fld id="{2BF6094F-8528-4F66-964A-8A6BF435933F}"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9-456F-45A0-BACD-BD2C292ADBD7}"/>
                </c:ext>
              </c:extLst>
            </c:dLbl>
            <c:dLbl>
              <c:idx val="10"/>
              <c:layout>
                <c:manualLayout>
                  <c:x val="1.6058193635341552E-2"/>
                  <c:y val="-0.16175811063469089"/>
                </c:manualLayout>
              </c:layout>
              <c:tx>
                <c:rich>
                  <a:bodyPr/>
                  <a:lstStyle/>
                  <a:p>
                    <a:fld id="{359F2D0E-7C5E-489D-A8FB-4F6C750A1A2C}"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A-456F-45A0-BACD-BD2C292ADBD7}"/>
                </c:ext>
              </c:extLst>
            </c:dLbl>
            <c:dLbl>
              <c:idx val="11"/>
              <c:layout>
                <c:manualLayout>
                  <c:x val="-0.10377493116045959"/>
                  <c:y val="-5.0171735193762126E-2"/>
                </c:manualLayout>
              </c:layout>
              <c:tx>
                <c:rich>
                  <a:bodyPr/>
                  <a:lstStyle/>
                  <a:p>
                    <a:fld id="{944B4A65-003F-4224-8DD3-940CCC22EF53}"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B-456F-45A0-BACD-BD2C292ADBD7}"/>
                </c:ext>
              </c:extLst>
            </c:dLbl>
            <c:dLbl>
              <c:idx val="12"/>
              <c:layout>
                <c:manualLayout>
                  <c:x val="2.5929462489243518E-2"/>
                  <c:y val="0.12952069970528987"/>
                </c:manualLayout>
              </c:layout>
              <c:tx>
                <c:rich>
                  <a:bodyPr/>
                  <a:lstStyle/>
                  <a:p>
                    <a:fld id="{ADD30AD6-9E6E-4C86-B913-112CC72F6192}"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C-456F-45A0-BACD-BD2C292ADBD7}"/>
                </c:ext>
              </c:extLst>
            </c:dLbl>
            <c:dLbl>
              <c:idx val="13"/>
              <c:layout>
                <c:manualLayout>
                  <c:x val="-0.24027248402786988"/>
                  <c:y val="7.4895406289938581E-3"/>
                </c:manualLayout>
              </c:layout>
              <c:tx>
                <c:rich>
                  <a:bodyPr/>
                  <a:lstStyle/>
                  <a:p>
                    <a:fld id="{9A5D5061-2662-4455-A094-C021FB2A81B7}"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D-456F-45A0-BACD-BD2C292ADBD7}"/>
                </c:ext>
              </c:extLst>
            </c:dLbl>
            <c:dLbl>
              <c:idx val="14"/>
              <c:layout>
                <c:manualLayout>
                  <c:x val="-8.4874471849516589E-2"/>
                  <c:y val="-7.14642695806815E-2"/>
                </c:manualLayout>
              </c:layout>
              <c:tx>
                <c:rich>
                  <a:bodyPr/>
                  <a:lstStyle/>
                  <a:p>
                    <a:fld id="{749742E8-F37E-48EC-B33D-ACF466192ECE}"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E-456F-45A0-BACD-BD2C292ADBD7}"/>
                </c:ext>
              </c:extLst>
            </c:dLbl>
            <c:dLbl>
              <c:idx val="15"/>
              <c:layout>
                <c:manualLayout>
                  <c:x val="5.4220105902574374E-2"/>
                  <c:y val="-0.26120304421466006"/>
                </c:manualLayout>
              </c:layout>
              <c:tx>
                <c:rich>
                  <a:bodyPr/>
                  <a:lstStyle/>
                  <a:p>
                    <a:fld id="{FC766793-5211-4561-A708-1D00AAA7F26F}"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0F-456F-45A0-BACD-BD2C292ADBD7}"/>
                </c:ext>
              </c:extLst>
            </c:dLbl>
            <c:dLbl>
              <c:idx val="16"/>
              <c:layout>
                <c:manualLayout>
                  <c:x val="-0.22247203574899335"/>
                  <c:y val="-0.21157364258860922"/>
                </c:manualLayout>
              </c:layout>
              <c:tx>
                <c:rich>
                  <a:bodyPr/>
                  <a:lstStyle/>
                  <a:p>
                    <a:fld id="{1EB6EE1A-D21E-45B9-BFC9-861A20591CDB}"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0-456F-45A0-BACD-BD2C292ADBD7}"/>
                </c:ext>
              </c:extLst>
            </c:dLbl>
            <c:dLbl>
              <c:idx val="17"/>
              <c:layout>
                <c:manualLayout>
                  <c:x val="-0.20764897226802728"/>
                  <c:y val="-0.12512251328061122"/>
                </c:manualLayout>
              </c:layout>
              <c:tx>
                <c:rich>
                  <a:bodyPr/>
                  <a:lstStyle/>
                  <a:p>
                    <a:fld id="{07076F10-7F31-42EB-8B9A-AF5BCC5F3AB8}"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1-456F-45A0-BACD-BD2C292ADBD7}"/>
                </c:ext>
              </c:extLst>
            </c:dLbl>
            <c:dLbl>
              <c:idx val="18"/>
              <c:layout>
                <c:manualLayout>
                  <c:x val="-0.14933180297084125"/>
                  <c:y val="-7.7840106587983696E-2"/>
                </c:manualLayout>
              </c:layout>
              <c:tx>
                <c:rich>
                  <a:bodyPr/>
                  <a:lstStyle/>
                  <a:p>
                    <a:fld id="{6CC742B7-F1E3-4949-A885-0FD765825EF3}" type="CELLRANGE">
                      <a:rPr lang="en-US"/>
                      <a:pPr/>
                      <a:t>[CELLRANGE]</a:t>
                    </a:fld>
                    <a:endParaRPr lang="en-US"/>
                  </a:p>
                </c:rich>
              </c:tx>
              <c:dLblPos val="r"/>
              <c:showLegendKey val="0"/>
              <c:showVal val="0"/>
              <c:showCatName val="0"/>
              <c:showSerName val="0"/>
              <c:showPercent val="0"/>
              <c:showBubbleSize val="0"/>
              <c:extLst>
                <c:ext xmlns:c15="http://schemas.microsoft.com/office/drawing/2012/chart" uri="{CE6537A1-D6FC-4f65-9D91-7224C49458BB}">
                  <c15:dlblFieldTable/>
                  <c15:showDataLabelsRange val="1"/>
                </c:ext>
                <c:ext xmlns:c16="http://schemas.microsoft.com/office/drawing/2014/chart" uri="{C3380CC4-5D6E-409C-BE32-E72D297353CC}">
                  <c16:uniqueId val="{00000012-456F-45A0-BACD-BD2C292ADBD7}"/>
                </c:ext>
              </c:extLst>
            </c:dLbl>
            <c:dLbl>
              <c:idx val="19"/>
              <c:tx>
                <c:rich>
                  <a:bodyPr/>
                  <a:lstStyle/>
                  <a:p>
                    <a:fld id="{EBDC23E9-44C2-486D-A287-6BE793F73B62}" type="CELLRANGE">
                      <a:rPr lang="en-US"/>
                      <a:pPr/>
                      <a:t>[CELLRANGE]</a:t>
                    </a:fld>
                    <a:endParaRPr lang="en-US"/>
                  </a:p>
                </c:rich>
              </c:tx>
              <c:dLblPos val="t"/>
              <c:showLegendKey val="0"/>
              <c:showVal val="0"/>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13-456F-45A0-BACD-BD2C292ADBD7}"/>
                </c:ext>
              </c:extLst>
            </c:dLbl>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Garamond" panose="02020404030301010803" pitchFamily="18" charset="0"/>
                    <a:ea typeface="+mn-ea"/>
                    <a:cs typeface="+mn-cs"/>
                  </a:defRPr>
                </a:pPr>
                <a:endParaRPr lang="en-US"/>
              </a:p>
            </c:txPr>
            <c:dLblPos val="t"/>
            <c:showLegendKey val="0"/>
            <c:showVal val="0"/>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a:solidFill>
                        <a:schemeClr val="tx1">
                          <a:lumMod val="35000"/>
                          <a:lumOff val="65000"/>
                        </a:schemeClr>
                      </a:solidFill>
                      <a:round/>
                    </a:ln>
                    <a:effectLst/>
                  </c:spPr>
                </c15:leaderLines>
              </c:ext>
            </c:extLst>
          </c:dLbls>
          <c:xVal>
            <c:numRef>
              <c:f>Graphs!$I$2:$I$21</c:f>
              <c:numCache>
                <c:formatCode>General</c:formatCode>
                <c:ptCount val="20"/>
                <c:pt idx="0">
                  <c:v>16</c:v>
                </c:pt>
                <c:pt idx="1">
                  <c:v>9.4</c:v>
                </c:pt>
                <c:pt idx="2">
                  <c:v>6.9</c:v>
                </c:pt>
                <c:pt idx="3">
                  <c:v>6.4</c:v>
                </c:pt>
                <c:pt idx="4">
                  <c:v>5.3</c:v>
                </c:pt>
                <c:pt idx="5">
                  <c:v>5.3</c:v>
                </c:pt>
                <c:pt idx="6">
                  <c:v>4.4000000000000004</c:v>
                </c:pt>
                <c:pt idx="7">
                  <c:v>4</c:v>
                </c:pt>
                <c:pt idx="8">
                  <c:v>3.6</c:v>
                </c:pt>
                <c:pt idx="9">
                  <c:v>3.2</c:v>
                </c:pt>
                <c:pt idx="10">
                  <c:v>3</c:v>
                </c:pt>
                <c:pt idx="11">
                  <c:v>3</c:v>
                </c:pt>
                <c:pt idx="12">
                  <c:v>2.5</c:v>
                </c:pt>
                <c:pt idx="13">
                  <c:v>2.2000000000000002</c:v>
                </c:pt>
                <c:pt idx="14">
                  <c:v>2.1</c:v>
                </c:pt>
                <c:pt idx="15">
                  <c:v>2</c:v>
                </c:pt>
                <c:pt idx="16">
                  <c:v>1.8</c:v>
                </c:pt>
                <c:pt idx="17">
                  <c:v>1.4</c:v>
                </c:pt>
                <c:pt idx="18">
                  <c:v>1.3</c:v>
                </c:pt>
                <c:pt idx="19">
                  <c:v>1.3</c:v>
                </c:pt>
              </c:numCache>
            </c:numRef>
          </c:xVal>
          <c:yVal>
            <c:numRef>
              <c:f>Graphs!$K$2:$K$21</c:f>
              <c:numCache>
                <c:formatCode>General</c:formatCode>
                <c:ptCount val="20"/>
                <c:pt idx="0">
                  <c:v>9</c:v>
                </c:pt>
                <c:pt idx="1">
                  <c:v>15</c:v>
                </c:pt>
                <c:pt idx="2">
                  <c:v>5</c:v>
                </c:pt>
                <c:pt idx="3">
                  <c:v>4</c:v>
                </c:pt>
                <c:pt idx="4">
                  <c:v>10</c:v>
                </c:pt>
                <c:pt idx="5">
                  <c:v>7</c:v>
                </c:pt>
                <c:pt idx="6">
                  <c:v>-1</c:v>
                </c:pt>
                <c:pt idx="7">
                  <c:v>9</c:v>
                </c:pt>
                <c:pt idx="8">
                  <c:v>4</c:v>
                </c:pt>
                <c:pt idx="9">
                  <c:v>6</c:v>
                </c:pt>
                <c:pt idx="10">
                  <c:v>10</c:v>
                </c:pt>
                <c:pt idx="11">
                  <c:v>-1</c:v>
                </c:pt>
                <c:pt idx="12">
                  <c:v>8</c:v>
                </c:pt>
                <c:pt idx="13">
                  <c:v>9</c:v>
                </c:pt>
                <c:pt idx="14">
                  <c:v>18</c:v>
                </c:pt>
                <c:pt idx="15">
                  <c:v>9</c:v>
                </c:pt>
                <c:pt idx="16">
                  <c:v>9</c:v>
                </c:pt>
                <c:pt idx="17">
                  <c:v>7</c:v>
                </c:pt>
                <c:pt idx="18">
                  <c:v>4</c:v>
                </c:pt>
                <c:pt idx="19">
                  <c:v>10</c:v>
                </c:pt>
              </c:numCache>
            </c:numRef>
          </c:yVal>
          <c:bubbleSize>
            <c:numRef>
              <c:f>Graphs!$J$2:$J$21</c:f>
              <c:numCache>
                <c:formatCode>General</c:formatCode>
                <c:ptCount val="20"/>
                <c:pt idx="0">
                  <c:v>2.5</c:v>
                </c:pt>
                <c:pt idx="1">
                  <c:v>0.06</c:v>
                </c:pt>
                <c:pt idx="2">
                  <c:v>0.08</c:v>
                </c:pt>
                <c:pt idx="3">
                  <c:v>0.4</c:v>
                </c:pt>
                <c:pt idx="4">
                  <c:v>0.03</c:v>
                </c:pt>
                <c:pt idx="5">
                  <c:v>13.3</c:v>
                </c:pt>
                <c:pt idx="6">
                  <c:v>0.04</c:v>
                </c:pt>
                <c:pt idx="7">
                  <c:v>2.9</c:v>
                </c:pt>
                <c:pt idx="8">
                  <c:v>3.2</c:v>
                </c:pt>
                <c:pt idx="9">
                  <c:v>6.2</c:v>
                </c:pt>
                <c:pt idx="10">
                  <c:v>1.5</c:v>
                </c:pt>
                <c:pt idx="11">
                  <c:v>0.3</c:v>
                </c:pt>
                <c:pt idx="12">
                  <c:v>10.7</c:v>
                </c:pt>
                <c:pt idx="13">
                  <c:v>2.8</c:v>
                </c:pt>
                <c:pt idx="14">
                  <c:v>0.06</c:v>
                </c:pt>
                <c:pt idx="15">
                  <c:v>1.4</c:v>
                </c:pt>
                <c:pt idx="16">
                  <c:v>2.9</c:v>
                </c:pt>
                <c:pt idx="17">
                  <c:v>1.4</c:v>
                </c:pt>
                <c:pt idx="18">
                  <c:v>0.01</c:v>
                </c:pt>
                <c:pt idx="19">
                  <c:v>2.9</c:v>
                </c:pt>
              </c:numCache>
            </c:numRef>
          </c:bubbleSize>
          <c:bubble3D val="0"/>
          <c:extLst>
            <c:ext xmlns:c15="http://schemas.microsoft.com/office/drawing/2012/chart" uri="{02D57815-91ED-43cb-92C2-25804820EDAC}">
              <c15:datalabelsRange>
                <c15:f>Graphs!$H$2:$H$21</c15:f>
                <c15:dlblRangeCache>
                  <c:ptCount val="20"/>
                  <c:pt idx="0">
                    <c:v>Belgium</c:v>
                  </c:pt>
                  <c:pt idx="1">
                    <c:v>Tanzania</c:v>
                  </c:pt>
                  <c:pt idx="2">
                    <c:v>Kenya</c:v>
                  </c:pt>
                  <c:pt idx="3">
                    <c:v>South Africa</c:v>
                  </c:pt>
                  <c:pt idx="4">
                    <c:v>Zimbabwe</c:v>
                  </c:pt>
                  <c:pt idx="5">
                    <c:v>United States of America</c:v>
                  </c:pt>
                  <c:pt idx="6">
                    <c:v>Zambia</c:v>
                  </c:pt>
                  <c:pt idx="7">
                    <c:v>India</c:v>
                  </c:pt>
                  <c:pt idx="8">
                    <c:v>United Kingdom</c:v>
                  </c:pt>
                  <c:pt idx="9">
                    <c:v>Germany</c:v>
                  </c:pt>
                  <c:pt idx="10">
                    <c:v>United Arab Emirates</c:v>
                  </c:pt>
                  <c:pt idx="11">
                    <c:v>Egypt</c:v>
                  </c:pt>
                  <c:pt idx="12">
                    <c:v>China</c:v>
                  </c:pt>
                  <c:pt idx="13">
                    <c:v>Netherlands</c:v>
                  </c:pt>
                  <c:pt idx="14">
                    <c:v>Mozambique</c:v>
                  </c:pt>
                  <c:pt idx="15">
                    <c:v>Poland</c:v>
                  </c:pt>
                  <c:pt idx="16">
                    <c:v>Korea, Republic of</c:v>
                  </c:pt>
                  <c:pt idx="17">
                    <c:v>Switzerland</c:v>
                  </c:pt>
                  <c:pt idx="18">
                    <c:v>Rwanda</c:v>
                  </c:pt>
                  <c:pt idx="19">
                    <c:v>Italy</c:v>
                  </c:pt>
                </c15:dlblRangeCache>
              </c15:datalabelsRange>
            </c:ext>
            <c:ext xmlns:c16="http://schemas.microsoft.com/office/drawing/2014/chart" uri="{C3380CC4-5D6E-409C-BE32-E72D297353CC}">
              <c16:uniqueId val="{00000014-456F-45A0-BACD-BD2C292ADBD7}"/>
            </c:ext>
          </c:extLst>
        </c:ser>
        <c:dLbls>
          <c:dLblPos val="t"/>
          <c:showLegendKey val="0"/>
          <c:showVal val="1"/>
          <c:showCatName val="0"/>
          <c:showSerName val="0"/>
          <c:showPercent val="0"/>
          <c:showBubbleSize val="0"/>
        </c:dLbls>
        <c:bubbleScale val="100"/>
        <c:showNegBubbles val="0"/>
        <c:axId val="547631072"/>
        <c:axId val="547634816"/>
      </c:bubbleChart>
      <c:valAx>
        <c:axId val="547631072"/>
        <c:scaling>
          <c:orientation val="minMax"/>
          <c:max val="17"/>
          <c:min val="-2"/>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Garamond" panose="02020404030301010803" pitchFamily="18" charset="0"/>
                    <a:ea typeface="+mn-ea"/>
                    <a:cs typeface="+mn-cs"/>
                  </a:defRPr>
                </a:pPr>
                <a:r>
                  <a:rPr lang="en-US" sz="1000" b="0" i="0" u="none" strike="noStrike" baseline="0">
                    <a:solidFill>
                      <a:sysClr val="windowText" lastClr="000000"/>
                    </a:solidFill>
                    <a:effectLst/>
                    <a:latin typeface="Arial" panose="020B0604020202020204" pitchFamily="34" charset="0"/>
                    <a:cs typeface="Arial" panose="020B0604020202020204" pitchFamily="34" charset="0"/>
                  </a:rPr>
                  <a:t>Share of partner in Malawi's exports, 2022 (%)</a:t>
                </a:r>
                <a:r>
                  <a:rPr lang="en-US" sz="1000" b="0" i="0" u="none" strike="noStrike" baseline="0">
                    <a:solidFill>
                      <a:sysClr val="windowText" lastClr="000000"/>
                    </a:solidFill>
                    <a:latin typeface="Garamond" panose="02020404030301010803" pitchFamily="18" charset="0"/>
                  </a:rPr>
                  <a:t> </a:t>
                </a:r>
                <a:endParaRPr lang="en-US" sz="1000" b="0">
                  <a:solidFill>
                    <a:sysClr val="windowText" lastClr="000000"/>
                  </a:solidFill>
                  <a:latin typeface="Garamond" panose="02020404030301010803" pitchFamily="18" charset="0"/>
                </a:endParaRPr>
              </a:p>
            </c:rich>
          </c:tx>
          <c:layout>
            <c:manualLayout>
              <c:xMode val="edge"/>
              <c:yMode val="edge"/>
              <c:x val="0.26258146757753309"/>
              <c:y val="0.88138856009011946"/>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Garamond" panose="02020404030301010803" pitchFamily="18" charset="0"/>
                  <a:ea typeface="+mn-ea"/>
                  <a:cs typeface="+mn-cs"/>
                </a:defRPr>
              </a:pPr>
              <a:endParaRPr lang="en-US"/>
            </a:p>
          </c:txPr>
        </c:title>
        <c:numFmt formatCode="General" sourceLinked="1"/>
        <c:majorTickMark val="none"/>
        <c:minorTickMark val="none"/>
        <c:tickLblPos val="nextTo"/>
        <c:spPr>
          <a:noFill/>
          <a:ln w="12700">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Garamond" panose="02020404030301010803" pitchFamily="18" charset="0"/>
                <a:ea typeface="+mn-ea"/>
                <a:cs typeface="+mn-cs"/>
              </a:defRPr>
            </a:pPr>
            <a:endParaRPr lang="en-US"/>
          </a:p>
        </c:txPr>
        <c:crossAx val="547634816"/>
        <c:crosses val="autoZero"/>
        <c:crossBetween val="midCat"/>
        <c:majorUnit val="2"/>
      </c:valAx>
      <c:valAx>
        <c:axId val="547634816"/>
        <c:scaling>
          <c:orientation val="minMax"/>
        </c:scaling>
        <c:delete val="0"/>
        <c:axPos val="l"/>
        <c:title>
          <c:tx>
            <c:rich>
              <a:bodyPr rot="-540000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mn-cs"/>
                  </a:defRPr>
                </a:pPr>
                <a:r>
                  <a:rPr lang="en-US" sz="900" b="0" baseline="0">
                    <a:solidFill>
                      <a:sysClr val="windowText" lastClr="000000"/>
                    </a:solidFill>
                    <a:latin typeface="Arial" panose="020B0604020202020204" pitchFamily="34" charset="0"/>
                  </a:rPr>
                  <a:t>Annual growth partner countries' imports (%)</a:t>
                </a:r>
              </a:p>
            </c:rich>
          </c:tx>
          <c:overlay val="0"/>
          <c:spPr>
            <a:noFill/>
            <a:ln>
              <a:noFill/>
            </a:ln>
            <a:effectLst/>
          </c:spPr>
          <c:txPr>
            <a:bodyPr rot="-5400000" spcFirstLastPara="1" vertOverflow="ellipsis" vert="horz" wrap="square" anchor="ctr" anchorCtr="1"/>
            <a:lstStyle/>
            <a:p>
              <a:pPr>
                <a:defRPr sz="1000" b="1" i="0" u="none" strike="noStrike" kern="1200" baseline="0">
                  <a:solidFill>
                    <a:sysClr val="windowText" lastClr="000000"/>
                  </a:solidFill>
                  <a:latin typeface="Arial" panose="020B0604020202020204" pitchFamily="34" charset="0"/>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Garamond" panose="02020404030301010803" pitchFamily="18" charset="0"/>
                <a:ea typeface="+mn-ea"/>
                <a:cs typeface="+mn-cs"/>
              </a:defRPr>
            </a:pPr>
            <a:endParaRPr lang="en-US"/>
          </a:p>
        </c:txPr>
        <c:crossAx val="547631072"/>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a:no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withinLinearReversed" id="25">
  <a:schemeClr val="accent5"/>
</cs:colorStyle>
</file>

<file path=word/charts/style1.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a:solidFill>
          <a:schemeClr val="tx1">
            <a:lumMod val="15000"/>
            <a:lumOff val="85000"/>
          </a:schemeClr>
        </a:solidFill>
        <a:round/>
      </a:ln>
    </cs:spPr>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0</TotalTime>
  <Pages>3</Pages>
  <Words>469</Words>
  <Characters>2679</Characters>
  <Application>Microsoft Office Word</Application>
  <DocSecurity>0</DocSecurity>
  <Lines>22</Lines>
  <Paragraphs>6</Paragraphs>
  <ScaleCrop>false</ScaleCrop>
  <Company>Springer Nature</Company>
  <LinksUpToDate>false</LinksUpToDate>
  <CharactersWithSpaces>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2024-12-24T07:02:00Z</dcterms:created>
  <dcterms:modified xsi:type="dcterms:W3CDTF">2024-12-24T07:02:00Z</dcterms:modified>
</cp:coreProperties>
</file>