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0834F" w14:textId="77777777" w:rsidR="00377C76" w:rsidRPr="00377C76" w:rsidRDefault="00377C76" w:rsidP="00377C76">
      <w:pPr>
        <w:pStyle w:val="Heading1"/>
        <w:rPr>
          <w:rFonts w:ascii="Calibri" w:hAnsi="Calibri" w:cs="Calibri"/>
          <w:b/>
          <w:bCs/>
          <w:color w:val="auto"/>
          <w:sz w:val="30"/>
          <w:szCs w:val="30"/>
        </w:rPr>
      </w:pPr>
      <w:r w:rsidRPr="00377C76">
        <w:rPr>
          <w:rFonts w:ascii="Calibri" w:hAnsi="Calibri" w:cs="Calibri"/>
          <w:b/>
          <w:bCs/>
          <w:color w:val="auto"/>
          <w:sz w:val="30"/>
          <w:szCs w:val="30"/>
        </w:rPr>
        <w:t>Supplementary Material</w:t>
      </w:r>
    </w:p>
    <w:p w14:paraId="7E0A673B" w14:textId="77777777" w:rsidR="00377C76" w:rsidRDefault="00377C76" w:rsidP="00377C76">
      <w:r w:rsidRPr="00C54104">
        <w:t xml:space="preserve"> </w:t>
      </w:r>
      <w:r>
        <w:rPr>
          <w:noProof/>
        </w:rPr>
        <w:drawing>
          <wp:inline distT="0" distB="0" distL="0" distR="0" wp14:anchorId="71A95370" wp14:editId="07F2F6C9">
            <wp:extent cx="5733415" cy="6713855"/>
            <wp:effectExtent l="0" t="0" r="635" b="0"/>
            <wp:docPr id="1842090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671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343F" w14:textId="77777777" w:rsidR="00377C76" w:rsidRDefault="00377C76" w:rsidP="00377C76">
      <w:r>
        <w:rPr>
          <w:b/>
          <w:sz w:val="18"/>
          <w:szCs w:val="18"/>
        </w:rPr>
        <w:t xml:space="preserve">Supp. Fig. 1 | Country-scale results of the climate-naïve and climate-smart prioritisations. </w:t>
      </w:r>
      <w:r>
        <w:rPr>
          <w:sz w:val="18"/>
          <w:szCs w:val="18"/>
        </w:rPr>
        <w:t>Results of the</w:t>
      </w:r>
      <w:r w:rsidRPr="00865C68">
        <w:rPr>
          <w:b/>
          <w:sz w:val="18"/>
        </w:rPr>
        <w:t xml:space="preserve"> </w:t>
      </w:r>
      <w:r>
        <w:rPr>
          <w:b/>
          <w:sz w:val="18"/>
          <w:szCs w:val="18"/>
        </w:rPr>
        <w:t>a-b</w:t>
      </w:r>
      <w:r>
        <w:rPr>
          <w:bCs/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country-scale </w:t>
      </w:r>
      <w:r>
        <w:rPr>
          <w:b/>
          <w:sz w:val="18"/>
          <w:szCs w:val="18"/>
        </w:rPr>
        <w:t>a</w:t>
      </w:r>
      <w:r>
        <w:rPr>
          <w:bCs/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climate-naïve and </w:t>
      </w:r>
      <w:r>
        <w:rPr>
          <w:b/>
          <w:bCs/>
          <w:sz w:val="18"/>
          <w:szCs w:val="18"/>
        </w:rPr>
        <w:t>b</w:t>
      </w:r>
      <w:r>
        <w:rPr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climate-smart spatial prioritisation. Note that the % selection is shown because the original 631 km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for each planning unit in the analysis was aggregated at a resolution of ~63,000 km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for visualisation. </w:t>
      </w:r>
      <w:r>
        <w:rPr>
          <w:b/>
          <w:sz w:val="18"/>
          <w:szCs w:val="18"/>
        </w:rPr>
        <w:t>c</w:t>
      </w:r>
      <w:r w:rsidRPr="0098451B">
        <w:rPr>
          <w:bCs/>
          <w:sz w:val="18"/>
          <w:szCs w:val="18"/>
        </w:rPr>
        <w:t>,</w:t>
      </w:r>
      <w:r>
        <w:rPr>
          <w:sz w:val="18"/>
          <w:szCs w:val="18"/>
        </w:rPr>
        <w:t xml:space="preserve"> % mangrove area selected and </w:t>
      </w:r>
      <w:r>
        <w:rPr>
          <w:b/>
          <w:sz w:val="18"/>
          <w:szCs w:val="18"/>
        </w:rPr>
        <w:t>d</w:t>
      </w:r>
      <w:r>
        <w:rPr>
          <w:sz w:val="18"/>
          <w:szCs w:val="18"/>
        </w:rPr>
        <w:t xml:space="preserve">, area-weighted climate resilience of the mangrove areas selected in the prioritisations by country (each country is a triangle). Both prioritisations used a climate-smart threshold of 0.3. The horizontal lines show </w:t>
      </w:r>
      <w:r>
        <w:rPr>
          <w:b/>
          <w:bCs/>
          <w:sz w:val="18"/>
          <w:szCs w:val="18"/>
        </w:rPr>
        <w:t>c</w:t>
      </w:r>
      <w:r>
        <w:rPr>
          <w:sz w:val="18"/>
          <w:szCs w:val="18"/>
        </w:rPr>
        <w:t xml:space="preserve">, the total % of mangrove area selected and </w:t>
      </w:r>
      <w:r>
        <w:rPr>
          <w:b/>
          <w:bCs/>
          <w:sz w:val="18"/>
          <w:szCs w:val="18"/>
        </w:rPr>
        <w:t>d</w:t>
      </w:r>
      <w:r>
        <w:rPr>
          <w:sz w:val="18"/>
          <w:szCs w:val="18"/>
        </w:rPr>
        <w:t>, the global average climate resilience.</w:t>
      </w:r>
    </w:p>
    <w:p w14:paraId="2B0C51CB" w14:textId="77777777" w:rsidR="00377C76" w:rsidRDefault="00377C76" w:rsidP="00377C76"/>
    <w:p w14:paraId="12AAAACC" w14:textId="77777777" w:rsidR="00377C76" w:rsidRPr="007976A6" w:rsidRDefault="00377C76" w:rsidP="00377C76"/>
    <w:p w14:paraId="3867039D" w14:textId="77777777" w:rsidR="00377C76" w:rsidRDefault="00377C76" w:rsidP="00377C76">
      <w:r>
        <w:rPr>
          <w:noProof/>
        </w:rPr>
        <w:drawing>
          <wp:inline distT="0" distB="0" distL="0" distR="0" wp14:anchorId="0EF243AE" wp14:editId="7F1B28B3">
            <wp:extent cx="5733415" cy="2252980"/>
            <wp:effectExtent l="0" t="0" r="635" b="0"/>
            <wp:docPr id="21227355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27E04" w14:textId="77777777" w:rsidR="00377C76" w:rsidRPr="00D518B3" w:rsidRDefault="00377C76" w:rsidP="00377C76">
      <w:r>
        <w:rPr>
          <w:b/>
          <w:sz w:val="18"/>
          <w:szCs w:val="18"/>
        </w:rPr>
        <w:t xml:space="preserve">Supp. Fig. 2 | Global-scale climate-smart results of the landward and seaward prioritisations. </w:t>
      </w:r>
      <w:r>
        <w:rPr>
          <w:sz w:val="18"/>
          <w:szCs w:val="18"/>
        </w:rPr>
        <w:t>Results of the</w:t>
      </w:r>
      <w:r w:rsidRPr="00865C68">
        <w:rPr>
          <w:b/>
          <w:sz w:val="18"/>
        </w:rPr>
        <w:t xml:space="preserve"> </w:t>
      </w:r>
      <w:r>
        <w:rPr>
          <w:b/>
          <w:sz w:val="18"/>
          <w:szCs w:val="18"/>
        </w:rPr>
        <w:t>a-b</w:t>
      </w:r>
      <w:r>
        <w:rPr>
          <w:bCs/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global-scale climate smart </w:t>
      </w:r>
      <w:r>
        <w:rPr>
          <w:b/>
          <w:sz w:val="18"/>
          <w:szCs w:val="18"/>
        </w:rPr>
        <w:t>a</w:t>
      </w:r>
      <w:r>
        <w:rPr>
          <w:bCs/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landward and </w:t>
      </w:r>
      <w:r>
        <w:rPr>
          <w:b/>
          <w:bCs/>
          <w:sz w:val="18"/>
          <w:szCs w:val="18"/>
        </w:rPr>
        <w:t>b</w:t>
      </w:r>
      <w:r>
        <w:rPr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seaward spatial prioritisation. Note that the % selection is shown because the original 631 km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for each planning unit in the analysis was aggregated at a resolution of ~63,000 km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for visualisation.</w:t>
      </w:r>
    </w:p>
    <w:p w14:paraId="3083FF00" w14:textId="77777777" w:rsidR="0098571E" w:rsidRDefault="0098571E"/>
    <w:sectPr w:rsidR="0098571E" w:rsidSect="00377C7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76"/>
    <w:rsid w:val="00066DEC"/>
    <w:rsid w:val="002D5C1A"/>
    <w:rsid w:val="00377C76"/>
    <w:rsid w:val="0098571E"/>
    <w:rsid w:val="00B15BA7"/>
    <w:rsid w:val="00FA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EE80"/>
  <w15:chartTrackingRefBased/>
  <w15:docId w15:val="{C8E379D7-40C8-49FB-8D24-E28CE25D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C76"/>
    <w:pPr>
      <w:spacing w:after="240" w:line="240" w:lineRule="auto"/>
    </w:pPr>
    <w:rPr>
      <w:rFonts w:ascii="Calibri" w:eastAsia="Calibri" w:hAnsi="Calibri" w:cs="Calibri"/>
      <w:kern w:val="0"/>
      <w:highlight w:val="white"/>
      <w:lang w:val="en-GB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C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highlight w:val="none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C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highlight w:val="none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C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highlight w:val="none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C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highlight w:val="none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C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highlight w:val="none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C7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highlight w:val="none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C7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highlight w:val="none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C7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highlight w:val="none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C7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highlight w:val="none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C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highlight w:val="none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C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highlight w:val="none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C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highlight w:val="none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C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highlight w:val="none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highlight w:val="none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924</Characters>
  <Application>Microsoft Office Word</Application>
  <DocSecurity>0</DocSecurity>
  <Lines>7</Lines>
  <Paragraphs>2</Paragraphs>
  <ScaleCrop>false</ScaleCrop>
  <Company>The University of Queensland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Alvise Dabala'</dc:creator>
  <cp:keywords/>
  <dc:description/>
  <cp:lastModifiedBy>Alvise Dabala'</cp:lastModifiedBy>
  <cp:revision>1</cp:revision>
  <dcterms:created xsi:type="dcterms:W3CDTF">2024-12-22T11:16:00Z</dcterms:created>
  <dcterms:modified xsi:type="dcterms:W3CDTF">2024-12-22T11:20:00Z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2024-12-22T11:19:20Z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adc497c5-bb79-4da4-8a49-944cf203e6b3</vt:lpwstr>
  </property>
  <property fmtid="{D5CDD505-2E9C-101B-9397-08002B2CF9AE}" pid="8" name="MSIP_Label_0f488380-630a-4f55-a077-a19445e3f360_ContentBits">
    <vt:lpwstr>0</vt:lpwstr>
  </property>
</Properties>
</file>