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C4CD9" w14:textId="164F10B5" w:rsidR="61D9DEB9" w:rsidRDefault="009F074C" w:rsidP="61D9DEB9">
      <w:pPr>
        <w:rPr>
          <w:b/>
          <w:bCs/>
        </w:rPr>
      </w:pPr>
      <w:r w:rsidRPr="009F074C">
        <w:rPr>
          <w:b/>
          <w:bCs/>
        </w:rPr>
        <w:t>Supplementary materials</w:t>
      </w:r>
    </w:p>
    <w:p w14:paraId="093D5C60" w14:textId="77777777" w:rsidR="00E33877" w:rsidRDefault="00E33877" w:rsidP="00E33877">
      <w:pPr>
        <w:spacing w:line="360" w:lineRule="auto"/>
        <w:jc w:val="both"/>
        <w:rPr>
          <w:sz w:val="22"/>
          <w:szCs w:val="22"/>
        </w:rPr>
      </w:pPr>
      <w:r w:rsidRPr="001C0A07">
        <w:rPr>
          <w:b/>
          <w:bCs/>
          <w:color w:val="0D0D0D" w:themeColor="text1" w:themeTint="F2"/>
          <w:sz w:val="22"/>
          <w:szCs w:val="22"/>
        </w:rPr>
        <w:t xml:space="preserve">Safety and compliance </w:t>
      </w:r>
      <w:r>
        <w:rPr>
          <w:b/>
          <w:bCs/>
          <w:color w:val="0D0D0D" w:themeColor="text1" w:themeTint="F2"/>
          <w:sz w:val="22"/>
          <w:szCs w:val="22"/>
        </w:rPr>
        <w:t>of</w:t>
      </w:r>
      <w:r w:rsidRPr="001C0A07">
        <w:rPr>
          <w:b/>
          <w:bCs/>
          <w:color w:val="0D0D0D" w:themeColor="text1" w:themeTint="F2"/>
          <w:sz w:val="22"/>
          <w:szCs w:val="22"/>
        </w:rPr>
        <w:t xml:space="preserve"> Spermidine treatment</w:t>
      </w:r>
      <w:r w:rsidRPr="6EFC16E7">
        <w:rPr>
          <w:sz w:val="22"/>
          <w:szCs w:val="22"/>
        </w:rPr>
        <w:t xml:space="preserve"> </w:t>
      </w:r>
    </w:p>
    <w:p w14:paraId="120D8E0B" w14:textId="73980EAB" w:rsidR="00E33877" w:rsidRDefault="00E33877" w:rsidP="00E33877">
      <w:pPr>
        <w:spacing w:line="360" w:lineRule="auto"/>
        <w:jc w:val="both"/>
        <w:rPr>
          <w:rStyle w:val="normaltextrun"/>
          <w:color w:val="000000" w:themeColor="text1"/>
          <w:sz w:val="22"/>
          <w:szCs w:val="22"/>
        </w:rPr>
      </w:pPr>
      <w:r w:rsidRPr="6EFC16E7">
        <w:rPr>
          <w:sz w:val="22"/>
          <w:szCs w:val="22"/>
        </w:rPr>
        <w:t>No s</w:t>
      </w:r>
      <w:r>
        <w:rPr>
          <w:sz w:val="22"/>
          <w:szCs w:val="22"/>
        </w:rPr>
        <w:t>erious</w:t>
      </w:r>
      <w:r w:rsidRPr="6EFC16E7">
        <w:rPr>
          <w:sz w:val="22"/>
          <w:szCs w:val="22"/>
        </w:rPr>
        <w:t xml:space="preserve"> adverse reactions</w:t>
      </w:r>
      <w:r>
        <w:rPr>
          <w:sz w:val="22"/>
          <w:szCs w:val="22"/>
        </w:rPr>
        <w:t xml:space="preserve"> or serious adverse events were reported</w:t>
      </w:r>
      <w:r w:rsidRPr="6EFC16E7">
        <w:rPr>
          <w:sz w:val="22"/>
          <w:szCs w:val="22"/>
        </w:rPr>
        <w:t xml:space="preserve"> in the placebo and the spermidine group</w:t>
      </w:r>
      <w:r>
        <w:rPr>
          <w:sz w:val="22"/>
          <w:szCs w:val="22"/>
        </w:rPr>
        <w:t>s.</w:t>
      </w:r>
      <w:r w:rsidR="000C4D02">
        <w:rPr>
          <w:sz w:val="22"/>
          <w:szCs w:val="22"/>
        </w:rPr>
        <w:t xml:space="preserve"> </w:t>
      </w:r>
      <w:r w:rsidRPr="6EFC16E7">
        <w:rPr>
          <w:sz w:val="22"/>
          <w:szCs w:val="22"/>
        </w:rPr>
        <w:t xml:space="preserve">There were no adverse events that were considered by the investigator to be related to the study protocol or nutraceutical. </w:t>
      </w:r>
      <w:r>
        <w:rPr>
          <w:sz w:val="22"/>
          <w:szCs w:val="22"/>
        </w:rPr>
        <w:t xml:space="preserve">Biochemical and </w:t>
      </w:r>
      <w:proofErr w:type="spellStart"/>
      <w:r>
        <w:rPr>
          <w:sz w:val="22"/>
          <w:szCs w:val="22"/>
        </w:rPr>
        <w:t>haematological</w:t>
      </w:r>
      <w:proofErr w:type="spellEnd"/>
      <w:r>
        <w:rPr>
          <w:sz w:val="22"/>
          <w:szCs w:val="22"/>
        </w:rPr>
        <w:t xml:space="preserve"> parameters in venous blood at 0 and 2 weeks were unchanged in both treatment groups </w:t>
      </w:r>
      <w:r w:rsidR="00552A90">
        <w:rPr>
          <w:sz w:val="22"/>
          <w:szCs w:val="22"/>
        </w:rPr>
        <w:t>(Table 3</w:t>
      </w:r>
      <w:r>
        <w:rPr>
          <w:sz w:val="22"/>
          <w:szCs w:val="22"/>
        </w:rPr>
        <w:t>).</w:t>
      </w:r>
      <w:r w:rsidR="000C4D02">
        <w:rPr>
          <w:sz w:val="22"/>
          <w:szCs w:val="22"/>
        </w:rPr>
        <w:t xml:space="preserve"> </w:t>
      </w:r>
      <w:r w:rsidRPr="0035500F">
        <w:rPr>
          <w:sz w:val="22"/>
          <w:szCs w:val="22"/>
        </w:rPr>
        <w:t>Adverse events occurred in 2 participants in the placebo group (11%) and 2 participants in the spermidine recipients (10%) (Supplementary Materials). No adverse event led to study being paused or discontinued. C</w:t>
      </w:r>
      <w:r w:rsidRPr="0035500F">
        <w:rPr>
          <w:rStyle w:val="normaltextrun"/>
          <w:color w:val="000000" w:themeColor="text1"/>
          <w:sz w:val="22"/>
          <w:szCs w:val="22"/>
        </w:rPr>
        <w:t>ompliance with daily supplementation or placebo was very good with only 2 doses missed</w:t>
      </w:r>
      <w:r>
        <w:rPr>
          <w:rStyle w:val="normaltextrun"/>
          <w:color w:val="000000" w:themeColor="text1"/>
          <w:sz w:val="22"/>
          <w:szCs w:val="22"/>
        </w:rPr>
        <w:t xml:space="preserve"> in 13 weeks of treatment.</w:t>
      </w:r>
    </w:p>
    <w:p w14:paraId="2D0EF432" w14:textId="77777777" w:rsidR="00E33877" w:rsidRPr="00F97AD0" w:rsidRDefault="00E33877" w:rsidP="00E33877">
      <w:pPr>
        <w:spacing w:line="360" w:lineRule="auto"/>
        <w:jc w:val="both"/>
        <w:rPr>
          <w:b/>
          <w:bCs/>
          <w:color w:val="0D0D0D" w:themeColor="text1" w:themeTint="F2"/>
          <w:sz w:val="22"/>
          <w:szCs w:val="22"/>
        </w:rPr>
      </w:pPr>
      <w:r w:rsidRPr="00F97AD0">
        <w:rPr>
          <w:b/>
          <w:bCs/>
          <w:color w:val="0D0D0D" w:themeColor="text1" w:themeTint="F2"/>
        </w:rPr>
        <w:t>COVID-19 cases</w:t>
      </w:r>
    </w:p>
    <w:p w14:paraId="68F5F6FD" w14:textId="6758D5EE" w:rsidR="00E33877" w:rsidRPr="0035500F" w:rsidRDefault="00E33877" w:rsidP="00E33877">
      <w:pPr>
        <w:spacing w:line="360" w:lineRule="auto"/>
        <w:jc w:val="both"/>
        <w:rPr>
          <w:b/>
          <w:bCs/>
          <w:color w:val="0D0D0D" w:themeColor="text1" w:themeTint="F2"/>
          <w:sz w:val="22"/>
          <w:szCs w:val="22"/>
        </w:rPr>
      </w:pPr>
      <w:r w:rsidRPr="0035500F">
        <w:rPr>
          <w:sz w:val="22"/>
          <w:szCs w:val="22"/>
        </w:rPr>
        <w:t>There were no severe cases of COVID-19 for the duration of the trial. For the first 5 weeks of the study there were no cases of COVID-19. For the remainder of the study the number of cases of COVID-19 were comparable between the placebo (5 participants) and the nutraceutical group (6 participants).</w:t>
      </w:r>
    </w:p>
    <w:p w14:paraId="3F112DBD" w14:textId="6A5A2EFB" w:rsidR="00E33877" w:rsidRDefault="00E33877" w:rsidP="00E33877">
      <w:pPr>
        <w:spacing w:line="360" w:lineRule="auto"/>
        <w:jc w:val="both"/>
        <w:rPr>
          <w:sz w:val="22"/>
          <w:szCs w:val="22"/>
        </w:rPr>
      </w:pPr>
      <w:r w:rsidRPr="0035500F">
        <w:rPr>
          <w:rStyle w:val="normaltextrun"/>
          <w:color w:val="000000" w:themeColor="text1"/>
          <w:sz w:val="22"/>
          <w:szCs w:val="22"/>
        </w:rPr>
        <w:t>No participants reported SARS-CoV-2 infection at weeks 0 and 2.  However, 11 participants reported COVID-19 illness during the study: one at week 5, two at week 9, one at week 11, two at week 15, one at week 19, two at week 24 and two at week 31. All participants reported mild illness and there were no hospital admissions, or administration of antivirals or steroids. Five of these participants were in the placebo group, and six were in the spermidine group, with comparable COVID-19 incidence between groups</w:t>
      </w:r>
    </w:p>
    <w:p w14:paraId="11147FBC" w14:textId="77777777" w:rsidR="00E33877" w:rsidRPr="00A01E01" w:rsidRDefault="00E33877" w:rsidP="00E33877">
      <w:pPr>
        <w:spacing w:line="360" w:lineRule="auto"/>
        <w:jc w:val="both"/>
        <w:rPr>
          <w:sz w:val="22"/>
          <w:szCs w:val="22"/>
        </w:rPr>
      </w:pPr>
      <w:r w:rsidRPr="6EFC16E7">
        <w:rPr>
          <w:sz w:val="22"/>
          <w:szCs w:val="22"/>
        </w:rPr>
        <w:t xml:space="preserve"> </w:t>
      </w:r>
    </w:p>
    <w:p w14:paraId="046B3ECF" w14:textId="77777777" w:rsidR="00552A90" w:rsidRDefault="00E33877" w:rsidP="00E33877">
      <w:pPr>
        <w:spacing w:line="360" w:lineRule="auto"/>
        <w:jc w:val="both"/>
        <w:rPr>
          <w:b/>
          <w:bCs/>
          <w:color w:val="000000" w:themeColor="text1"/>
          <w:sz w:val="22"/>
          <w:szCs w:val="22"/>
        </w:rPr>
      </w:pPr>
      <w:r w:rsidRPr="00552A90">
        <w:rPr>
          <w:b/>
          <w:bCs/>
          <w:color w:val="000000" w:themeColor="text1"/>
          <w:sz w:val="22"/>
          <w:szCs w:val="22"/>
        </w:rPr>
        <w:t xml:space="preserve">Adverse events </w:t>
      </w:r>
    </w:p>
    <w:p w14:paraId="5A74FB21" w14:textId="184E06E5" w:rsidR="00E33877" w:rsidRPr="0035500F" w:rsidRDefault="00E33877" w:rsidP="00E33877">
      <w:pPr>
        <w:spacing w:line="360" w:lineRule="auto"/>
        <w:jc w:val="both"/>
        <w:rPr>
          <w:color w:val="000000" w:themeColor="text1"/>
          <w:sz w:val="22"/>
          <w:szCs w:val="22"/>
        </w:rPr>
      </w:pPr>
      <w:r w:rsidRPr="0035500F">
        <w:rPr>
          <w:color w:val="000000" w:themeColor="text1"/>
          <w:sz w:val="22"/>
          <w:szCs w:val="22"/>
        </w:rPr>
        <w:t xml:space="preserve">There were 4 adverse events during the study. One participant was diagnosed with abnormal liver function tests on day 1, and upon further investigation was diagnosed with liver </w:t>
      </w:r>
      <w:r w:rsidR="0035500F" w:rsidRPr="0035500F">
        <w:rPr>
          <w:color w:val="000000" w:themeColor="text1"/>
          <w:sz w:val="22"/>
          <w:szCs w:val="22"/>
        </w:rPr>
        <w:t>disease</w:t>
      </w:r>
      <w:r w:rsidRPr="0035500F">
        <w:rPr>
          <w:color w:val="000000" w:themeColor="text1"/>
          <w:sz w:val="22"/>
          <w:szCs w:val="22"/>
        </w:rPr>
        <w:t xml:space="preserve">. Unblinding confirmed this participant was in the placebo arm and their data were excluded from analysis. One participant was diagnosed with </w:t>
      </w:r>
      <w:proofErr w:type="spellStart"/>
      <w:r w:rsidRPr="0035500F">
        <w:rPr>
          <w:color w:val="000000" w:themeColor="text1"/>
          <w:sz w:val="22"/>
          <w:szCs w:val="22"/>
        </w:rPr>
        <w:t>localised</w:t>
      </w:r>
      <w:proofErr w:type="spellEnd"/>
      <w:r w:rsidRPr="0035500F">
        <w:rPr>
          <w:color w:val="000000" w:themeColor="text1"/>
          <w:sz w:val="22"/>
          <w:szCs w:val="22"/>
        </w:rPr>
        <w:t xml:space="preserve"> melanoma during the trial, again in the placebo arm. One participant in the spermidine arm experienced a small pulmonary embolus, which did not require </w:t>
      </w:r>
      <w:proofErr w:type="spellStart"/>
      <w:r w:rsidRPr="0035500F">
        <w:rPr>
          <w:color w:val="000000" w:themeColor="text1"/>
          <w:sz w:val="22"/>
          <w:szCs w:val="22"/>
        </w:rPr>
        <w:t>hospitalisation</w:t>
      </w:r>
      <w:proofErr w:type="spellEnd"/>
      <w:r w:rsidRPr="0035500F">
        <w:rPr>
          <w:color w:val="000000" w:themeColor="text1"/>
          <w:sz w:val="22"/>
          <w:szCs w:val="22"/>
        </w:rPr>
        <w:t xml:space="preserve">, resulting from a confirmed COVID-19 infection at week 15. One participant in the spermidine group, with a 3-year history of gallstones, had an elective cholecystectomy at week 37. </w:t>
      </w:r>
    </w:p>
    <w:p w14:paraId="35A36CB6" w14:textId="343CC6C4" w:rsidR="00E33877" w:rsidRPr="0035500F" w:rsidRDefault="00E33877" w:rsidP="00E33877">
      <w:pPr>
        <w:spacing w:line="360" w:lineRule="auto"/>
        <w:jc w:val="both"/>
        <w:rPr>
          <w:color w:val="000000" w:themeColor="text1"/>
          <w:sz w:val="22"/>
          <w:szCs w:val="22"/>
        </w:rPr>
      </w:pPr>
      <w:r w:rsidRPr="0035500F">
        <w:rPr>
          <w:b/>
          <w:bCs/>
          <w:color w:val="0D0D0D" w:themeColor="text1" w:themeTint="F2"/>
          <w:sz w:val="22"/>
          <w:szCs w:val="22"/>
        </w:rPr>
        <w:lastRenderedPageBreak/>
        <w:t>Concurrent medical conditions</w:t>
      </w:r>
    </w:p>
    <w:p w14:paraId="598E45DA" w14:textId="77777777" w:rsidR="00E33877" w:rsidRPr="0035500F" w:rsidRDefault="00E33877" w:rsidP="00E33877">
      <w:pPr>
        <w:spacing w:line="360" w:lineRule="auto"/>
        <w:jc w:val="both"/>
        <w:rPr>
          <w:color w:val="0078D4"/>
          <w:sz w:val="22"/>
          <w:szCs w:val="22"/>
        </w:rPr>
      </w:pPr>
      <w:r w:rsidRPr="0035500F">
        <w:rPr>
          <w:rStyle w:val="normaltextrun"/>
          <w:color w:val="000000" w:themeColor="text1"/>
          <w:sz w:val="22"/>
          <w:szCs w:val="22"/>
        </w:rPr>
        <w:t xml:space="preserve">37 participants reported concurrent medical conditions for which they were taking medication at the point of recruitment and for the duration of the trial, which were comparable between placebo and nutraceutical groups. No participants took immunosuppressants or immune-modifying medications. </w:t>
      </w:r>
      <w:r w:rsidRPr="0035500F">
        <w:rPr>
          <w:rStyle w:val="eop"/>
          <w:color w:val="0078D4"/>
          <w:sz w:val="22"/>
          <w:szCs w:val="22"/>
        </w:rPr>
        <w:t> </w:t>
      </w:r>
    </w:p>
    <w:p w14:paraId="421A9DD4" w14:textId="6431262C" w:rsidR="00E33877" w:rsidRPr="0035500F" w:rsidRDefault="00E33877" w:rsidP="00E33877">
      <w:pPr>
        <w:spacing w:line="360" w:lineRule="auto"/>
        <w:jc w:val="both"/>
        <w:rPr>
          <w:rStyle w:val="normaltextrun"/>
          <w:b/>
          <w:bCs/>
          <w:color w:val="000000" w:themeColor="text1"/>
          <w:sz w:val="22"/>
          <w:szCs w:val="22"/>
        </w:rPr>
      </w:pPr>
    </w:p>
    <w:p w14:paraId="268C9AF1" w14:textId="77777777" w:rsidR="0035500F" w:rsidRPr="0035500F" w:rsidRDefault="00E33877" w:rsidP="00E33877">
      <w:pPr>
        <w:spacing w:line="360" w:lineRule="auto"/>
        <w:jc w:val="both"/>
        <w:rPr>
          <w:rStyle w:val="normaltextrun"/>
          <w:b/>
          <w:bCs/>
          <w:color w:val="000000" w:themeColor="text1"/>
          <w:sz w:val="22"/>
          <w:szCs w:val="22"/>
        </w:rPr>
      </w:pPr>
      <w:r w:rsidRPr="0035500F">
        <w:rPr>
          <w:rStyle w:val="normaltextrun"/>
          <w:b/>
          <w:bCs/>
          <w:color w:val="000000" w:themeColor="text1"/>
          <w:sz w:val="22"/>
          <w:szCs w:val="22"/>
        </w:rPr>
        <w:t xml:space="preserve">Compliance and tolerability of the supplement </w:t>
      </w:r>
    </w:p>
    <w:p w14:paraId="12259B7F" w14:textId="5613F4E2" w:rsidR="00E33877" w:rsidRPr="00A01E01" w:rsidRDefault="00E33877" w:rsidP="00E33877">
      <w:pPr>
        <w:spacing w:line="360" w:lineRule="auto"/>
        <w:jc w:val="both"/>
        <w:rPr>
          <w:color w:val="000000" w:themeColor="text1"/>
          <w:sz w:val="22"/>
          <w:szCs w:val="22"/>
        </w:rPr>
      </w:pPr>
      <w:r w:rsidRPr="0035500F">
        <w:rPr>
          <w:rStyle w:val="normaltextrun"/>
          <w:color w:val="000000" w:themeColor="text1"/>
          <w:sz w:val="22"/>
          <w:szCs w:val="22"/>
        </w:rPr>
        <w:t>At week 2, no participants reported missed doses. At week 13, nine participants reported some missed doses, 4 participants taking the placebo (22%) and 5 participants taking spermidine (25%). The maximum number of doses missed in the spermidine group was 2 doses in 13 weeks (0.73% of doses). Antibody levels, cellular immunity biomarkers, autophagy or cell senescence markers were comparable between participants who had missed doses and the per-protocol group.</w:t>
      </w:r>
      <w:r w:rsidRPr="00A01E01">
        <w:rPr>
          <w:rStyle w:val="eop"/>
          <w:color w:val="000000" w:themeColor="text1"/>
          <w:sz w:val="22"/>
          <w:szCs w:val="22"/>
        </w:rPr>
        <w:t> </w:t>
      </w:r>
    </w:p>
    <w:p w14:paraId="47CB0392" w14:textId="112CBCD0" w:rsidR="00E33877" w:rsidRPr="00A01E01" w:rsidRDefault="00E33877" w:rsidP="00E33877">
      <w:pPr>
        <w:spacing w:line="360" w:lineRule="auto"/>
        <w:jc w:val="both"/>
        <w:rPr>
          <w:color w:val="000000" w:themeColor="text1"/>
          <w:sz w:val="22"/>
          <w:szCs w:val="22"/>
        </w:rPr>
      </w:pPr>
    </w:p>
    <w:p w14:paraId="5254C6DD" w14:textId="77777777" w:rsidR="00E33877" w:rsidRPr="0035500F" w:rsidRDefault="00E33877" w:rsidP="00E33877">
      <w:pPr>
        <w:spacing w:line="360" w:lineRule="auto"/>
        <w:jc w:val="both"/>
        <w:rPr>
          <w:color w:val="0D0D0D" w:themeColor="text1" w:themeTint="F2"/>
          <w:sz w:val="22"/>
          <w:szCs w:val="22"/>
        </w:rPr>
      </w:pPr>
      <w:r w:rsidRPr="0035500F">
        <w:rPr>
          <w:b/>
          <w:bCs/>
          <w:color w:val="0D0D0D" w:themeColor="text1" w:themeTint="F2"/>
          <w:sz w:val="22"/>
          <w:szCs w:val="22"/>
        </w:rPr>
        <w:t xml:space="preserve">Biochemistry and </w:t>
      </w:r>
      <w:proofErr w:type="spellStart"/>
      <w:r w:rsidRPr="0035500F">
        <w:rPr>
          <w:b/>
          <w:bCs/>
          <w:color w:val="0D0D0D" w:themeColor="text1" w:themeTint="F2"/>
          <w:sz w:val="22"/>
          <w:szCs w:val="22"/>
        </w:rPr>
        <w:t>haematology</w:t>
      </w:r>
      <w:proofErr w:type="spellEnd"/>
      <w:r w:rsidRPr="0035500F">
        <w:rPr>
          <w:b/>
          <w:bCs/>
          <w:color w:val="0D0D0D" w:themeColor="text1" w:themeTint="F2"/>
          <w:sz w:val="22"/>
          <w:szCs w:val="22"/>
        </w:rPr>
        <w:t xml:space="preserve"> results</w:t>
      </w:r>
    </w:p>
    <w:p w14:paraId="195DE96C" w14:textId="2107EDE6" w:rsidR="00E33877" w:rsidRPr="00A01E01" w:rsidRDefault="00E33877" w:rsidP="00E33877">
      <w:pPr>
        <w:spacing w:line="360" w:lineRule="auto"/>
        <w:jc w:val="both"/>
        <w:rPr>
          <w:rStyle w:val="normaltextrun"/>
          <w:color w:val="000000" w:themeColor="text1"/>
          <w:sz w:val="22"/>
          <w:szCs w:val="22"/>
        </w:rPr>
      </w:pPr>
      <w:r w:rsidRPr="0035500F">
        <w:rPr>
          <w:rStyle w:val="normaltextrun"/>
          <w:color w:val="000000" w:themeColor="text1"/>
          <w:sz w:val="22"/>
          <w:szCs w:val="22"/>
        </w:rPr>
        <w:t xml:space="preserve">Full blood count profiles were performed at weeks 0 and 2. Results of placebo and spermidine groups were comparable. There were no marked differences in </w:t>
      </w:r>
      <w:proofErr w:type="spellStart"/>
      <w:r w:rsidRPr="0035500F">
        <w:rPr>
          <w:rStyle w:val="normaltextrun"/>
          <w:color w:val="000000" w:themeColor="text1"/>
          <w:sz w:val="22"/>
          <w:szCs w:val="22"/>
        </w:rPr>
        <w:t>haematological</w:t>
      </w:r>
      <w:proofErr w:type="spellEnd"/>
      <w:r w:rsidRPr="0035500F">
        <w:rPr>
          <w:rStyle w:val="normaltextrun"/>
          <w:color w:val="000000" w:themeColor="text1"/>
          <w:sz w:val="22"/>
          <w:szCs w:val="22"/>
        </w:rPr>
        <w:t xml:space="preserve"> profiles (</w:t>
      </w:r>
      <w:proofErr w:type="spellStart"/>
      <w:r w:rsidRPr="0035500F">
        <w:rPr>
          <w:rStyle w:val="normaltextrun"/>
          <w:color w:val="000000" w:themeColor="text1"/>
          <w:sz w:val="22"/>
          <w:szCs w:val="22"/>
        </w:rPr>
        <w:t>haemoglobin</w:t>
      </w:r>
      <w:proofErr w:type="spellEnd"/>
      <w:r w:rsidRPr="0035500F">
        <w:rPr>
          <w:rStyle w:val="normaltextrun"/>
          <w:color w:val="000000" w:themeColor="text1"/>
          <w:sz w:val="22"/>
          <w:szCs w:val="22"/>
        </w:rPr>
        <w:t xml:space="preserve">, MCHC, MCV, RBC, HCT, MCH, WCC, platelet count) or in biochemistry profiles (urea and electrolytes, eGFR, liver function tests, creatine kinase, bone profile, lipid profile and iron profile) between each timepoint in placebo and spermidine groups (Table </w:t>
      </w:r>
      <w:r w:rsidR="00196874" w:rsidRPr="0035500F">
        <w:rPr>
          <w:rStyle w:val="normaltextrun"/>
          <w:color w:val="000000" w:themeColor="text1"/>
          <w:sz w:val="22"/>
          <w:szCs w:val="22"/>
        </w:rPr>
        <w:t>3</w:t>
      </w:r>
      <w:r w:rsidRPr="0035500F">
        <w:rPr>
          <w:rStyle w:val="normaltextrun"/>
          <w:color w:val="000000" w:themeColor="text1"/>
          <w:sz w:val="22"/>
          <w:szCs w:val="22"/>
        </w:rPr>
        <w:t>).</w:t>
      </w:r>
    </w:p>
    <w:p w14:paraId="42D0A59B" w14:textId="77777777" w:rsidR="00E33877" w:rsidRPr="00CF2317" w:rsidRDefault="00E33877" w:rsidP="00E33877">
      <w:pPr>
        <w:spacing w:line="276" w:lineRule="auto"/>
        <w:jc w:val="both"/>
        <w:rPr>
          <w:b/>
          <w:bCs/>
          <w:sz w:val="22"/>
          <w:szCs w:val="22"/>
        </w:rPr>
      </w:pPr>
    </w:p>
    <w:p w14:paraId="4F2C35B2" w14:textId="3A2E6C16" w:rsidR="61D9DEB9" w:rsidRDefault="61D9DEB9" w:rsidP="61D9DEB9">
      <w:pPr>
        <w:rPr>
          <w:b/>
          <w:bCs/>
        </w:rPr>
      </w:pPr>
    </w:p>
    <w:p w14:paraId="73A537AA" w14:textId="2512D2DE" w:rsidR="00495684" w:rsidRDefault="000C4D02" w:rsidP="61D9DEB9">
      <w:pPr>
        <w:rPr>
          <w:b/>
          <w:bCs/>
        </w:rPr>
      </w:pPr>
      <w:r>
        <w:rPr>
          <w:noProof/>
          <w:sz w:val="22"/>
          <w:szCs w:val="22"/>
          <w14:ligatures w14:val="standardContextual"/>
        </w:rPr>
        <w:lastRenderedPageBreak/>
        <w:drawing>
          <wp:inline distT="0" distB="0" distL="0" distR="0" wp14:anchorId="5E304711" wp14:editId="2AFC5659">
            <wp:extent cx="5943600" cy="5298928"/>
            <wp:effectExtent l="0" t="0" r="0" b="0"/>
            <wp:docPr id="721189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89131" name="Picture 721189131"/>
                    <pic:cNvPicPr/>
                  </pic:nvPicPr>
                  <pic:blipFill rotWithShape="1">
                    <a:blip r:embed="rId4"/>
                    <a:srcRect l="5030" t="3799" r="6859" b="40690"/>
                    <a:stretch/>
                  </pic:blipFill>
                  <pic:spPr bwMode="auto">
                    <a:xfrm>
                      <a:off x="0" y="0"/>
                      <a:ext cx="5943600" cy="5298928"/>
                    </a:xfrm>
                    <a:prstGeom prst="rect">
                      <a:avLst/>
                    </a:prstGeom>
                    <a:ln>
                      <a:noFill/>
                    </a:ln>
                    <a:extLst>
                      <a:ext uri="{53640926-AAD7-44D8-BBD7-CCE9431645EC}">
                        <a14:shadowObscured xmlns:a14="http://schemas.microsoft.com/office/drawing/2010/main"/>
                      </a:ext>
                    </a:extLst>
                  </pic:spPr>
                </pic:pic>
              </a:graphicData>
            </a:graphic>
          </wp:inline>
        </w:drawing>
      </w:r>
    </w:p>
    <w:p w14:paraId="5D2040A8" w14:textId="21A02629" w:rsidR="000C4D02" w:rsidRPr="000B65D4" w:rsidRDefault="000C4D02" w:rsidP="000C4D02">
      <w:pPr>
        <w:ind w:left="-426" w:right="-188"/>
        <w:jc w:val="both"/>
        <w:rPr>
          <w:color w:val="000000"/>
          <w:sz w:val="22"/>
          <w:szCs w:val="22"/>
        </w:rPr>
      </w:pPr>
      <w:r w:rsidRPr="000B65D4">
        <w:rPr>
          <w:b/>
          <w:bCs/>
          <w:sz w:val="22"/>
          <w:szCs w:val="22"/>
        </w:rPr>
        <w:t xml:space="preserve">Table </w:t>
      </w:r>
      <w:r w:rsidR="00196874">
        <w:rPr>
          <w:b/>
          <w:bCs/>
          <w:sz w:val="22"/>
          <w:szCs w:val="22"/>
        </w:rPr>
        <w:t>3</w:t>
      </w:r>
      <w:r w:rsidRPr="000B65D4">
        <w:rPr>
          <w:sz w:val="22"/>
          <w:szCs w:val="22"/>
        </w:rPr>
        <w:t xml:space="preserve">: Biological and </w:t>
      </w:r>
      <w:proofErr w:type="spellStart"/>
      <w:r w:rsidRPr="000B65D4">
        <w:rPr>
          <w:sz w:val="22"/>
          <w:szCs w:val="22"/>
        </w:rPr>
        <w:t>haematological</w:t>
      </w:r>
      <w:proofErr w:type="spellEnd"/>
      <w:r w:rsidRPr="000B65D4">
        <w:rPr>
          <w:sz w:val="22"/>
          <w:szCs w:val="22"/>
        </w:rPr>
        <w:t xml:space="preserve"> parameters were measured at baseline (week 0) and at a follow-up appointment (week 2) in all participants. The</w:t>
      </w:r>
      <w:r w:rsidR="008C5DBA">
        <w:rPr>
          <w:sz w:val="22"/>
          <w:szCs w:val="22"/>
        </w:rPr>
        <w:t>re</w:t>
      </w:r>
      <w:r w:rsidRPr="000B65D4">
        <w:rPr>
          <w:sz w:val="22"/>
          <w:szCs w:val="22"/>
        </w:rPr>
        <w:t xml:space="preserve"> w</w:t>
      </w:r>
      <w:r w:rsidR="008C5DBA">
        <w:rPr>
          <w:sz w:val="22"/>
          <w:szCs w:val="22"/>
        </w:rPr>
        <w:t>ere</w:t>
      </w:r>
      <w:r w:rsidRPr="000B65D4">
        <w:rPr>
          <w:sz w:val="22"/>
          <w:szCs w:val="22"/>
        </w:rPr>
        <w:t xml:space="preserve"> no statistically significant difference</w:t>
      </w:r>
      <w:r w:rsidR="008C5DBA">
        <w:rPr>
          <w:sz w:val="22"/>
          <w:szCs w:val="22"/>
        </w:rPr>
        <w:t>s</w:t>
      </w:r>
      <w:r w:rsidRPr="000B65D4">
        <w:rPr>
          <w:sz w:val="22"/>
          <w:szCs w:val="22"/>
        </w:rPr>
        <w:t xml:space="preserve"> between placebo and treatment groups observed. MCV (mean cell volume); MCH (mean cell </w:t>
      </w:r>
      <w:proofErr w:type="spellStart"/>
      <w:r w:rsidRPr="000B65D4">
        <w:rPr>
          <w:sz w:val="22"/>
          <w:szCs w:val="22"/>
        </w:rPr>
        <w:t>haemoglobin</w:t>
      </w:r>
      <w:proofErr w:type="spellEnd"/>
      <w:r w:rsidR="008C5DBA">
        <w:rPr>
          <w:sz w:val="22"/>
          <w:szCs w:val="22"/>
        </w:rPr>
        <w:t>)</w:t>
      </w:r>
      <w:r w:rsidRPr="000B65D4">
        <w:rPr>
          <w:sz w:val="22"/>
          <w:szCs w:val="22"/>
        </w:rPr>
        <w:t xml:space="preserve">; MCHC (mean corpuscular </w:t>
      </w:r>
      <w:proofErr w:type="spellStart"/>
      <w:r w:rsidRPr="000B65D4">
        <w:rPr>
          <w:sz w:val="22"/>
          <w:szCs w:val="22"/>
        </w:rPr>
        <w:t>haemoglobin</w:t>
      </w:r>
      <w:proofErr w:type="spellEnd"/>
      <w:r w:rsidRPr="000B65D4">
        <w:rPr>
          <w:sz w:val="22"/>
          <w:szCs w:val="22"/>
        </w:rPr>
        <w:t xml:space="preserve"> concentration); eGFR (estimated glomerular filtration rate). </w:t>
      </w:r>
      <w:proofErr w:type="spellStart"/>
      <w:r w:rsidR="008C5DBA">
        <w:rPr>
          <w:sz w:val="22"/>
          <w:szCs w:val="22"/>
        </w:rPr>
        <w:t>fL</w:t>
      </w:r>
      <w:proofErr w:type="spellEnd"/>
      <w:r w:rsidR="008C5DBA">
        <w:rPr>
          <w:sz w:val="22"/>
          <w:szCs w:val="22"/>
        </w:rPr>
        <w:t xml:space="preserve"> (</w:t>
      </w:r>
      <w:r w:rsidRPr="000B65D4">
        <w:rPr>
          <w:sz w:val="22"/>
          <w:szCs w:val="22"/>
        </w:rPr>
        <w:t>femtoliter</w:t>
      </w:r>
      <w:r w:rsidR="008C5DBA">
        <w:rPr>
          <w:sz w:val="22"/>
          <w:szCs w:val="22"/>
        </w:rPr>
        <w:t>)</w:t>
      </w:r>
      <w:r w:rsidRPr="000B65D4">
        <w:rPr>
          <w:sz w:val="22"/>
          <w:szCs w:val="22"/>
        </w:rPr>
        <w:t xml:space="preserve">; </w:t>
      </w:r>
      <w:proofErr w:type="spellStart"/>
      <w:r w:rsidRPr="000B65D4">
        <w:rPr>
          <w:sz w:val="22"/>
          <w:szCs w:val="22"/>
        </w:rPr>
        <w:t>pg</w:t>
      </w:r>
      <w:proofErr w:type="spellEnd"/>
      <w:r w:rsidR="008C5DBA">
        <w:rPr>
          <w:sz w:val="22"/>
          <w:szCs w:val="22"/>
        </w:rPr>
        <w:t xml:space="preserve"> – (</w:t>
      </w:r>
      <w:r w:rsidRPr="000B65D4">
        <w:rPr>
          <w:sz w:val="22"/>
          <w:szCs w:val="22"/>
        </w:rPr>
        <w:t>picograms</w:t>
      </w:r>
      <w:r w:rsidR="008C5DBA">
        <w:rPr>
          <w:sz w:val="22"/>
          <w:szCs w:val="22"/>
        </w:rPr>
        <w:t>)</w:t>
      </w:r>
      <w:r w:rsidRPr="000B65D4">
        <w:rPr>
          <w:sz w:val="22"/>
          <w:szCs w:val="22"/>
        </w:rPr>
        <w:t xml:space="preserve">; mmol </w:t>
      </w:r>
      <w:r w:rsidR="008C5DBA">
        <w:rPr>
          <w:sz w:val="22"/>
          <w:szCs w:val="22"/>
        </w:rPr>
        <w:t>(</w:t>
      </w:r>
      <w:r w:rsidRPr="000B65D4">
        <w:rPr>
          <w:sz w:val="22"/>
          <w:szCs w:val="22"/>
        </w:rPr>
        <w:t>millimole</w:t>
      </w:r>
      <w:r w:rsidR="008C5DBA">
        <w:rPr>
          <w:sz w:val="22"/>
          <w:szCs w:val="22"/>
        </w:rPr>
        <w:t>)</w:t>
      </w:r>
      <w:r w:rsidRPr="000B65D4">
        <w:rPr>
          <w:sz w:val="22"/>
          <w:szCs w:val="22"/>
        </w:rPr>
        <w:t xml:space="preserve">; </w:t>
      </w:r>
      <w:r w:rsidRPr="000B65D4">
        <w:rPr>
          <w:color w:val="000000"/>
          <w:sz w:val="22"/>
          <w:szCs w:val="22"/>
        </w:rPr>
        <w:t xml:space="preserve">µmol </w:t>
      </w:r>
      <w:r w:rsidR="008C5DBA">
        <w:rPr>
          <w:color w:val="000000"/>
          <w:sz w:val="22"/>
          <w:szCs w:val="22"/>
        </w:rPr>
        <w:t>(</w:t>
      </w:r>
      <w:r w:rsidRPr="000B65D4">
        <w:rPr>
          <w:color w:val="000000"/>
          <w:sz w:val="22"/>
          <w:szCs w:val="22"/>
        </w:rPr>
        <w:t>micromole</w:t>
      </w:r>
      <w:r w:rsidR="008C5DBA">
        <w:rPr>
          <w:color w:val="000000"/>
          <w:sz w:val="22"/>
          <w:szCs w:val="22"/>
        </w:rPr>
        <w:t>)</w:t>
      </w:r>
      <w:r w:rsidRPr="000B65D4">
        <w:rPr>
          <w:color w:val="000000"/>
          <w:sz w:val="22"/>
          <w:szCs w:val="22"/>
        </w:rPr>
        <w:t xml:space="preserve">; g </w:t>
      </w:r>
      <w:r w:rsidR="008C5DBA">
        <w:rPr>
          <w:color w:val="000000"/>
          <w:sz w:val="22"/>
          <w:szCs w:val="22"/>
        </w:rPr>
        <w:t>(</w:t>
      </w:r>
      <w:r w:rsidRPr="000B65D4">
        <w:rPr>
          <w:color w:val="000000"/>
          <w:sz w:val="22"/>
          <w:szCs w:val="22"/>
        </w:rPr>
        <w:t>gram</w:t>
      </w:r>
      <w:r w:rsidR="008C5DBA">
        <w:rPr>
          <w:color w:val="000000"/>
          <w:sz w:val="22"/>
          <w:szCs w:val="22"/>
        </w:rPr>
        <w:t>)</w:t>
      </w:r>
      <w:r w:rsidRPr="000B65D4">
        <w:rPr>
          <w:color w:val="000000"/>
          <w:sz w:val="22"/>
          <w:szCs w:val="22"/>
        </w:rPr>
        <w:t xml:space="preserve">; U/L </w:t>
      </w:r>
      <w:r w:rsidR="008C5DBA">
        <w:rPr>
          <w:color w:val="000000"/>
          <w:sz w:val="22"/>
          <w:szCs w:val="22"/>
        </w:rPr>
        <w:t>(</w:t>
      </w:r>
      <w:r w:rsidRPr="000B65D4">
        <w:rPr>
          <w:color w:val="000000"/>
          <w:sz w:val="22"/>
          <w:szCs w:val="22"/>
        </w:rPr>
        <w:t xml:space="preserve">units per </w:t>
      </w:r>
      <w:proofErr w:type="spellStart"/>
      <w:r w:rsidRPr="000B65D4">
        <w:rPr>
          <w:color w:val="000000"/>
          <w:sz w:val="22"/>
          <w:szCs w:val="22"/>
        </w:rPr>
        <w:t>litre</w:t>
      </w:r>
      <w:proofErr w:type="spellEnd"/>
      <w:r w:rsidR="008C5DBA">
        <w:rPr>
          <w:color w:val="000000"/>
          <w:sz w:val="22"/>
          <w:szCs w:val="22"/>
        </w:rPr>
        <w:t>)</w:t>
      </w:r>
      <w:r w:rsidRPr="000B65D4">
        <w:rPr>
          <w:color w:val="000000"/>
          <w:sz w:val="22"/>
          <w:szCs w:val="22"/>
        </w:rPr>
        <w:t xml:space="preserve">. The Wilcoxon test was employed to </w:t>
      </w:r>
      <w:proofErr w:type="spellStart"/>
      <w:r w:rsidRPr="000B65D4">
        <w:rPr>
          <w:color w:val="000000"/>
          <w:sz w:val="22"/>
          <w:szCs w:val="22"/>
        </w:rPr>
        <w:t>analyse</w:t>
      </w:r>
      <w:proofErr w:type="spellEnd"/>
      <w:r w:rsidRPr="000B65D4">
        <w:rPr>
          <w:color w:val="000000"/>
          <w:sz w:val="22"/>
          <w:szCs w:val="22"/>
        </w:rPr>
        <w:t xml:space="preserve"> the differences between the baseline and two-week measurements for both the Placebo and Spermidine group</w:t>
      </w:r>
      <w:r w:rsidR="008C5DBA">
        <w:rPr>
          <w:color w:val="000000"/>
          <w:sz w:val="22"/>
          <w:szCs w:val="22"/>
        </w:rPr>
        <w:t>s</w:t>
      </w:r>
      <w:r w:rsidRPr="000B65D4">
        <w:rPr>
          <w:color w:val="000000"/>
          <w:sz w:val="22"/>
          <w:szCs w:val="22"/>
        </w:rPr>
        <w:t xml:space="preserve">. </w:t>
      </w:r>
    </w:p>
    <w:p w14:paraId="1F5D660A" w14:textId="77777777" w:rsidR="000C4D02" w:rsidRDefault="000C4D02" w:rsidP="61D9DEB9">
      <w:pPr>
        <w:rPr>
          <w:b/>
          <w:bCs/>
        </w:rPr>
      </w:pPr>
    </w:p>
    <w:sectPr w:rsidR="000C4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54D685"/>
    <w:rsid w:val="000C4D02"/>
    <w:rsid w:val="000E1B93"/>
    <w:rsid w:val="00196874"/>
    <w:rsid w:val="0035500F"/>
    <w:rsid w:val="00495684"/>
    <w:rsid w:val="004F4243"/>
    <w:rsid w:val="00552A90"/>
    <w:rsid w:val="00595427"/>
    <w:rsid w:val="005986ED"/>
    <w:rsid w:val="005C3B7D"/>
    <w:rsid w:val="00617692"/>
    <w:rsid w:val="006F1B2E"/>
    <w:rsid w:val="007C6899"/>
    <w:rsid w:val="00810AC4"/>
    <w:rsid w:val="00844A7D"/>
    <w:rsid w:val="008C51B1"/>
    <w:rsid w:val="008C5DBA"/>
    <w:rsid w:val="009E25A9"/>
    <w:rsid w:val="009F074C"/>
    <w:rsid w:val="00A86B10"/>
    <w:rsid w:val="00BA4966"/>
    <w:rsid w:val="00C86D81"/>
    <w:rsid w:val="00E33877"/>
    <w:rsid w:val="00F05AE4"/>
    <w:rsid w:val="00F97AD0"/>
    <w:rsid w:val="0116EC6D"/>
    <w:rsid w:val="0EC3F11C"/>
    <w:rsid w:val="0FB2DD23"/>
    <w:rsid w:val="10B4F836"/>
    <w:rsid w:val="1A7A0B6F"/>
    <w:rsid w:val="1E933DF2"/>
    <w:rsid w:val="228DA61E"/>
    <w:rsid w:val="24D62D87"/>
    <w:rsid w:val="260653DD"/>
    <w:rsid w:val="265B7025"/>
    <w:rsid w:val="2723DEB6"/>
    <w:rsid w:val="2A383B30"/>
    <w:rsid w:val="2CF955A4"/>
    <w:rsid w:val="2E54D685"/>
    <w:rsid w:val="2F4805EE"/>
    <w:rsid w:val="30A3DAAB"/>
    <w:rsid w:val="3603C002"/>
    <w:rsid w:val="36F84974"/>
    <w:rsid w:val="37ABDFA1"/>
    <w:rsid w:val="3A329CAD"/>
    <w:rsid w:val="45860AE8"/>
    <w:rsid w:val="49B93754"/>
    <w:rsid w:val="4FD0C20E"/>
    <w:rsid w:val="50E056FD"/>
    <w:rsid w:val="521CC9BF"/>
    <w:rsid w:val="54F4E4DA"/>
    <w:rsid w:val="55F50708"/>
    <w:rsid w:val="5733F0C1"/>
    <w:rsid w:val="574C9823"/>
    <w:rsid w:val="5BC37082"/>
    <w:rsid w:val="5C7DF5FB"/>
    <w:rsid w:val="5D4FACCE"/>
    <w:rsid w:val="5F031BA1"/>
    <w:rsid w:val="61D9DEB9"/>
    <w:rsid w:val="65FBB26F"/>
    <w:rsid w:val="68ADC0B4"/>
    <w:rsid w:val="68E111F2"/>
    <w:rsid w:val="692BD910"/>
    <w:rsid w:val="70E52CBD"/>
    <w:rsid w:val="762ED472"/>
    <w:rsid w:val="7BC1F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D685"/>
  <w15:chartTrackingRefBased/>
  <w15:docId w15:val="{B664C355-B25B-48ED-9895-221D3FB9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61D9DEB9"/>
    <w:rPr>
      <w:rFonts w:asciiTheme="minorHAnsi" w:eastAsiaTheme="minorEastAsia" w:hAnsiTheme="minorHAnsi" w:cstheme="minorBidi"/>
      <w:sz w:val="24"/>
      <w:szCs w:val="24"/>
    </w:rPr>
  </w:style>
  <w:style w:type="paragraph" w:customStyle="1" w:styleId="paragraph">
    <w:name w:val="paragraph"/>
    <w:basedOn w:val="Normal"/>
    <w:link w:val="paragraphChar"/>
    <w:uiPriority w:val="1"/>
    <w:rsid w:val="61D9DEB9"/>
    <w:pPr>
      <w:spacing w:beforeAutospacing="1" w:afterAutospacing="1"/>
    </w:pPr>
    <w:rPr>
      <w:lang w:val="en-GB" w:eastAsia="en-GB"/>
    </w:rPr>
  </w:style>
  <w:style w:type="character" w:customStyle="1" w:styleId="paragraphChar">
    <w:name w:val="paragraph Char"/>
    <w:basedOn w:val="DefaultParagraphFont"/>
    <w:link w:val="paragraph"/>
    <w:uiPriority w:val="1"/>
    <w:rsid w:val="61D9DEB9"/>
    <w:rPr>
      <w:rFonts w:asciiTheme="minorHAnsi" w:eastAsiaTheme="minorEastAsia" w:hAnsiTheme="minorHAnsi" w:cstheme="minorBidi"/>
      <w:sz w:val="24"/>
      <w:szCs w:val="24"/>
      <w:lang w:eastAsia="en-GB"/>
    </w:rPr>
  </w:style>
  <w:style w:type="character" w:customStyle="1" w:styleId="eop">
    <w:name w:val="eop"/>
    <w:basedOn w:val="DefaultParagraphFont"/>
    <w:uiPriority w:val="1"/>
    <w:rsid w:val="61D9DEB9"/>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95684"/>
    <w:rPr>
      <w:color w:val="0000FF"/>
      <w:u w:val="single"/>
    </w:rPr>
  </w:style>
  <w:style w:type="table" w:styleId="TableGrid">
    <w:name w:val="Table Grid"/>
    <w:basedOn w:val="TableNormal"/>
    <w:uiPriority w:val="39"/>
    <w:rsid w:val="00495684"/>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3877"/>
    <w:rPr>
      <w:sz w:val="16"/>
      <w:szCs w:val="16"/>
    </w:rPr>
  </w:style>
  <w:style w:type="paragraph" w:styleId="CommentText">
    <w:name w:val="annotation text"/>
    <w:basedOn w:val="Normal"/>
    <w:link w:val="CommentTextChar"/>
    <w:uiPriority w:val="99"/>
    <w:unhideWhenUsed/>
    <w:rsid w:val="00E33877"/>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E33877"/>
    <w:rPr>
      <w:rFonts w:ascii="Times New Roman" w:eastAsia="Times New Roman" w:hAnsi="Times New Roman" w:cs="Times New Roman"/>
      <w:sz w:val="20"/>
      <w:szCs w:val="20"/>
      <w:lang w:val="en-GB" w:eastAsia="en-GB"/>
    </w:rPr>
  </w:style>
  <w:style w:type="paragraph" w:styleId="Revision">
    <w:name w:val="Revision"/>
    <w:hidden/>
    <w:uiPriority w:val="99"/>
    <w:semiHidden/>
    <w:rsid w:val="008C5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Ghada Alsaleh</cp:lastModifiedBy>
  <cp:revision>3</cp:revision>
  <dcterms:created xsi:type="dcterms:W3CDTF">2024-12-20T12:48:00Z</dcterms:created>
  <dcterms:modified xsi:type="dcterms:W3CDTF">2024-12-20T17:35:00Z</dcterms:modified>
</cp:coreProperties>
</file>