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725FE" w14:textId="77777777" w:rsidR="008473D1" w:rsidRDefault="008473D1" w:rsidP="008473D1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AE0DAD">
        <w:rPr>
          <w:b/>
          <w:bCs/>
          <w:color w:val="000000" w:themeColor="text1"/>
          <w:sz w:val="22"/>
          <w:szCs w:val="22"/>
        </w:rPr>
        <w:t>Supplementary Figure Legends</w:t>
      </w:r>
    </w:p>
    <w:p w14:paraId="1178D0BD" w14:textId="77777777" w:rsidR="00AD3DE3" w:rsidRDefault="00AD3DE3"/>
    <w:p w14:paraId="72A78DA7" w14:textId="617DB968" w:rsidR="008473D1" w:rsidRDefault="008473D1" w:rsidP="008473D1">
      <w:pPr>
        <w:spacing w:line="360" w:lineRule="auto"/>
        <w:jc w:val="both"/>
        <w:rPr>
          <w:rFonts w:eastAsiaTheme="minorHAnsi"/>
          <w:kern w:val="2"/>
          <w:sz w:val="22"/>
          <w:szCs w:val="22"/>
          <w:lang w:val="en-US" w:eastAsia="en-US"/>
          <w14:ligatures w14:val="standardContextual"/>
        </w:rPr>
      </w:pPr>
      <w:r w:rsidRPr="003B5527">
        <w:rPr>
          <w:b/>
          <w:bCs/>
          <w:sz w:val="22"/>
          <w:szCs w:val="22"/>
        </w:rPr>
        <w:t>Figure S1</w:t>
      </w:r>
      <w:r>
        <w:rPr>
          <w:b/>
          <w:bCs/>
          <w:sz w:val="22"/>
          <w:szCs w:val="22"/>
        </w:rPr>
        <w:t xml:space="preserve">: A: </w:t>
      </w:r>
      <w:r w:rsidRPr="006D4AC1">
        <w:rPr>
          <w:rFonts w:eastAsiaTheme="minorHAnsi"/>
          <w:kern w:val="2"/>
          <w:sz w:val="22"/>
          <w:szCs w:val="22"/>
          <w:lang w:val="en-US" w:eastAsia="en-US"/>
          <w14:ligatures w14:val="standardContextual"/>
        </w:rPr>
        <w:t xml:space="preserve">Regimen of </w:t>
      </w:r>
      <w:proofErr w:type="spellStart"/>
      <w:r w:rsidRPr="006D4AC1">
        <w:rPr>
          <w:rFonts w:eastAsiaTheme="minorHAnsi"/>
          <w:kern w:val="2"/>
          <w:sz w:val="22"/>
          <w:szCs w:val="22"/>
          <w:lang w:val="en-US" w:eastAsia="en-US"/>
          <w14:ligatures w14:val="standardContextual"/>
        </w:rPr>
        <w:t>immunisation</w:t>
      </w:r>
      <w:proofErr w:type="spellEnd"/>
      <w:r w:rsidRPr="006D4AC1">
        <w:rPr>
          <w:rFonts w:eastAsiaTheme="minorHAnsi"/>
          <w:kern w:val="2"/>
          <w:sz w:val="22"/>
          <w:szCs w:val="22"/>
          <w:lang w:val="en-US" w:eastAsia="en-US"/>
          <w14:ligatures w14:val="standardContextual"/>
        </w:rPr>
        <w:t xml:space="preserve"> and blood sampling</w:t>
      </w:r>
      <w:r w:rsidRPr="006D4AC1">
        <w:rPr>
          <w:sz w:val="22"/>
          <w:szCs w:val="22"/>
          <w:lang w:val="en-US"/>
        </w:rPr>
        <w:t xml:space="preserve">. </w:t>
      </w:r>
      <w:r w:rsidRPr="006D4AC1">
        <w:rPr>
          <w:b/>
          <w:bCs/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 xml:space="preserve">: </w:t>
      </w:r>
      <w:r w:rsidRPr="006D4AC1">
        <w:rPr>
          <w:rFonts w:eastAsiaTheme="minorHAnsi"/>
          <w:kern w:val="2"/>
          <w:sz w:val="22"/>
          <w:szCs w:val="22"/>
          <w:lang w:val="en-US" w:eastAsia="en-US"/>
          <w14:ligatures w14:val="standardContextual"/>
        </w:rPr>
        <w:t>Study pipeline and participant information.</w:t>
      </w:r>
    </w:p>
    <w:p w14:paraId="6D64EA2F" w14:textId="77777777" w:rsidR="008473D1" w:rsidRDefault="008473D1" w:rsidP="008473D1">
      <w:pPr>
        <w:spacing w:line="360" w:lineRule="auto"/>
        <w:jc w:val="both"/>
        <w:rPr>
          <w:rFonts w:eastAsiaTheme="minorHAnsi"/>
          <w:kern w:val="2"/>
          <w:sz w:val="22"/>
          <w:szCs w:val="22"/>
          <w:lang w:val="en-US" w:eastAsia="en-US"/>
          <w14:ligatures w14:val="standardContextual"/>
        </w:rPr>
      </w:pPr>
    </w:p>
    <w:p w14:paraId="41903FF3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Figure S2: Spermidine treatment did not alter memory B cell numbers, total IgA or total IgG levels at 2 weeks.</w:t>
      </w:r>
    </w:p>
    <w:p w14:paraId="55F2161B" w14:textId="1B3219D9" w:rsid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rFonts w:cs="+mn-cs"/>
          <w:color w:val="000000"/>
          <w:kern w:val="24"/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A: </w:t>
      </w:r>
      <w:r w:rsidRPr="008473D1">
        <w:rPr>
          <w:rFonts w:cs="+mn-cs"/>
          <w:color w:val="000000"/>
          <w:kern w:val="24"/>
          <w:sz w:val="22"/>
          <w:szCs w:val="22"/>
        </w:rPr>
        <w:t>PBMC baseline mean fluorescence intensity (MFI) of p21in placebo and spermidine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Spd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) groups 1 (G1) and 2 (G2).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B: </w:t>
      </w:r>
      <w:r w:rsidRPr="008473D1">
        <w:rPr>
          <w:rFonts w:cs="+mn-cs"/>
          <w:color w:val="000000"/>
          <w:kern w:val="24"/>
          <w:sz w:val="22"/>
          <w:szCs w:val="22"/>
        </w:rPr>
        <w:t>Senescence marker fold change heatmap between baseline and 2 weeks for p21 in CD4 T cell, CD8 T cell and B cell subsets.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 C: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Anti-spike IgG intensity (ELISA) at baseline and 2 weeks post spermidine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Spd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>) for placebo and spermidine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Spd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) groups 1 (G1) and 2 (G2). 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D: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Raw 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FluoroSpot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 values for anti-spike IgG of PBMC-derived B cells 2 weeks post spermidine or placebo.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E: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Memory B cell (CD19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CD27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IgD</w:t>
      </w:r>
      <w:proofErr w:type="spellEnd"/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low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) proportion fold change from baseline.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F: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FluoroSpot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 image example results for B cells in IgA and IgG plates.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G: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Total IgG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FluoroSpot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) fold change across groups from baseline.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H: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Total IgA fold change across groups. Annotations: Week 2; spermidine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Spd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); group 1 (G1); group 2 (G2). </w:t>
      </w:r>
      <w:r w:rsidR="00176961" w:rsidRPr="00602EFD">
        <w:rPr>
          <w:sz w:val="22"/>
          <w:szCs w:val="22"/>
        </w:rPr>
        <w:t>Data are presented as Tukey boxplots</w:t>
      </w:r>
      <w:r w:rsidR="00176961">
        <w:rPr>
          <w:sz w:val="22"/>
          <w:szCs w:val="22"/>
        </w:rPr>
        <w:t xml:space="preserve"> </w:t>
      </w:r>
      <w:r w:rsidR="00176961" w:rsidRPr="00602EFD">
        <w:rPr>
          <w:sz w:val="22"/>
          <w:szCs w:val="22"/>
        </w:rPr>
        <w:t>with statistical comparisons using the Wilcoxon test.</w:t>
      </w:r>
    </w:p>
    <w:p w14:paraId="6EE44C56" w14:textId="77777777" w:rsid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rFonts w:cs="+mn-cs"/>
          <w:color w:val="000000"/>
          <w:kern w:val="24"/>
          <w:sz w:val="22"/>
          <w:szCs w:val="22"/>
        </w:rPr>
      </w:pPr>
    </w:p>
    <w:p w14:paraId="50B189E3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Figure S3: Enhanced ACE2 inhibition responses against SARS-CoV-2 variants following spermidine supplementation</w:t>
      </w:r>
    </w:p>
    <w:p w14:paraId="4603AB9F" w14:textId="77626E85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A-I: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ACE2 inhibition (%) across all groups and timepoints, from neutralisation antibody assay against SARS-CoV-2 variants: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(A)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B.1.617 (India),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(B)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P.2 (Zeta),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(C)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B.1.1.7 (Alpha),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(D)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B.1.351 (Beta),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(E)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B.1.526 (New York),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(F)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B.1.617.2 (Delta),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(G)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B 1.617.1 (Kappa),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(H)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B.1.617.3 (India),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(I) </w:t>
      </w:r>
      <w:r w:rsidRPr="008473D1">
        <w:rPr>
          <w:rFonts w:cs="+mn-cs"/>
          <w:color w:val="000000"/>
          <w:kern w:val="24"/>
          <w:sz w:val="22"/>
          <w:szCs w:val="22"/>
        </w:rPr>
        <w:t>P.1 (Gamma). Annotations: Week 2 (W2); spermidine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Spd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); group 1 (G1); group 2 (G2). </w:t>
      </w:r>
      <w:r w:rsidR="00176961" w:rsidRPr="00602EFD">
        <w:rPr>
          <w:sz w:val="22"/>
          <w:szCs w:val="22"/>
        </w:rPr>
        <w:t>Data are presented as</w:t>
      </w:r>
      <w:r w:rsidR="00176961">
        <w:rPr>
          <w:sz w:val="22"/>
          <w:szCs w:val="22"/>
        </w:rPr>
        <w:t xml:space="preserve"> violin plots </w:t>
      </w:r>
      <w:r w:rsidR="00176961" w:rsidRPr="00602EFD">
        <w:rPr>
          <w:sz w:val="22"/>
          <w:szCs w:val="22"/>
        </w:rPr>
        <w:t>with statistical comparisons using the Wilcoxon test.</w:t>
      </w:r>
    </w:p>
    <w:p w14:paraId="3E51A111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12DC8AD7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Figure S4: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Spermidine supplementation had no effect on T cell responses against COVID-19 vaccination.</w:t>
      </w:r>
    </w:p>
    <w:p w14:paraId="31C70989" w14:textId="3D79804E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A: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ELISpot image example results for T cell plates stimulated with SARS-CoV-2 peptide pools representing the viral S1, S2, membrane (M) and nucleocapsid (N) regions. CEFT peptide pools and concanavalin A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ConA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) were used as positive controls.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B-D: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</w:t>
      </w:r>
      <w:r w:rsidRPr="008473D1">
        <w:rPr>
          <w:rFonts w:cs="+mn-cs"/>
          <w:i/>
          <w:iCs/>
          <w:color w:val="000000"/>
          <w:kern w:val="24"/>
          <w:sz w:val="22"/>
          <w:szCs w:val="22"/>
        </w:rPr>
        <w:t>Ex vivo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IFN-γ ELISpot response fold change at 2 weeks to (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B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) total spike,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(C)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S1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,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(D)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S2. Annotations: Week 2 (W2); spermidine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Spd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); group 1 (G1); group 2 (G2). </w:t>
      </w:r>
      <w:r w:rsidR="00176961" w:rsidRPr="00602EFD">
        <w:rPr>
          <w:sz w:val="22"/>
          <w:szCs w:val="22"/>
        </w:rPr>
        <w:t>Data are presented as Tukey boxplots with statistical comparisons using the Wilcoxon test.</w:t>
      </w:r>
    </w:p>
    <w:p w14:paraId="341DDF72" w14:textId="77777777" w:rsidR="008473D1" w:rsidRDefault="008473D1" w:rsidP="008473D1">
      <w:pPr>
        <w:spacing w:line="360" w:lineRule="auto"/>
        <w:jc w:val="both"/>
        <w:rPr>
          <w:b/>
          <w:bCs/>
          <w:sz w:val="22"/>
          <w:szCs w:val="22"/>
        </w:rPr>
      </w:pPr>
    </w:p>
    <w:p w14:paraId="07490814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Figure S5: </w:t>
      </w:r>
      <w:proofErr w:type="spellStart"/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scRNAseq</w:t>
      </w:r>
      <w:proofErr w:type="spellEnd"/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 analysis revealed that spermidine treatment induces significant modifications in B cell pathways.</w:t>
      </w:r>
    </w:p>
    <w:p w14:paraId="17C79919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lastRenderedPageBreak/>
        <w:t xml:space="preserve">A: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Violin plots showing normalized expression of the top three differentially expressed marker genes per identified cell type.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B-C: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Violin plots representing normalised gene expression for select genes differentially expressed between Placebo, G1 and G2 at baseline in the B memory cluster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(B)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FCER2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(C)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TNFRSF13B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(D) </w:t>
      </w:r>
      <w:r w:rsidRPr="008473D1">
        <w:rPr>
          <w:rFonts w:cs="+mn-cs"/>
          <w:color w:val="000000"/>
          <w:kern w:val="24"/>
          <w:sz w:val="22"/>
          <w:szCs w:val="22"/>
        </w:rPr>
        <w:t>SLC18B1.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 E-F: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B cell gene expression dot heatmaps at baseline (BL) and 2 weeks across groups for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(E)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TLR and PAMP recognition, and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(F)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viral response genes.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G-I: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TFEB target gene expression (scaled) dot heatmaps and pathways of DEGs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(G)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Naïve B cells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(H)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CD8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T cells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(I)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CD4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T cells. </w:t>
      </w:r>
    </w:p>
    <w:p w14:paraId="4FE76DEB" w14:textId="77777777" w:rsidR="008473D1" w:rsidRDefault="008473D1" w:rsidP="008473D1">
      <w:pPr>
        <w:spacing w:line="360" w:lineRule="auto"/>
        <w:jc w:val="both"/>
        <w:rPr>
          <w:b/>
          <w:bCs/>
          <w:sz w:val="22"/>
          <w:szCs w:val="22"/>
        </w:rPr>
      </w:pPr>
    </w:p>
    <w:p w14:paraId="775C120E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Figure S6:  Spermidine supplementation increased TFEB in CD4 T cells.</w:t>
      </w:r>
    </w:p>
    <w:p w14:paraId="222DAA09" w14:textId="1B35FC80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A: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Schematic representation of the proposed mechanism of action of spermidine supplementation in autophagy activation of immune cells.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B-C: </w:t>
      </w:r>
      <w:r w:rsidRPr="008473D1">
        <w:rPr>
          <w:rFonts w:cs="+mn-cs"/>
          <w:color w:val="000000"/>
          <w:kern w:val="24"/>
          <w:sz w:val="22"/>
          <w:szCs w:val="22"/>
        </w:rPr>
        <w:t>Fold change in TFEB protein levels 2 weeks post spermidine supplementation or placebo in (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B</w:t>
      </w:r>
      <w:r w:rsidRPr="008473D1">
        <w:rPr>
          <w:rFonts w:cs="+mn-cs"/>
          <w:color w:val="000000"/>
          <w:kern w:val="24"/>
          <w:sz w:val="22"/>
          <w:szCs w:val="22"/>
        </w:rPr>
        <w:t>) CD4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T cells, (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C</w:t>
      </w:r>
      <w:r w:rsidRPr="008473D1">
        <w:rPr>
          <w:rFonts w:cs="+mn-cs"/>
          <w:color w:val="000000"/>
          <w:kern w:val="24"/>
          <w:sz w:val="22"/>
          <w:szCs w:val="22"/>
        </w:rPr>
        <w:t>) CD8+ T cells, and (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D) </w:t>
      </w:r>
      <w:r w:rsidRPr="008473D1">
        <w:rPr>
          <w:rFonts w:cs="+mn-cs"/>
          <w:color w:val="000000"/>
          <w:kern w:val="24"/>
          <w:sz w:val="22"/>
          <w:szCs w:val="22"/>
        </w:rPr>
        <w:t>B cells as measured by flow cytometry. Annotations: spermidine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Spd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); group 1 (G1); group 2 (G2). </w:t>
      </w:r>
      <w:r w:rsidR="00176961" w:rsidRPr="00602EFD">
        <w:rPr>
          <w:sz w:val="22"/>
          <w:szCs w:val="22"/>
        </w:rPr>
        <w:t>Data are presented as Tukey boxplots with statistical comparisons using the Wilcoxon test.</w:t>
      </w:r>
    </w:p>
    <w:p w14:paraId="0335A65E" w14:textId="77777777" w:rsidR="008473D1" w:rsidRDefault="008473D1" w:rsidP="008473D1">
      <w:pPr>
        <w:spacing w:line="360" w:lineRule="auto"/>
        <w:jc w:val="both"/>
        <w:rPr>
          <w:b/>
          <w:bCs/>
          <w:sz w:val="22"/>
          <w:szCs w:val="22"/>
        </w:rPr>
      </w:pPr>
    </w:p>
    <w:p w14:paraId="7EA98009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Figure S7: Gating strategies to determine cellular composition of B cells and CD4</w:t>
      </w:r>
      <w:r w:rsidRPr="008473D1">
        <w:rPr>
          <w:rFonts w:cs="+mn-cs"/>
          <w:b/>
          <w:bCs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 and CD8</w:t>
      </w:r>
      <w:r w:rsidRPr="008473D1">
        <w:rPr>
          <w:rFonts w:cs="+mn-cs"/>
          <w:b/>
          <w:bCs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 T cells. </w:t>
      </w:r>
    </w:p>
    <w:p w14:paraId="47A1DEDE" w14:textId="7193EFF6" w:rsid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rFonts w:cs="+mn-cs"/>
          <w:b/>
          <w:bCs/>
          <w:color w:val="000000"/>
          <w:kern w:val="24"/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A: </w:t>
      </w:r>
      <w:r w:rsidRPr="008473D1">
        <w:rPr>
          <w:rFonts w:cs="+mn-cs"/>
          <w:color w:val="000000"/>
          <w:kern w:val="24"/>
          <w:sz w:val="22"/>
          <w:szCs w:val="22"/>
        </w:rPr>
        <w:t>Gating strategy for CD3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>, CD19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>, CD4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>, CD8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subsets within live cells.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B: </w:t>
      </w:r>
      <w:r w:rsidRPr="008473D1">
        <w:rPr>
          <w:rFonts w:cs="+mn-cs"/>
          <w:color w:val="000000"/>
          <w:kern w:val="24"/>
          <w:sz w:val="22"/>
          <w:szCs w:val="22"/>
        </w:rPr>
        <w:t>Representative flow cytometry-based assay for LC3-II from PBMCs treated with or without bafilomycin A</w:t>
      </w:r>
      <w:r w:rsidRPr="008473D1">
        <w:rPr>
          <w:rFonts w:cs="+mn-cs"/>
          <w:color w:val="000000"/>
          <w:kern w:val="24"/>
          <w:position w:val="-5"/>
          <w:sz w:val="22"/>
          <w:szCs w:val="22"/>
          <w:vertAlign w:val="subscript"/>
        </w:rPr>
        <w:t>1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(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BafA</w:t>
      </w:r>
      <w:proofErr w:type="spellEnd"/>
      <w:r w:rsidRPr="008473D1">
        <w:rPr>
          <w:rFonts w:cs="+mn-cs"/>
          <w:color w:val="000000"/>
          <w:kern w:val="24"/>
          <w:position w:val="-5"/>
          <w:sz w:val="22"/>
          <w:szCs w:val="22"/>
          <w:vertAlign w:val="subscript"/>
        </w:rPr>
        <w:t>1</w:t>
      </w:r>
      <w:r w:rsidRPr="008473D1">
        <w:rPr>
          <w:rFonts w:cs="+mn-cs"/>
          <w:color w:val="000000"/>
          <w:kern w:val="24"/>
          <w:sz w:val="22"/>
          <w:szCs w:val="22"/>
        </w:rPr>
        <w:t>) for 2 h prior to staining.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 C: </w:t>
      </w:r>
      <w:r w:rsidRPr="008473D1">
        <w:rPr>
          <w:rFonts w:cs="+mn-cs"/>
          <w:color w:val="000000"/>
          <w:kern w:val="24"/>
          <w:sz w:val="22"/>
          <w:szCs w:val="22"/>
        </w:rPr>
        <w:t>Representative staining of B cells with anti-TFEB or with secondary antibody alone, analysed by flow cytometry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>.</w:t>
      </w:r>
    </w:p>
    <w:p w14:paraId="16DE9747" w14:textId="77777777" w:rsid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rFonts w:cs="+mn-cs"/>
          <w:b/>
          <w:bCs/>
          <w:color w:val="000000"/>
          <w:kern w:val="24"/>
          <w:sz w:val="22"/>
          <w:szCs w:val="22"/>
        </w:rPr>
      </w:pPr>
    </w:p>
    <w:p w14:paraId="145E5C2B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Figure S8: Flow Cytometry Analysis of Senescence Markers in Mitomycin C-induced senescence in fibroblasts. </w:t>
      </w:r>
    </w:p>
    <w:p w14:paraId="030287F6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A-C: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Human dermal fibroblasts were treated with 100 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nM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 mitomycin C (MMC) for 6 days and allowed to recover for a further 6 days to induce cellular senescence. Cells were then stained with antibodies targeting senescence markers,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 (A) </w:t>
      </w:r>
      <w:r w:rsidRPr="008473D1">
        <w:rPr>
          <w:rFonts w:cs="+mn-cs"/>
          <w:color w:val="000000"/>
          <w:kern w:val="24"/>
          <w:sz w:val="22"/>
          <w:szCs w:val="22"/>
        </w:rPr>
        <w:t>p16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, (B) 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p21, and 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(C) </w:t>
      </w:r>
      <w:r w:rsidRPr="008473D1">
        <w:rPr>
          <w:rFonts w:cs="+mn-cs"/>
          <w:color w:val="000000"/>
          <w:kern w:val="24"/>
          <w:sz w:val="22"/>
          <w:szCs w:val="22"/>
        </w:rPr>
        <w:t>γ-H2AX, and measured by flow cytometry.</w:t>
      </w:r>
      <w:r w:rsidRPr="008473D1">
        <w:rPr>
          <w:rFonts w:cs="+mn-cs"/>
          <w:b/>
          <w:bCs/>
          <w:color w:val="000000"/>
          <w:kern w:val="24"/>
          <w:sz w:val="22"/>
          <w:szCs w:val="22"/>
        </w:rPr>
        <w:t xml:space="preserve"> D: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mTORC1 activity measured by phospho-S6 (p-S6) levels was assessed in human CD4</w:t>
      </w:r>
      <w:r w:rsidRPr="008473D1">
        <w:rPr>
          <w:rFonts w:cs="+mn-cs"/>
          <w:color w:val="000000"/>
          <w:kern w:val="24"/>
          <w:position w:val="5"/>
          <w:sz w:val="22"/>
          <w:szCs w:val="22"/>
          <w:vertAlign w:val="superscript"/>
        </w:rPr>
        <w:t>+</w:t>
      </w:r>
      <w:r w:rsidRPr="008473D1">
        <w:rPr>
          <w:rFonts w:cs="+mn-cs"/>
          <w:color w:val="000000"/>
          <w:kern w:val="24"/>
          <w:sz w:val="22"/>
          <w:szCs w:val="22"/>
        </w:rPr>
        <w:t xml:space="preserve"> T cells activated for 3 days (1 µg/ml anti-CD3/28) in the presence of vehicle or 10 </w:t>
      </w:r>
      <w:proofErr w:type="spellStart"/>
      <w:r w:rsidRPr="008473D1">
        <w:rPr>
          <w:rFonts w:cs="+mn-cs"/>
          <w:color w:val="000000"/>
          <w:kern w:val="24"/>
          <w:sz w:val="22"/>
          <w:szCs w:val="22"/>
        </w:rPr>
        <w:t>nM</w:t>
      </w:r>
      <w:proofErr w:type="spellEnd"/>
      <w:r w:rsidRPr="008473D1">
        <w:rPr>
          <w:rFonts w:cs="+mn-cs"/>
          <w:color w:val="000000"/>
          <w:kern w:val="24"/>
          <w:sz w:val="22"/>
          <w:szCs w:val="22"/>
        </w:rPr>
        <w:t xml:space="preserve"> rapamycin (mTORC1 inhibitor).</w:t>
      </w:r>
    </w:p>
    <w:p w14:paraId="5D1FEE36" w14:textId="77777777" w:rsidR="008473D1" w:rsidRPr="008473D1" w:rsidRDefault="008473D1" w:rsidP="008473D1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4F75CC5" w14:textId="77777777" w:rsidR="008473D1" w:rsidRPr="008473D1" w:rsidRDefault="008473D1" w:rsidP="008473D1">
      <w:pPr>
        <w:spacing w:line="360" w:lineRule="auto"/>
        <w:jc w:val="both"/>
        <w:rPr>
          <w:b/>
          <w:bCs/>
          <w:sz w:val="22"/>
          <w:szCs w:val="22"/>
        </w:rPr>
      </w:pPr>
    </w:p>
    <w:sectPr w:rsidR="008473D1" w:rsidRPr="00847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+mn-cs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D1"/>
    <w:rsid w:val="00004223"/>
    <w:rsid w:val="00011831"/>
    <w:rsid w:val="00014E84"/>
    <w:rsid w:val="00025AF8"/>
    <w:rsid w:val="000268AA"/>
    <w:rsid w:val="000312A6"/>
    <w:rsid w:val="000315BC"/>
    <w:rsid w:val="00035916"/>
    <w:rsid w:val="00047D32"/>
    <w:rsid w:val="00050D26"/>
    <w:rsid w:val="00057B88"/>
    <w:rsid w:val="000803A6"/>
    <w:rsid w:val="00092463"/>
    <w:rsid w:val="00093BB3"/>
    <w:rsid w:val="000972FF"/>
    <w:rsid w:val="000B613F"/>
    <w:rsid w:val="000E7300"/>
    <w:rsid w:val="00110A72"/>
    <w:rsid w:val="00113361"/>
    <w:rsid w:val="00136DD2"/>
    <w:rsid w:val="00155453"/>
    <w:rsid w:val="00170AC3"/>
    <w:rsid w:val="001741DA"/>
    <w:rsid w:val="00176961"/>
    <w:rsid w:val="001A4515"/>
    <w:rsid w:val="001B2959"/>
    <w:rsid w:val="001F47DF"/>
    <w:rsid w:val="00234F3C"/>
    <w:rsid w:val="00236B14"/>
    <w:rsid w:val="00244BD1"/>
    <w:rsid w:val="00276B2E"/>
    <w:rsid w:val="002A7668"/>
    <w:rsid w:val="002D60EB"/>
    <w:rsid w:val="002F09A5"/>
    <w:rsid w:val="002F0FF5"/>
    <w:rsid w:val="003025D4"/>
    <w:rsid w:val="00330745"/>
    <w:rsid w:val="00341395"/>
    <w:rsid w:val="003B04F9"/>
    <w:rsid w:val="003C7BD9"/>
    <w:rsid w:val="00407E7A"/>
    <w:rsid w:val="00412871"/>
    <w:rsid w:val="00427397"/>
    <w:rsid w:val="0043026E"/>
    <w:rsid w:val="00461C67"/>
    <w:rsid w:val="00480FA6"/>
    <w:rsid w:val="00490DF1"/>
    <w:rsid w:val="00496D50"/>
    <w:rsid w:val="004A4C52"/>
    <w:rsid w:val="004B10EA"/>
    <w:rsid w:val="004B6AEB"/>
    <w:rsid w:val="004D08EF"/>
    <w:rsid w:val="004E2B38"/>
    <w:rsid w:val="004E4A7A"/>
    <w:rsid w:val="004F6C0F"/>
    <w:rsid w:val="005015D3"/>
    <w:rsid w:val="00523331"/>
    <w:rsid w:val="00530307"/>
    <w:rsid w:val="00575211"/>
    <w:rsid w:val="005852EE"/>
    <w:rsid w:val="005A3708"/>
    <w:rsid w:val="005A3FAA"/>
    <w:rsid w:val="005B467E"/>
    <w:rsid w:val="005D4BD9"/>
    <w:rsid w:val="005D4D8B"/>
    <w:rsid w:val="00602106"/>
    <w:rsid w:val="00611225"/>
    <w:rsid w:val="00617692"/>
    <w:rsid w:val="0063340D"/>
    <w:rsid w:val="0064786C"/>
    <w:rsid w:val="00657D9A"/>
    <w:rsid w:val="006830AE"/>
    <w:rsid w:val="00692272"/>
    <w:rsid w:val="006A2D65"/>
    <w:rsid w:val="006B3D5C"/>
    <w:rsid w:val="006C643A"/>
    <w:rsid w:val="006F11A7"/>
    <w:rsid w:val="006F1B2E"/>
    <w:rsid w:val="006F203B"/>
    <w:rsid w:val="006F6A83"/>
    <w:rsid w:val="00705757"/>
    <w:rsid w:val="00747AC6"/>
    <w:rsid w:val="007D0B0C"/>
    <w:rsid w:val="007E23E2"/>
    <w:rsid w:val="007E2C12"/>
    <w:rsid w:val="007E650C"/>
    <w:rsid w:val="00811D29"/>
    <w:rsid w:val="00815BEA"/>
    <w:rsid w:val="00830BDB"/>
    <w:rsid w:val="008463FF"/>
    <w:rsid w:val="008473D1"/>
    <w:rsid w:val="008636C9"/>
    <w:rsid w:val="0087645D"/>
    <w:rsid w:val="00885B46"/>
    <w:rsid w:val="008B63D0"/>
    <w:rsid w:val="008C7A9E"/>
    <w:rsid w:val="008D64E4"/>
    <w:rsid w:val="008E3CE0"/>
    <w:rsid w:val="008F40A4"/>
    <w:rsid w:val="008F4B4B"/>
    <w:rsid w:val="0090139A"/>
    <w:rsid w:val="00910333"/>
    <w:rsid w:val="009138B5"/>
    <w:rsid w:val="0091477F"/>
    <w:rsid w:val="00926E51"/>
    <w:rsid w:val="00952373"/>
    <w:rsid w:val="0095319B"/>
    <w:rsid w:val="00965CB4"/>
    <w:rsid w:val="0096668C"/>
    <w:rsid w:val="00967C18"/>
    <w:rsid w:val="00982BE7"/>
    <w:rsid w:val="009844F1"/>
    <w:rsid w:val="00992D4A"/>
    <w:rsid w:val="00992FF9"/>
    <w:rsid w:val="00997F93"/>
    <w:rsid w:val="009B0BBC"/>
    <w:rsid w:val="009B7B0E"/>
    <w:rsid w:val="009C273A"/>
    <w:rsid w:val="009D0A52"/>
    <w:rsid w:val="009D5A74"/>
    <w:rsid w:val="00A02A8B"/>
    <w:rsid w:val="00A03983"/>
    <w:rsid w:val="00A248AA"/>
    <w:rsid w:val="00A32F24"/>
    <w:rsid w:val="00A715FF"/>
    <w:rsid w:val="00A75249"/>
    <w:rsid w:val="00A80551"/>
    <w:rsid w:val="00A82B18"/>
    <w:rsid w:val="00A85DA7"/>
    <w:rsid w:val="00AD3DE3"/>
    <w:rsid w:val="00AD4E22"/>
    <w:rsid w:val="00AD5981"/>
    <w:rsid w:val="00AD7691"/>
    <w:rsid w:val="00B10CE9"/>
    <w:rsid w:val="00B23EB1"/>
    <w:rsid w:val="00B33B19"/>
    <w:rsid w:val="00B6441D"/>
    <w:rsid w:val="00B65CBE"/>
    <w:rsid w:val="00B7602C"/>
    <w:rsid w:val="00B80734"/>
    <w:rsid w:val="00B8756E"/>
    <w:rsid w:val="00B87A26"/>
    <w:rsid w:val="00B904DF"/>
    <w:rsid w:val="00BB693F"/>
    <w:rsid w:val="00BE3FA8"/>
    <w:rsid w:val="00C22902"/>
    <w:rsid w:val="00C24EE5"/>
    <w:rsid w:val="00C74354"/>
    <w:rsid w:val="00C83A1A"/>
    <w:rsid w:val="00C94459"/>
    <w:rsid w:val="00CB1F4D"/>
    <w:rsid w:val="00CD7353"/>
    <w:rsid w:val="00CE1129"/>
    <w:rsid w:val="00CF6C10"/>
    <w:rsid w:val="00D02E29"/>
    <w:rsid w:val="00D21EDD"/>
    <w:rsid w:val="00D5673A"/>
    <w:rsid w:val="00D72141"/>
    <w:rsid w:val="00DB591C"/>
    <w:rsid w:val="00DC0FC5"/>
    <w:rsid w:val="00DC6EC1"/>
    <w:rsid w:val="00DE336E"/>
    <w:rsid w:val="00DE3F2D"/>
    <w:rsid w:val="00E153A4"/>
    <w:rsid w:val="00E2018E"/>
    <w:rsid w:val="00E276E9"/>
    <w:rsid w:val="00E42953"/>
    <w:rsid w:val="00E432E8"/>
    <w:rsid w:val="00E56CFF"/>
    <w:rsid w:val="00E602A5"/>
    <w:rsid w:val="00E62850"/>
    <w:rsid w:val="00E84AC7"/>
    <w:rsid w:val="00EA56ED"/>
    <w:rsid w:val="00EA6EFF"/>
    <w:rsid w:val="00EB1619"/>
    <w:rsid w:val="00ED7E90"/>
    <w:rsid w:val="00EE4A5B"/>
    <w:rsid w:val="00F05067"/>
    <w:rsid w:val="00F05AE4"/>
    <w:rsid w:val="00F3053C"/>
    <w:rsid w:val="00F3104C"/>
    <w:rsid w:val="00F46301"/>
    <w:rsid w:val="00F75A10"/>
    <w:rsid w:val="00F84A7C"/>
    <w:rsid w:val="00F8567D"/>
    <w:rsid w:val="00F87379"/>
    <w:rsid w:val="00F876A2"/>
    <w:rsid w:val="00F932BF"/>
    <w:rsid w:val="00F977BD"/>
    <w:rsid w:val="00FB2BEB"/>
    <w:rsid w:val="00FD568D"/>
    <w:rsid w:val="00FE50E9"/>
    <w:rsid w:val="00FE5C4E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0522E"/>
  <w15:chartTrackingRefBased/>
  <w15:docId w15:val="{B730573E-FD3D-164D-AFEC-16463A0F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D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3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3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3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3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3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3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3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3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3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3D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3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73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Alsaleh</dc:creator>
  <cp:keywords/>
  <dc:description/>
  <cp:lastModifiedBy>Ghada Alsaleh</cp:lastModifiedBy>
  <cp:revision>2</cp:revision>
  <dcterms:created xsi:type="dcterms:W3CDTF">2024-12-20T16:58:00Z</dcterms:created>
  <dcterms:modified xsi:type="dcterms:W3CDTF">2024-12-20T17:17:00Z</dcterms:modified>
</cp:coreProperties>
</file>