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9FD01" w14:textId="5AD6B41C" w:rsidR="00FB1797" w:rsidRPr="00147194" w:rsidRDefault="00AD5D1B" w:rsidP="00512069">
      <w:pPr>
        <w:spacing w:line="360" w:lineRule="auto"/>
        <w:jc w:val="center"/>
        <w:rPr>
          <w:rFonts w:ascii="Times New Roman" w:eastAsia="Times New Roman" w:hAnsi="Times New Roman" w:cs="Times New Roman"/>
          <w:color w:val="000000" w:themeColor="text1"/>
          <w:sz w:val="24"/>
        </w:rPr>
      </w:pPr>
      <w:r w:rsidRPr="00147194">
        <w:rPr>
          <w:rFonts w:ascii="Times New Roman" w:eastAsia="Times New Roman" w:hAnsi="Times New Roman" w:cs="Times New Roman"/>
          <w:color w:val="000000" w:themeColor="text1"/>
          <w:sz w:val="24"/>
        </w:rPr>
        <w:t xml:space="preserve">Supporting Information </w:t>
      </w:r>
    </w:p>
    <w:p w14:paraId="0029FD02" w14:textId="77777777" w:rsidR="00FB1797" w:rsidRPr="00147194" w:rsidRDefault="00AD5D1B" w:rsidP="00512069">
      <w:pPr>
        <w:spacing w:line="360" w:lineRule="auto"/>
        <w:jc w:val="center"/>
        <w:rPr>
          <w:rFonts w:ascii="Times New Roman" w:eastAsia="Times New Roman" w:hAnsi="Times New Roman" w:cs="Times New Roman"/>
          <w:color w:val="000000" w:themeColor="text1"/>
          <w:sz w:val="24"/>
        </w:rPr>
      </w:pPr>
      <w:r w:rsidRPr="00147194">
        <w:rPr>
          <w:rFonts w:ascii="Times New Roman" w:eastAsia="Times New Roman" w:hAnsi="Times New Roman" w:cs="Times New Roman"/>
          <w:color w:val="000000" w:themeColor="text1"/>
          <w:sz w:val="24"/>
        </w:rPr>
        <w:t xml:space="preserve">Comprehensive search for assessment indicators that influence </w:t>
      </w:r>
    </w:p>
    <w:p w14:paraId="0029FD03" w14:textId="4CB3512D" w:rsidR="00FB1797" w:rsidRPr="00147194" w:rsidRDefault="00AD5D1B" w:rsidP="00512069">
      <w:pPr>
        <w:spacing w:line="360" w:lineRule="auto"/>
        <w:jc w:val="center"/>
        <w:rPr>
          <w:rFonts w:ascii="Times New Roman" w:eastAsia="Times New Roman" w:hAnsi="Times New Roman" w:cs="Times New Roman"/>
          <w:color w:val="000000" w:themeColor="text1"/>
          <w:sz w:val="24"/>
        </w:rPr>
      </w:pPr>
      <w:r w:rsidRPr="00147194">
        <w:rPr>
          <w:rFonts w:ascii="Times New Roman" w:eastAsia="Times New Roman" w:hAnsi="Times New Roman" w:cs="Times New Roman"/>
          <w:color w:val="000000" w:themeColor="text1"/>
          <w:sz w:val="24"/>
        </w:rPr>
        <w:t xml:space="preserve">the level of </w:t>
      </w:r>
      <w:r w:rsidR="00D81DC8" w:rsidRPr="00147194">
        <w:rPr>
          <w:rFonts w:ascii="Times New Roman" w:eastAsia="Times New Roman" w:hAnsi="Times New Roman" w:cs="Times New Roman"/>
          <w:color w:val="000000" w:themeColor="text1"/>
          <w:sz w:val="24"/>
        </w:rPr>
        <w:t>hand</w:t>
      </w:r>
      <w:r w:rsidRPr="00147194">
        <w:rPr>
          <w:rFonts w:ascii="Times New Roman" w:eastAsia="Times New Roman" w:hAnsi="Times New Roman" w:cs="Times New Roman"/>
          <w:color w:val="000000" w:themeColor="text1"/>
          <w:sz w:val="24"/>
        </w:rPr>
        <w:t xml:space="preserve">writing difficulties </w:t>
      </w:r>
      <w:r w:rsidR="00182F39" w:rsidRPr="00147194">
        <w:rPr>
          <w:rFonts w:ascii="Times New Roman" w:eastAsia="Times New Roman" w:hAnsi="Times New Roman" w:cs="Times New Roman"/>
          <w:color w:val="000000" w:themeColor="text1"/>
          <w:sz w:val="24"/>
        </w:rPr>
        <w:t xml:space="preserve">among </w:t>
      </w:r>
      <w:r w:rsidRPr="00147194">
        <w:rPr>
          <w:rFonts w:ascii="Times New Roman" w:eastAsia="Times New Roman" w:hAnsi="Times New Roman" w:cs="Times New Roman"/>
          <w:color w:val="000000" w:themeColor="text1"/>
          <w:sz w:val="24"/>
        </w:rPr>
        <w:t>children in educational setting</w:t>
      </w:r>
      <w:r w:rsidR="00A71343" w:rsidRPr="00147194">
        <w:rPr>
          <w:rFonts w:ascii="Times New Roman" w:eastAsia="Times New Roman" w:hAnsi="Times New Roman" w:cs="Times New Roman"/>
          <w:color w:val="000000" w:themeColor="text1"/>
          <w:sz w:val="24"/>
        </w:rPr>
        <w:t>s</w:t>
      </w:r>
    </w:p>
    <w:p w14:paraId="0029FD04" w14:textId="77777777" w:rsidR="00FB1797" w:rsidRPr="00147194" w:rsidRDefault="00FB1797" w:rsidP="00512069">
      <w:pPr>
        <w:spacing w:line="360" w:lineRule="auto"/>
        <w:jc w:val="both"/>
        <w:rPr>
          <w:rFonts w:ascii="Times New Roman" w:eastAsia="Times New Roman" w:hAnsi="Times New Roman" w:cs="Times New Roman"/>
          <w:color w:val="000000" w:themeColor="text1"/>
          <w:sz w:val="28"/>
        </w:rPr>
      </w:pPr>
    </w:p>
    <w:p w14:paraId="0029FD05" w14:textId="77777777" w:rsidR="00FB1797" w:rsidRPr="00147194" w:rsidRDefault="00FB1797" w:rsidP="00512069">
      <w:pPr>
        <w:spacing w:line="360" w:lineRule="auto"/>
        <w:jc w:val="both"/>
        <w:rPr>
          <w:rFonts w:ascii="Times New Roman" w:eastAsia="Times New Roman" w:hAnsi="Times New Roman" w:cs="Times New Roman"/>
          <w:color w:val="000000" w:themeColor="text1"/>
          <w:sz w:val="28"/>
        </w:rPr>
      </w:pPr>
    </w:p>
    <w:p w14:paraId="33AB96F3"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proofErr w:type="spellStart"/>
      <w:r w:rsidRPr="00147194">
        <w:rPr>
          <w:rFonts w:ascii="Times New Roman" w:eastAsia="Times New Roman" w:hAnsi="Times New Roman" w:cs="Times New Roman"/>
          <w:color w:val="000000" w:themeColor="text1"/>
        </w:rPr>
        <w:t>Shuhei</w:t>
      </w:r>
      <w:proofErr w:type="spellEnd"/>
      <w:r w:rsidRPr="00147194">
        <w:rPr>
          <w:rFonts w:ascii="Times New Roman" w:eastAsia="Times New Roman" w:hAnsi="Times New Roman" w:cs="Times New Roman"/>
          <w:color w:val="000000" w:themeColor="text1"/>
        </w:rPr>
        <w:t xml:space="preserve"> Takahata</w:t>
      </w:r>
      <w:r w:rsidRPr="00147194">
        <w:rPr>
          <w:rFonts w:ascii="Times New Roman" w:eastAsia="Times New Roman" w:hAnsi="Times New Roman" w:cs="Times New Roman"/>
          <w:color w:val="000000" w:themeColor="text1"/>
          <w:vertAlign w:val="superscript"/>
        </w:rPr>
        <w:t>1,2*</w:t>
      </w:r>
      <w:r w:rsidRPr="00147194">
        <w:rPr>
          <w:rFonts w:ascii="Times New Roman" w:eastAsia="ヒラギノ角ゴ Pro W3" w:hAnsi="Times New Roman" w:cs="Times New Roman"/>
          <w:color w:val="000000" w:themeColor="text1"/>
          <w:vertAlign w:val="superscript"/>
        </w:rPr>
        <w:t>†</w:t>
      </w:r>
      <w:r w:rsidRPr="00147194">
        <w:rPr>
          <w:rFonts w:ascii="Times New Roman" w:eastAsia="Times New Roman" w:hAnsi="Times New Roman" w:cs="Times New Roman"/>
          <w:color w:val="000000" w:themeColor="text1"/>
        </w:rPr>
        <w:t xml:space="preserve">, </w:t>
      </w:r>
      <w:proofErr w:type="spellStart"/>
      <w:r w:rsidRPr="00147194">
        <w:rPr>
          <w:rFonts w:ascii="Times New Roman" w:eastAsia="Times New Roman" w:hAnsi="Times New Roman" w:cs="Times New Roman"/>
          <w:color w:val="000000" w:themeColor="text1"/>
        </w:rPr>
        <w:t>Hiromichi</w:t>
      </w:r>
      <w:proofErr w:type="spellEnd"/>
      <w:r w:rsidRPr="00147194">
        <w:rPr>
          <w:rFonts w:ascii="Times New Roman" w:eastAsia="Times New Roman" w:hAnsi="Times New Roman" w:cs="Times New Roman"/>
          <w:color w:val="000000" w:themeColor="text1"/>
        </w:rPr>
        <w:t xml:space="preserve"> Hagihara</w:t>
      </w:r>
      <w:r w:rsidRPr="00147194">
        <w:rPr>
          <w:rFonts w:ascii="Times New Roman" w:eastAsia="Times New Roman" w:hAnsi="Times New Roman" w:cs="Times New Roman"/>
          <w:color w:val="000000" w:themeColor="text1"/>
          <w:vertAlign w:val="superscript"/>
        </w:rPr>
        <w:t>3</w:t>
      </w:r>
      <w:r w:rsidRPr="00147194">
        <w:rPr>
          <w:rFonts w:ascii="Times New Roman" w:eastAsia="ヒラギノ角ゴ Pro W3" w:hAnsi="Times New Roman" w:cs="Times New Roman"/>
          <w:color w:val="000000" w:themeColor="text1"/>
          <w:vertAlign w:val="superscript"/>
        </w:rPr>
        <w:t>†</w:t>
      </w:r>
      <w:r w:rsidRPr="00147194">
        <w:rPr>
          <w:rFonts w:ascii="Times New Roman" w:eastAsia="Times New Roman" w:hAnsi="Times New Roman" w:cs="Times New Roman"/>
          <w:color w:val="000000" w:themeColor="text1"/>
        </w:rPr>
        <w:t>, Hiroyuki Ishihara</w:t>
      </w:r>
      <w:r w:rsidRPr="00147194">
        <w:rPr>
          <w:rFonts w:ascii="Times New Roman" w:eastAsia="Times New Roman" w:hAnsi="Times New Roman" w:cs="Times New Roman"/>
          <w:color w:val="000000" w:themeColor="text1"/>
          <w:vertAlign w:val="superscript"/>
        </w:rPr>
        <w:t>4</w:t>
      </w:r>
      <w:r w:rsidRPr="00147194">
        <w:rPr>
          <w:rFonts w:ascii="Times New Roman" w:eastAsia="Times New Roman" w:hAnsi="Times New Roman" w:cs="Times New Roman"/>
          <w:color w:val="000000" w:themeColor="text1"/>
        </w:rPr>
        <w:t>, Daiki Enomoto</w:t>
      </w:r>
      <w:r w:rsidRPr="00147194">
        <w:rPr>
          <w:rFonts w:ascii="Times New Roman" w:eastAsia="Times New Roman" w:hAnsi="Times New Roman" w:cs="Times New Roman"/>
          <w:color w:val="000000" w:themeColor="text1"/>
          <w:vertAlign w:val="superscript"/>
        </w:rPr>
        <w:t>5</w:t>
      </w:r>
      <w:r w:rsidRPr="00147194">
        <w:rPr>
          <w:rFonts w:ascii="Times New Roman" w:eastAsia="Times New Roman" w:hAnsi="Times New Roman" w:cs="Times New Roman"/>
          <w:color w:val="000000" w:themeColor="text1"/>
        </w:rPr>
        <w:t>, Naoto Ienaga</w:t>
      </w:r>
      <w:r w:rsidRPr="00147194">
        <w:rPr>
          <w:rFonts w:ascii="Times New Roman" w:eastAsia="Times New Roman" w:hAnsi="Times New Roman" w:cs="Times New Roman"/>
          <w:color w:val="000000" w:themeColor="text1"/>
          <w:vertAlign w:val="superscript"/>
        </w:rPr>
        <w:t>6</w:t>
      </w:r>
      <w:r w:rsidRPr="00147194">
        <w:rPr>
          <w:rFonts w:ascii="Times New Roman" w:eastAsia="Times New Roman" w:hAnsi="Times New Roman" w:cs="Times New Roman"/>
          <w:color w:val="000000" w:themeColor="text1"/>
        </w:rPr>
        <w:t>, Haruka Noda</w:t>
      </w:r>
      <w:r w:rsidRPr="00147194">
        <w:rPr>
          <w:rFonts w:ascii="Times New Roman" w:eastAsia="Times New Roman" w:hAnsi="Times New Roman" w:cs="Times New Roman"/>
          <w:color w:val="000000" w:themeColor="text1"/>
          <w:vertAlign w:val="superscript"/>
        </w:rPr>
        <w:t>5</w:t>
      </w:r>
      <w:r w:rsidRPr="00147194">
        <w:rPr>
          <w:rFonts w:ascii="Times New Roman" w:eastAsia="Times New Roman" w:hAnsi="Times New Roman" w:cs="Times New Roman"/>
          <w:color w:val="000000" w:themeColor="text1"/>
        </w:rPr>
        <w:t>, Shoichi Ishida</w:t>
      </w:r>
      <w:r w:rsidRPr="00147194">
        <w:rPr>
          <w:rFonts w:ascii="Times New Roman" w:eastAsia="Times New Roman" w:hAnsi="Times New Roman" w:cs="Times New Roman"/>
          <w:color w:val="000000" w:themeColor="text1"/>
          <w:vertAlign w:val="superscript"/>
        </w:rPr>
        <w:t>2</w:t>
      </w:r>
      <w:r w:rsidRPr="00147194">
        <w:rPr>
          <w:rFonts w:ascii="Times New Roman" w:eastAsia="Times New Roman" w:hAnsi="Times New Roman" w:cs="Times New Roman"/>
          <w:color w:val="000000" w:themeColor="text1"/>
        </w:rPr>
        <w:t>, Kei Terayama</w:t>
      </w:r>
      <w:r w:rsidRPr="00147194">
        <w:rPr>
          <w:rFonts w:ascii="Times New Roman" w:eastAsia="Times New Roman" w:hAnsi="Times New Roman" w:cs="Times New Roman"/>
          <w:color w:val="000000" w:themeColor="text1"/>
          <w:vertAlign w:val="superscript"/>
        </w:rPr>
        <w:t>2</w:t>
      </w:r>
      <w:r w:rsidRPr="00147194">
        <w:rPr>
          <w:rFonts w:ascii="Times New Roman" w:eastAsia="Times New Roman" w:hAnsi="Times New Roman" w:cs="Times New Roman"/>
          <w:color w:val="000000" w:themeColor="text1"/>
        </w:rPr>
        <w:t>*</w:t>
      </w:r>
    </w:p>
    <w:p w14:paraId="58CAB407"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p>
    <w:p w14:paraId="2D0358FC"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vertAlign w:val="superscript"/>
        </w:rPr>
        <w:t xml:space="preserve">1 </w:t>
      </w:r>
      <w:r w:rsidRPr="00147194">
        <w:rPr>
          <w:rFonts w:ascii="Times New Roman" w:eastAsia="Times New Roman" w:hAnsi="Times New Roman" w:cs="Times New Roman"/>
          <w:color w:val="000000" w:themeColor="text1"/>
        </w:rPr>
        <w:t xml:space="preserve">Department of Occupational Therapy Faculty of Health Science, Aino University, 4-5-4, </w:t>
      </w:r>
      <w:proofErr w:type="spellStart"/>
      <w:r w:rsidRPr="00147194">
        <w:rPr>
          <w:rFonts w:ascii="Times New Roman" w:eastAsia="Times New Roman" w:hAnsi="Times New Roman" w:cs="Times New Roman"/>
          <w:color w:val="000000" w:themeColor="text1"/>
        </w:rPr>
        <w:t>Higasiota</w:t>
      </w:r>
      <w:proofErr w:type="spellEnd"/>
      <w:r w:rsidRPr="00147194">
        <w:rPr>
          <w:rFonts w:ascii="Times New Roman" w:eastAsia="Times New Roman" w:hAnsi="Times New Roman" w:cs="Times New Roman"/>
          <w:color w:val="000000" w:themeColor="text1"/>
        </w:rPr>
        <w:t>, Ibaraki 567-0012, Osaka, Japan</w:t>
      </w:r>
    </w:p>
    <w:p w14:paraId="74799023"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vertAlign w:val="superscript"/>
        </w:rPr>
        <w:t xml:space="preserve">2 </w:t>
      </w:r>
      <w:r w:rsidRPr="00147194">
        <w:rPr>
          <w:rFonts w:ascii="Times New Roman" w:eastAsia="Times New Roman" w:hAnsi="Times New Roman" w:cs="Times New Roman"/>
          <w:color w:val="000000" w:themeColor="text1"/>
        </w:rPr>
        <w:t xml:space="preserve">Graduate School of Medical Life Science, Yokohama City University, 1-7-29, </w:t>
      </w:r>
      <w:proofErr w:type="spellStart"/>
      <w:r w:rsidRPr="00147194">
        <w:rPr>
          <w:rFonts w:ascii="Times New Roman" w:eastAsia="Times New Roman" w:hAnsi="Times New Roman" w:cs="Times New Roman"/>
          <w:color w:val="000000" w:themeColor="text1"/>
        </w:rPr>
        <w:t>Suehiro-cho</w:t>
      </w:r>
      <w:proofErr w:type="spellEnd"/>
      <w:r w:rsidRPr="00147194">
        <w:rPr>
          <w:rFonts w:ascii="Times New Roman" w:eastAsia="Times New Roman" w:hAnsi="Times New Roman" w:cs="Times New Roman"/>
          <w:color w:val="000000" w:themeColor="text1"/>
        </w:rPr>
        <w:t xml:space="preserve">, Tsurumi- </w:t>
      </w:r>
      <w:proofErr w:type="spellStart"/>
      <w:r w:rsidRPr="00147194">
        <w:rPr>
          <w:rFonts w:ascii="Times New Roman" w:eastAsia="Times New Roman" w:hAnsi="Times New Roman" w:cs="Times New Roman"/>
          <w:color w:val="000000" w:themeColor="text1"/>
        </w:rPr>
        <w:t>ku</w:t>
      </w:r>
      <w:proofErr w:type="spellEnd"/>
      <w:r w:rsidRPr="00147194">
        <w:rPr>
          <w:rFonts w:ascii="Times New Roman" w:eastAsia="Times New Roman" w:hAnsi="Times New Roman" w:cs="Times New Roman"/>
          <w:color w:val="000000" w:themeColor="text1"/>
        </w:rPr>
        <w:t>, Yokohama 230-0045, Kanagawa, Japan.</w:t>
      </w:r>
    </w:p>
    <w:p w14:paraId="769B91B0"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vertAlign w:val="superscript"/>
        </w:rPr>
        <w:t>3</w:t>
      </w:r>
      <w:r w:rsidRPr="00147194">
        <w:rPr>
          <w:rFonts w:ascii="Times New Roman" w:eastAsia="Times New Roman" w:hAnsi="Times New Roman" w:cs="Times New Roman"/>
          <w:color w:val="000000" w:themeColor="text1"/>
        </w:rPr>
        <w:t xml:space="preserve"> Graduate School of Human Sciences, Osaka University, 1-</w:t>
      </w:r>
      <w:r w:rsidRPr="00147194">
        <w:rPr>
          <w:rFonts w:ascii="Times New Roman" w:eastAsiaTheme="minorEastAsia" w:hAnsi="Times New Roman" w:cs="Times New Roman"/>
          <w:color w:val="000000" w:themeColor="text1"/>
        </w:rPr>
        <w:t>2</w:t>
      </w:r>
      <w:r w:rsidRPr="00147194">
        <w:rPr>
          <w:rFonts w:ascii="Times New Roman" w:eastAsia="Times New Roman" w:hAnsi="Times New Roman" w:cs="Times New Roman"/>
          <w:color w:val="000000" w:themeColor="text1"/>
        </w:rPr>
        <w:t xml:space="preserve">, </w:t>
      </w:r>
      <w:proofErr w:type="spellStart"/>
      <w:r w:rsidRPr="00147194">
        <w:rPr>
          <w:rFonts w:ascii="Times New Roman" w:eastAsia="Times New Roman" w:hAnsi="Times New Roman" w:cs="Times New Roman"/>
          <w:color w:val="000000" w:themeColor="text1"/>
        </w:rPr>
        <w:t>Yamadaoka</w:t>
      </w:r>
      <w:proofErr w:type="spellEnd"/>
      <w:r w:rsidRPr="00147194">
        <w:rPr>
          <w:rFonts w:ascii="Times New Roman" w:eastAsia="Times New Roman" w:hAnsi="Times New Roman" w:cs="Times New Roman"/>
          <w:color w:val="000000" w:themeColor="text1"/>
        </w:rPr>
        <w:t>, Suita 565-0871, Osaka, Japan</w:t>
      </w:r>
    </w:p>
    <w:p w14:paraId="4930FA42"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vertAlign w:val="superscript"/>
        </w:rPr>
        <w:t>4</w:t>
      </w:r>
      <w:r w:rsidRPr="00147194">
        <w:rPr>
          <w:rFonts w:ascii="Times New Roman" w:eastAsia="Times New Roman" w:hAnsi="Times New Roman" w:cs="Times New Roman"/>
          <w:color w:val="000000" w:themeColor="text1"/>
        </w:rPr>
        <w:t xml:space="preserve"> Independent Researcher, Kanagawa, Japan</w:t>
      </w:r>
    </w:p>
    <w:p w14:paraId="76FD9069"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vertAlign w:val="superscript"/>
        </w:rPr>
        <w:t>5</w:t>
      </w:r>
      <w:r w:rsidRPr="00147194">
        <w:rPr>
          <w:rFonts w:ascii="Times New Roman" w:eastAsia="Times New Roman" w:hAnsi="Times New Roman" w:cs="Times New Roman"/>
          <w:color w:val="000000" w:themeColor="text1"/>
        </w:rPr>
        <w:t xml:space="preserve"> LITALICO Inc., 2-1-1, </w:t>
      </w:r>
      <w:proofErr w:type="spellStart"/>
      <w:r w:rsidRPr="00147194">
        <w:rPr>
          <w:rFonts w:ascii="Times New Roman" w:eastAsia="Times New Roman" w:hAnsi="Times New Roman" w:cs="Times New Roman"/>
          <w:color w:val="000000" w:themeColor="text1"/>
        </w:rPr>
        <w:t>Kamimeguro</w:t>
      </w:r>
      <w:proofErr w:type="spellEnd"/>
      <w:r w:rsidRPr="00147194">
        <w:rPr>
          <w:rFonts w:ascii="Times New Roman" w:eastAsia="Times New Roman" w:hAnsi="Times New Roman" w:cs="Times New Roman"/>
          <w:color w:val="000000" w:themeColor="text1"/>
        </w:rPr>
        <w:t>, Meguro-</w:t>
      </w:r>
      <w:proofErr w:type="spellStart"/>
      <w:r w:rsidRPr="00147194">
        <w:rPr>
          <w:rFonts w:ascii="Times New Roman" w:eastAsia="Times New Roman" w:hAnsi="Times New Roman" w:cs="Times New Roman"/>
          <w:color w:val="000000" w:themeColor="text1"/>
        </w:rPr>
        <w:t>ku</w:t>
      </w:r>
      <w:proofErr w:type="spellEnd"/>
      <w:r w:rsidRPr="00147194">
        <w:rPr>
          <w:rFonts w:ascii="Times New Roman" w:eastAsia="Times New Roman" w:hAnsi="Times New Roman" w:cs="Times New Roman"/>
          <w:color w:val="000000" w:themeColor="text1"/>
        </w:rPr>
        <w:t xml:space="preserve"> 153-0051, Tokyo, Japan</w:t>
      </w:r>
    </w:p>
    <w:p w14:paraId="789A158F"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vertAlign w:val="superscript"/>
        </w:rPr>
        <w:t xml:space="preserve">6 </w:t>
      </w:r>
      <w:r w:rsidRPr="00147194">
        <w:rPr>
          <w:rFonts w:ascii="Times New Roman" w:eastAsia="Times New Roman" w:hAnsi="Times New Roman" w:cs="Times New Roman"/>
          <w:color w:val="000000" w:themeColor="text1"/>
        </w:rPr>
        <w:t xml:space="preserve">Institute of Systems and Information Engineering, University of Tsukuba, 1-1-1, </w:t>
      </w:r>
      <w:proofErr w:type="spellStart"/>
      <w:r w:rsidRPr="00147194">
        <w:rPr>
          <w:rFonts w:ascii="Times New Roman" w:eastAsia="Times New Roman" w:hAnsi="Times New Roman" w:cs="Times New Roman"/>
          <w:color w:val="000000" w:themeColor="text1"/>
        </w:rPr>
        <w:t>Tennoudai</w:t>
      </w:r>
      <w:proofErr w:type="spellEnd"/>
      <w:r w:rsidRPr="00147194">
        <w:rPr>
          <w:rFonts w:ascii="Times New Roman" w:eastAsia="Times New Roman" w:hAnsi="Times New Roman" w:cs="Times New Roman"/>
          <w:color w:val="000000" w:themeColor="text1"/>
        </w:rPr>
        <w:t>, Tsukuba 305-8577, Ibaraki, Japan</w:t>
      </w:r>
    </w:p>
    <w:p w14:paraId="4A3A1419"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p>
    <w:p w14:paraId="3121D461"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 xml:space="preserve">*Corresponding authors. E-mail(s): s-takahata@ot-u.aino.ac.jp and terayama@yokohama-cu.ac.jp </w:t>
      </w:r>
    </w:p>
    <w:p w14:paraId="79DD6A25" w14:textId="77777777" w:rsidR="00E97BCF" w:rsidRPr="00147194" w:rsidRDefault="00E97BCF" w:rsidP="00E97BCF">
      <w:pPr>
        <w:spacing w:line="360" w:lineRule="auto"/>
        <w:jc w:val="both"/>
        <w:rPr>
          <w:rFonts w:ascii="Times New Roman" w:eastAsia="Times New Roman" w:hAnsi="Times New Roman" w:cs="Times New Roman"/>
          <w:color w:val="000000" w:themeColor="text1"/>
        </w:rPr>
      </w:pPr>
      <w:r w:rsidRPr="00147194">
        <w:rPr>
          <w:rFonts w:ascii="Times New Roman" w:eastAsia="ヒラギノ角ゴ Pro W3" w:hAnsi="Times New Roman" w:cs="Times New Roman"/>
          <w:color w:val="000000" w:themeColor="text1"/>
          <w:vertAlign w:val="superscript"/>
        </w:rPr>
        <w:t>†</w:t>
      </w:r>
      <w:r w:rsidRPr="00147194">
        <w:rPr>
          <w:rFonts w:ascii="Times New Roman" w:eastAsia="Times New Roman" w:hAnsi="Times New Roman" w:cs="Times New Roman"/>
          <w:color w:val="000000" w:themeColor="text1"/>
        </w:rPr>
        <w:t>These two authors contributed equally to this work.</w:t>
      </w:r>
    </w:p>
    <w:p w14:paraId="0029FD1D" w14:textId="77777777" w:rsidR="00FB1797" w:rsidRPr="00147194" w:rsidRDefault="00AD5D1B">
      <w:pPr>
        <w:spacing w:line="240" w:lineRule="auto"/>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br w:type="page"/>
      </w:r>
    </w:p>
    <w:p w14:paraId="0029FD1E" w14:textId="42CABE0F" w:rsidR="00FB1797" w:rsidRPr="00147194" w:rsidRDefault="00AD5D1B">
      <w:pPr>
        <w:jc w:val="both"/>
        <w:rPr>
          <w:rFonts w:ascii="Times New Roman" w:eastAsia="Times New Roman" w:hAnsi="Times New Roman" w:cs="Times New Roman"/>
          <w:b/>
          <w:color w:val="000000" w:themeColor="text1"/>
        </w:rPr>
      </w:pPr>
      <w:r w:rsidRPr="00147194">
        <w:rPr>
          <w:rFonts w:ascii="Times New Roman" w:eastAsia="Times New Roman" w:hAnsi="Times New Roman" w:cs="Times New Roman"/>
          <w:b/>
          <w:color w:val="000000" w:themeColor="text1"/>
        </w:rPr>
        <w:lastRenderedPageBreak/>
        <w:t xml:space="preserve">Assessment of </w:t>
      </w:r>
      <w:r w:rsidR="000576C3" w:rsidRPr="00147194">
        <w:rPr>
          <w:rFonts w:ascii="Times New Roman" w:eastAsia="Times New Roman" w:hAnsi="Times New Roman" w:cs="Times New Roman"/>
          <w:b/>
          <w:color w:val="000000" w:themeColor="text1"/>
        </w:rPr>
        <w:t>hand</w:t>
      </w:r>
      <w:r w:rsidRPr="00147194">
        <w:rPr>
          <w:rFonts w:ascii="Times New Roman" w:eastAsia="Times New Roman" w:hAnsi="Times New Roman" w:cs="Times New Roman"/>
          <w:b/>
          <w:color w:val="000000" w:themeColor="text1"/>
        </w:rPr>
        <w:t>writing-related functions used in this study</w:t>
      </w:r>
    </w:p>
    <w:p w14:paraId="0029FD1F" w14:textId="77777777" w:rsidR="00FB1797" w:rsidRPr="00147194" w:rsidRDefault="00FB1797">
      <w:pPr>
        <w:jc w:val="both"/>
        <w:rPr>
          <w:rFonts w:ascii="Times New Roman" w:eastAsia="Times New Roman" w:hAnsi="Times New Roman" w:cs="Times New Roman"/>
          <w:color w:val="000000" w:themeColor="text1"/>
        </w:rPr>
      </w:pPr>
    </w:p>
    <w:p w14:paraId="0029FD20" w14:textId="4ACF2AF3" w:rsidR="00FB1797" w:rsidRPr="00147194" w:rsidRDefault="00AD5D1B">
      <w:pPr>
        <w:numPr>
          <w:ilvl w:val="0"/>
          <w:numId w:val="1"/>
        </w:num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Japanese Playful Assessment of Neuropsychological Abilities (JPAN</w:t>
      </w:r>
      <w:proofErr w:type="gramStart"/>
      <w:r w:rsidRPr="00147194">
        <w:rPr>
          <w:rFonts w:ascii="Times New Roman" w:eastAsia="Times New Roman" w:hAnsi="Times New Roman" w:cs="Times New Roman"/>
          <w:color w:val="000000" w:themeColor="text1"/>
        </w:rPr>
        <w:t>)</w:t>
      </w:r>
      <w:r w:rsidR="00EC429E" w:rsidRPr="00147194">
        <w:rPr>
          <w:rFonts w:ascii="Times New Roman" w:eastAsia="Times New Roman" w:hAnsi="Times New Roman" w:cs="Times New Roman"/>
          <w:color w:val="000000" w:themeColor="text1"/>
          <w:vertAlign w:val="superscript"/>
        </w:rPr>
        <w:t>[</w:t>
      </w:r>
      <w:proofErr w:type="gramEnd"/>
      <w:r w:rsidR="00EC429E" w:rsidRPr="00147194">
        <w:rPr>
          <w:rFonts w:ascii="Times New Roman" w:eastAsia="Times New Roman" w:hAnsi="Times New Roman" w:cs="Times New Roman"/>
          <w:color w:val="000000" w:themeColor="text1"/>
          <w:vertAlign w:val="superscript"/>
        </w:rPr>
        <w:t>1]</w:t>
      </w:r>
    </w:p>
    <w:p w14:paraId="0029FD21" w14:textId="7FA4622D" w:rsidR="00FB1797" w:rsidRPr="00147194" w:rsidRDefault="00AD5D1B">
      <w:pPr>
        <w:spacing w:line="360" w:lineRule="auto"/>
        <w:ind w:left="72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 xml:space="preserve">The JPAN was developed and standardized in Japan in 2011 as an assessment battery for sensory integration function. It assesses sensory processing and </w:t>
      </w:r>
      <w:proofErr w:type="gramStart"/>
      <w:r w:rsidRPr="00147194">
        <w:rPr>
          <w:rFonts w:ascii="Times New Roman" w:eastAsia="Times New Roman" w:hAnsi="Times New Roman" w:cs="Times New Roman"/>
          <w:color w:val="000000" w:themeColor="text1"/>
        </w:rPr>
        <w:t>coordinated</w:t>
      </w:r>
      <w:proofErr w:type="gramEnd"/>
      <w:r w:rsidRPr="00147194">
        <w:rPr>
          <w:rFonts w:ascii="Times New Roman" w:eastAsia="Times New Roman" w:hAnsi="Times New Roman" w:cs="Times New Roman"/>
          <w:color w:val="000000" w:themeColor="text1"/>
        </w:rPr>
        <w:t xml:space="preserve"> movements. It consists of four domains: posture and balance, somatosensory, praxis, and visual perception and eye-hand coordination, </w:t>
      </w:r>
      <w:r w:rsidR="009F2782" w:rsidRPr="00147194">
        <w:rPr>
          <w:rFonts w:ascii="Times New Roman" w:eastAsia="Times New Roman" w:hAnsi="Times New Roman" w:cs="Times New Roman"/>
          <w:color w:val="000000" w:themeColor="text1"/>
        </w:rPr>
        <w:t>with</w:t>
      </w:r>
      <w:r w:rsidRPr="00147194">
        <w:rPr>
          <w:rFonts w:ascii="Times New Roman" w:eastAsia="Times New Roman" w:hAnsi="Times New Roman" w:cs="Times New Roman"/>
          <w:color w:val="000000" w:themeColor="text1"/>
        </w:rPr>
        <w:t xml:space="preserve"> a total of 32 subtests. It is characterized by its ability to comprehensively evaluate sensory processing and coordinated movement</w:t>
      </w:r>
      <w:r w:rsidR="009F2782" w:rsidRPr="00147194">
        <w:rPr>
          <w:rFonts w:ascii="Times New Roman" w:eastAsia="Times New Roman" w:hAnsi="Times New Roman" w:cs="Times New Roman"/>
          <w:color w:val="000000" w:themeColor="text1"/>
        </w:rPr>
        <w:t>s</w:t>
      </w:r>
      <w:r w:rsidRPr="00147194">
        <w:rPr>
          <w:rFonts w:ascii="Times New Roman" w:eastAsia="Times New Roman" w:hAnsi="Times New Roman" w:cs="Times New Roman"/>
          <w:color w:val="000000" w:themeColor="text1"/>
        </w:rPr>
        <w:t>.</w:t>
      </w:r>
    </w:p>
    <w:p w14:paraId="3AAE5008" w14:textId="4E036193" w:rsidR="007D3EA8" w:rsidRPr="00147194" w:rsidRDefault="007D3EA8" w:rsidP="007D3EA8">
      <w:pPr>
        <w:spacing w:line="360" w:lineRule="auto"/>
        <w:ind w:left="72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One of the subtests used in this study was “one arm and one leg balance test”. This test evaluates how long a participant can maintain a position in which one arm and the opposite leg are extended horizontally. It is administered twice, once for each combination: right arm with left leg, and left arm with right leg. The maximum duration for each trial is 60 seconds, resulting in a total possible score of 120 seconds across both trials.</w:t>
      </w:r>
    </w:p>
    <w:p w14:paraId="2B568BC5" w14:textId="77777777" w:rsidR="000576C3" w:rsidRPr="00147194" w:rsidRDefault="000576C3">
      <w:pPr>
        <w:spacing w:line="360" w:lineRule="auto"/>
        <w:ind w:left="720" w:firstLine="440"/>
        <w:jc w:val="both"/>
        <w:rPr>
          <w:rFonts w:ascii="Times New Roman" w:eastAsia="Times New Roman" w:hAnsi="Times New Roman" w:cs="Times New Roman"/>
          <w:color w:val="000000" w:themeColor="text1"/>
        </w:rPr>
      </w:pPr>
    </w:p>
    <w:p w14:paraId="0029FD22" w14:textId="77777777" w:rsidR="00FB1797" w:rsidRPr="00147194" w:rsidRDefault="00FB1797">
      <w:pPr>
        <w:spacing w:line="360" w:lineRule="auto"/>
        <w:jc w:val="both"/>
        <w:rPr>
          <w:rFonts w:ascii="Times New Roman" w:eastAsia="Times New Roman" w:hAnsi="Times New Roman" w:cs="Times New Roman"/>
          <w:color w:val="000000" w:themeColor="text1"/>
        </w:rPr>
      </w:pPr>
    </w:p>
    <w:p w14:paraId="0029FD23" w14:textId="605746F1" w:rsidR="00FB1797" w:rsidRPr="00147194" w:rsidRDefault="00AD5D1B">
      <w:pPr>
        <w:numPr>
          <w:ilvl w:val="0"/>
          <w:numId w:val="1"/>
        </w:num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 xml:space="preserve">Clinical Observation </w:t>
      </w:r>
      <w:proofErr w:type="gramStart"/>
      <w:r w:rsidRPr="00147194">
        <w:rPr>
          <w:rFonts w:ascii="Times New Roman" w:eastAsia="Times New Roman" w:hAnsi="Times New Roman" w:cs="Times New Roman"/>
          <w:color w:val="000000" w:themeColor="text1"/>
        </w:rPr>
        <w:t>Assessment</w:t>
      </w:r>
      <w:r w:rsidR="00EC429E" w:rsidRPr="00147194">
        <w:rPr>
          <w:rFonts w:ascii="Times New Roman" w:eastAsia="Times New Roman" w:hAnsi="Times New Roman" w:cs="Times New Roman"/>
          <w:color w:val="000000" w:themeColor="text1"/>
          <w:vertAlign w:val="superscript"/>
        </w:rPr>
        <w:t>[</w:t>
      </w:r>
      <w:proofErr w:type="gramEnd"/>
      <w:r w:rsidR="00EC429E" w:rsidRPr="00147194">
        <w:rPr>
          <w:rFonts w:ascii="Times New Roman" w:eastAsia="Times New Roman" w:hAnsi="Times New Roman" w:cs="Times New Roman"/>
          <w:color w:val="000000" w:themeColor="text1"/>
          <w:vertAlign w:val="superscript"/>
        </w:rPr>
        <w:t>2]</w:t>
      </w:r>
    </w:p>
    <w:p w14:paraId="0029FD24" w14:textId="2096CF30" w:rsidR="00FB1797" w:rsidRPr="00147194" w:rsidRDefault="008446D9">
      <w:pPr>
        <w:spacing w:line="360" w:lineRule="auto"/>
        <w:ind w:left="72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The</w:t>
      </w:r>
      <w:r w:rsidR="00752014" w:rsidRPr="00147194">
        <w:rPr>
          <w:rFonts w:ascii="Times New Roman" w:eastAsia="Times New Roman" w:hAnsi="Times New Roman" w:cs="Times New Roman"/>
          <w:color w:val="000000" w:themeColor="text1"/>
        </w:rPr>
        <w:t xml:space="preserve"> </w:t>
      </w:r>
      <w:r w:rsidRPr="00147194">
        <w:rPr>
          <w:rFonts w:ascii="Times New Roman" w:eastAsia="Times New Roman" w:hAnsi="Times New Roman" w:cs="Times New Roman"/>
          <w:color w:val="000000" w:themeColor="text1"/>
        </w:rPr>
        <w:t xml:space="preserve">test of “Clinical Observation” published by the Japanese Society for Sensory Integration, includes tests and observations to assess </w:t>
      </w:r>
      <w:r w:rsidR="00125CE1" w:rsidRPr="00147194">
        <w:rPr>
          <w:rFonts w:ascii="Times New Roman" w:eastAsia="Times New Roman" w:hAnsi="Times New Roman" w:cs="Times New Roman"/>
          <w:color w:val="000000" w:themeColor="text1"/>
        </w:rPr>
        <w:t>n</w:t>
      </w:r>
      <w:r w:rsidR="00752014" w:rsidRPr="00147194">
        <w:rPr>
          <w:rFonts w:ascii="Times New Roman" w:eastAsia="Times New Roman" w:hAnsi="Times New Roman" w:cs="Times New Roman"/>
          <w:color w:val="000000" w:themeColor="text1"/>
        </w:rPr>
        <w:t>eurological</w:t>
      </w:r>
      <w:r w:rsidRPr="00147194">
        <w:rPr>
          <w:rFonts w:ascii="Times New Roman" w:eastAsia="Times New Roman" w:hAnsi="Times New Roman" w:cs="Times New Roman"/>
          <w:color w:val="000000" w:themeColor="text1"/>
        </w:rPr>
        <w:t xml:space="preserve"> </w:t>
      </w:r>
      <w:r w:rsidR="00125CE1" w:rsidRPr="00147194">
        <w:rPr>
          <w:rFonts w:ascii="Times New Roman" w:eastAsia="Times New Roman" w:hAnsi="Times New Roman" w:cs="Times New Roman"/>
          <w:color w:val="000000" w:themeColor="text1"/>
        </w:rPr>
        <w:t>soft signs</w:t>
      </w:r>
      <w:r w:rsidRPr="00147194">
        <w:rPr>
          <w:rFonts w:ascii="Times New Roman" w:eastAsia="Times New Roman" w:hAnsi="Times New Roman" w:cs="Times New Roman"/>
          <w:color w:val="000000" w:themeColor="text1"/>
        </w:rPr>
        <w:t xml:space="preserve">. </w:t>
      </w:r>
      <w:r w:rsidR="00E54C2B" w:rsidRPr="00147194">
        <w:rPr>
          <w:rFonts w:ascii="Times New Roman" w:eastAsia="Times New Roman" w:hAnsi="Times New Roman" w:cs="Times New Roman"/>
          <w:color w:val="000000" w:themeColor="text1"/>
        </w:rPr>
        <w:t>It</w:t>
      </w:r>
      <w:r w:rsidRPr="00147194">
        <w:rPr>
          <w:rFonts w:ascii="Times New Roman" w:eastAsia="Times New Roman" w:hAnsi="Times New Roman" w:cs="Times New Roman"/>
          <w:color w:val="000000" w:themeColor="text1"/>
        </w:rPr>
        <w:t xml:space="preserve"> is rated on three levels</w:t>
      </w:r>
      <w:r w:rsidR="00125CE1" w:rsidRPr="00147194">
        <w:rPr>
          <w:rFonts w:ascii="Times New Roman" w:eastAsia="Times New Roman" w:hAnsi="Times New Roman" w:cs="Times New Roman"/>
          <w:color w:val="000000" w:themeColor="text1"/>
        </w:rPr>
        <w:t>:</w:t>
      </w:r>
      <w:r w:rsidRPr="00147194">
        <w:rPr>
          <w:rFonts w:ascii="Times New Roman" w:eastAsia="Times New Roman" w:hAnsi="Times New Roman" w:cs="Times New Roman"/>
          <w:color w:val="000000" w:themeColor="text1"/>
        </w:rPr>
        <w:t xml:space="preserve"> “normal,” “slightly inferior,” and “inferior” by the therapist's clinical assessment according to the criteria of behavioral observation.</w:t>
      </w:r>
    </w:p>
    <w:p w14:paraId="5858D21A" w14:textId="77777777" w:rsidR="007D3EA8" w:rsidRPr="00147194" w:rsidRDefault="007D3EA8" w:rsidP="007D3EA8">
      <w:pPr>
        <w:spacing w:line="360" w:lineRule="auto"/>
        <w:ind w:left="72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One of the assessments used in this study was the “Thumb confrontation test”. The test assesses the accuracy and smoothness of sequential tapping performed by the thumb and other fingers. Performance is evaluated based on three criteria: “normal,” “slightly inferior,” and “inferior.” In this study, scores were assigned as follows: “normal” = 3 points, “slightly inferior” = 2 points, and “inferior” = 1 point. These scores were used for analysis.</w:t>
      </w:r>
    </w:p>
    <w:p w14:paraId="70960B31" w14:textId="77777777" w:rsidR="000576C3" w:rsidRPr="00147194" w:rsidRDefault="000576C3">
      <w:pPr>
        <w:spacing w:line="360" w:lineRule="auto"/>
        <w:ind w:left="720" w:firstLine="440"/>
        <w:jc w:val="both"/>
        <w:rPr>
          <w:rFonts w:ascii="Times New Roman" w:eastAsia="Times New Roman" w:hAnsi="Times New Roman" w:cs="Times New Roman"/>
          <w:color w:val="000000" w:themeColor="text1"/>
        </w:rPr>
      </w:pPr>
    </w:p>
    <w:p w14:paraId="0029FD25" w14:textId="77777777" w:rsidR="00FB1797" w:rsidRPr="00147194" w:rsidRDefault="00FB1797">
      <w:pPr>
        <w:spacing w:line="360" w:lineRule="auto"/>
        <w:ind w:left="720"/>
        <w:jc w:val="both"/>
        <w:rPr>
          <w:rFonts w:ascii="Times New Roman" w:eastAsia="Times New Roman" w:hAnsi="Times New Roman" w:cs="Times New Roman"/>
          <w:color w:val="000000" w:themeColor="text1"/>
        </w:rPr>
      </w:pPr>
    </w:p>
    <w:p w14:paraId="0029FD26" w14:textId="0E58F847" w:rsidR="00FB1797" w:rsidRPr="00147194" w:rsidRDefault="00AD5D1B">
      <w:pPr>
        <w:numPr>
          <w:ilvl w:val="0"/>
          <w:numId w:val="1"/>
        </w:num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Developmental Eye Movement Test (DEM</w:t>
      </w:r>
      <w:proofErr w:type="gramStart"/>
      <w:r w:rsidRPr="00147194">
        <w:rPr>
          <w:rFonts w:ascii="Times New Roman" w:eastAsia="Times New Roman" w:hAnsi="Times New Roman" w:cs="Times New Roman"/>
          <w:color w:val="000000" w:themeColor="text1"/>
        </w:rPr>
        <w:t>)</w:t>
      </w:r>
      <w:r w:rsidR="00EC429E" w:rsidRPr="00147194">
        <w:rPr>
          <w:rFonts w:ascii="Times New Roman" w:eastAsia="Times New Roman" w:hAnsi="Times New Roman" w:cs="Times New Roman"/>
          <w:color w:val="000000" w:themeColor="text1"/>
          <w:vertAlign w:val="superscript"/>
        </w:rPr>
        <w:t>[</w:t>
      </w:r>
      <w:proofErr w:type="gramEnd"/>
      <w:r w:rsidR="00EC429E" w:rsidRPr="00147194">
        <w:rPr>
          <w:rFonts w:ascii="Times New Roman" w:eastAsia="Times New Roman" w:hAnsi="Times New Roman" w:cs="Times New Roman"/>
          <w:color w:val="000000" w:themeColor="text1"/>
          <w:vertAlign w:val="superscript"/>
        </w:rPr>
        <w:t>3]</w:t>
      </w:r>
    </w:p>
    <w:p w14:paraId="0029FD27" w14:textId="660D6EC4" w:rsidR="00FB1797" w:rsidRPr="00147194" w:rsidRDefault="00AD5D1B">
      <w:pPr>
        <w:spacing w:line="360" w:lineRule="auto"/>
        <w:ind w:left="72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This test assesses the accuracy and fluency of eye movements. It consists of three types of tasks: Test A, B, and C. Test</w:t>
      </w:r>
      <w:r w:rsidR="008446D9" w:rsidRPr="00147194">
        <w:rPr>
          <w:rFonts w:ascii="Times New Roman" w:eastAsia="Times New Roman" w:hAnsi="Times New Roman" w:cs="Times New Roman"/>
          <w:color w:val="000000" w:themeColor="text1"/>
        </w:rPr>
        <w:t>s</w:t>
      </w:r>
      <w:r w:rsidRPr="00147194">
        <w:rPr>
          <w:rFonts w:ascii="Times New Roman" w:eastAsia="Times New Roman" w:hAnsi="Times New Roman" w:cs="Times New Roman"/>
          <w:color w:val="000000" w:themeColor="text1"/>
        </w:rPr>
        <w:t xml:space="preserve"> A and B </w:t>
      </w:r>
      <w:r w:rsidR="008446D9" w:rsidRPr="00147194">
        <w:rPr>
          <w:rFonts w:ascii="Times New Roman" w:eastAsia="Times New Roman" w:hAnsi="Times New Roman" w:cs="Times New Roman"/>
          <w:color w:val="000000" w:themeColor="text1"/>
        </w:rPr>
        <w:t>involve</w:t>
      </w:r>
      <w:r w:rsidRPr="00147194">
        <w:rPr>
          <w:rFonts w:ascii="Times New Roman" w:eastAsia="Times New Roman" w:hAnsi="Times New Roman" w:cs="Times New Roman"/>
          <w:color w:val="000000" w:themeColor="text1"/>
        </w:rPr>
        <w:t xml:space="preserve"> reading aloud a sequence of 40 equally spaced numbers </w:t>
      </w:r>
      <w:r w:rsidR="00DA5C3E" w:rsidRPr="00147194">
        <w:rPr>
          <w:rFonts w:ascii="Times New Roman" w:eastAsia="Times New Roman" w:hAnsi="Times New Roman" w:cs="Times New Roman"/>
          <w:color w:val="000000" w:themeColor="text1"/>
        </w:rPr>
        <w:t xml:space="preserve">listed </w:t>
      </w:r>
      <w:r w:rsidRPr="00147194">
        <w:rPr>
          <w:rFonts w:ascii="Times New Roman" w:eastAsia="Times New Roman" w:hAnsi="Times New Roman" w:cs="Times New Roman"/>
          <w:color w:val="000000" w:themeColor="text1"/>
        </w:rPr>
        <w:t>vertically</w:t>
      </w:r>
      <w:r w:rsidR="00667CD1" w:rsidRPr="00147194">
        <w:rPr>
          <w:rFonts w:ascii="Times New Roman" w:eastAsia="Times New Roman" w:hAnsi="Times New Roman" w:cs="Times New Roman"/>
          <w:color w:val="000000" w:themeColor="text1"/>
        </w:rPr>
        <w:t xml:space="preserve"> </w:t>
      </w:r>
      <w:r w:rsidR="00667CD1" w:rsidRPr="00147194">
        <w:rPr>
          <w:rFonts w:ascii="Times New Roman" w:eastAsia="ＭＳ 明朝" w:hAnsi="Times New Roman" w:cs="Times New Roman"/>
          <w:color w:val="000000" w:themeColor="text1"/>
        </w:rPr>
        <w:t>(20 numbers × 2 lines)</w:t>
      </w:r>
      <w:r w:rsidRPr="00147194">
        <w:rPr>
          <w:rFonts w:ascii="Times New Roman" w:eastAsia="Times New Roman" w:hAnsi="Times New Roman" w:cs="Times New Roman"/>
          <w:color w:val="000000" w:themeColor="text1"/>
        </w:rPr>
        <w:t xml:space="preserve">, while Test C </w:t>
      </w:r>
      <w:r w:rsidR="008446D9" w:rsidRPr="00147194">
        <w:rPr>
          <w:rFonts w:ascii="Times New Roman" w:eastAsia="Times New Roman" w:hAnsi="Times New Roman" w:cs="Times New Roman"/>
          <w:color w:val="000000" w:themeColor="text1"/>
        </w:rPr>
        <w:t xml:space="preserve">involves </w:t>
      </w:r>
      <w:r w:rsidRPr="00147194">
        <w:rPr>
          <w:rFonts w:ascii="Times New Roman" w:eastAsia="Times New Roman" w:hAnsi="Times New Roman" w:cs="Times New Roman"/>
          <w:color w:val="000000" w:themeColor="text1"/>
        </w:rPr>
        <w:t xml:space="preserve">reading aloud a sequence of 80 randomly spaced numbers </w:t>
      </w:r>
      <w:r w:rsidR="00DA5C3E" w:rsidRPr="00147194">
        <w:rPr>
          <w:rFonts w:ascii="Times New Roman" w:eastAsia="Times New Roman" w:hAnsi="Times New Roman" w:cs="Times New Roman"/>
          <w:color w:val="000000" w:themeColor="text1"/>
        </w:rPr>
        <w:t xml:space="preserve">listed </w:t>
      </w:r>
      <w:r w:rsidRPr="00147194">
        <w:rPr>
          <w:rFonts w:ascii="Times New Roman" w:eastAsia="Times New Roman" w:hAnsi="Times New Roman" w:cs="Times New Roman"/>
          <w:color w:val="000000" w:themeColor="text1"/>
        </w:rPr>
        <w:t>horizontally</w:t>
      </w:r>
      <w:r w:rsidR="00667CD1" w:rsidRPr="00147194">
        <w:rPr>
          <w:rFonts w:ascii="Times New Roman" w:eastAsia="Times New Roman" w:hAnsi="Times New Roman" w:cs="Times New Roman"/>
          <w:color w:val="000000" w:themeColor="text1"/>
        </w:rPr>
        <w:t xml:space="preserve"> </w:t>
      </w:r>
      <w:r w:rsidR="00667CD1" w:rsidRPr="00147194">
        <w:rPr>
          <w:rFonts w:ascii="Times New Roman" w:eastAsia="ＭＳ 明朝" w:hAnsi="Times New Roman" w:cs="Times New Roman"/>
          <w:color w:val="000000" w:themeColor="text1"/>
        </w:rPr>
        <w:t>(5 numbers × 1</w:t>
      </w:r>
      <w:r w:rsidR="00523438" w:rsidRPr="00147194">
        <w:rPr>
          <w:rFonts w:ascii="Times New Roman" w:eastAsia="ＭＳ 明朝" w:hAnsi="Times New Roman" w:cs="Times New Roman"/>
          <w:color w:val="000000" w:themeColor="text1"/>
        </w:rPr>
        <w:t>6</w:t>
      </w:r>
      <w:r w:rsidR="00667CD1" w:rsidRPr="00147194">
        <w:rPr>
          <w:rFonts w:ascii="Times New Roman" w:eastAsia="ＭＳ 明朝" w:hAnsi="Times New Roman" w:cs="Times New Roman"/>
          <w:color w:val="000000" w:themeColor="text1"/>
        </w:rPr>
        <w:t xml:space="preserve"> lines)</w:t>
      </w:r>
      <w:r w:rsidRPr="00147194">
        <w:rPr>
          <w:rFonts w:ascii="Times New Roman" w:eastAsia="Times New Roman" w:hAnsi="Times New Roman" w:cs="Times New Roman"/>
          <w:color w:val="000000" w:themeColor="text1"/>
        </w:rPr>
        <w:t>.</w:t>
      </w:r>
    </w:p>
    <w:p w14:paraId="24A5E603" w14:textId="218BF698" w:rsidR="007D3EA8" w:rsidRPr="00147194" w:rsidRDefault="007D3EA8" w:rsidP="007D3EA8">
      <w:pPr>
        <w:spacing w:line="360" w:lineRule="auto"/>
        <w:ind w:left="72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 xml:space="preserve">In this study, only </w:t>
      </w:r>
      <w:proofErr w:type="spellStart"/>
      <w:r w:rsidRPr="00147194">
        <w:rPr>
          <w:rFonts w:ascii="Times New Roman" w:eastAsia="Times New Roman" w:hAnsi="Times New Roman" w:cs="Times New Roman"/>
          <w:color w:val="000000" w:themeColor="text1"/>
        </w:rPr>
        <w:t>TestC</w:t>
      </w:r>
      <w:proofErr w:type="spellEnd"/>
      <w:r w:rsidRPr="00147194">
        <w:rPr>
          <w:rFonts w:ascii="Times New Roman" w:eastAsia="Times New Roman" w:hAnsi="Times New Roman" w:cs="Times New Roman"/>
          <w:color w:val="000000" w:themeColor="text1"/>
        </w:rPr>
        <w:t xml:space="preserve"> in the DEM, which imposes the highest eye movement load, was selected. T</w:t>
      </w:r>
      <w:r w:rsidR="00F70ACB" w:rsidRPr="00147194">
        <w:rPr>
          <w:rFonts w:ascii="Times New Roman" w:eastAsia="Times New Roman" w:hAnsi="Times New Roman" w:cs="Times New Roman"/>
          <w:color w:val="000000" w:themeColor="text1"/>
        </w:rPr>
        <w:t>wo</w:t>
      </w:r>
      <w:r w:rsidRPr="00147194">
        <w:rPr>
          <w:rFonts w:ascii="Times New Roman" w:eastAsia="Times New Roman" w:hAnsi="Times New Roman" w:cs="Times New Roman"/>
          <w:color w:val="000000" w:themeColor="text1"/>
        </w:rPr>
        <w:t xml:space="preserve"> metrics were calculated: total time, indicating eye movement fluency, and number of mistakes, indicating eye movement accuracy.</w:t>
      </w:r>
    </w:p>
    <w:p w14:paraId="5D17CE16" w14:textId="77777777" w:rsidR="000576C3" w:rsidRPr="00147194" w:rsidRDefault="000576C3">
      <w:pPr>
        <w:spacing w:line="360" w:lineRule="auto"/>
        <w:ind w:left="720" w:firstLine="440"/>
        <w:jc w:val="both"/>
        <w:rPr>
          <w:rFonts w:ascii="Times New Roman" w:eastAsia="Times New Roman" w:hAnsi="Times New Roman" w:cs="Times New Roman"/>
          <w:color w:val="000000" w:themeColor="text1"/>
        </w:rPr>
      </w:pPr>
    </w:p>
    <w:p w14:paraId="0029FD28" w14:textId="77777777" w:rsidR="00FB1797" w:rsidRPr="00147194" w:rsidRDefault="00FB1797">
      <w:pPr>
        <w:spacing w:line="360" w:lineRule="auto"/>
        <w:ind w:left="720"/>
        <w:jc w:val="both"/>
        <w:rPr>
          <w:rFonts w:ascii="Times New Roman" w:eastAsia="Times New Roman" w:hAnsi="Times New Roman" w:cs="Times New Roman"/>
          <w:color w:val="000000" w:themeColor="text1"/>
        </w:rPr>
      </w:pPr>
    </w:p>
    <w:p w14:paraId="0029FD29" w14:textId="298A370B" w:rsidR="00FB1797" w:rsidRPr="00147194" w:rsidRDefault="00AD5D1B">
      <w:pPr>
        <w:numPr>
          <w:ilvl w:val="0"/>
          <w:numId w:val="1"/>
        </w:num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lastRenderedPageBreak/>
        <w:t>Wide-range Assessment of Vision-related Essential Skills (WAVES</w:t>
      </w:r>
      <w:proofErr w:type="gramStart"/>
      <w:r w:rsidRPr="00147194">
        <w:rPr>
          <w:rFonts w:ascii="Times New Roman" w:eastAsia="Times New Roman" w:hAnsi="Times New Roman" w:cs="Times New Roman"/>
          <w:color w:val="000000" w:themeColor="text1"/>
        </w:rPr>
        <w:t>)</w:t>
      </w:r>
      <w:r w:rsidR="00EC429E" w:rsidRPr="00147194">
        <w:rPr>
          <w:rFonts w:ascii="Times New Roman" w:eastAsia="Times New Roman" w:hAnsi="Times New Roman" w:cs="Times New Roman"/>
          <w:color w:val="000000" w:themeColor="text1"/>
          <w:vertAlign w:val="superscript"/>
        </w:rPr>
        <w:t>[</w:t>
      </w:r>
      <w:proofErr w:type="gramEnd"/>
      <w:r w:rsidR="00EC429E" w:rsidRPr="00147194">
        <w:rPr>
          <w:rFonts w:ascii="Times New Roman" w:eastAsia="Times New Roman" w:hAnsi="Times New Roman" w:cs="Times New Roman"/>
          <w:color w:val="000000" w:themeColor="text1"/>
          <w:vertAlign w:val="superscript"/>
        </w:rPr>
        <w:t>4]</w:t>
      </w:r>
    </w:p>
    <w:p w14:paraId="0029FD2A" w14:textId="280F5E45" w:rsidR="00FB1797" w:rsidRPr="00147194" w:rsidRDefault="0029510B">
      <w:pPr>
        <w:spacing w:line="360" w:lineRule="auto"/>
        <w:ind w:left="72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 xml:space="preserve">This is a comprehensive assessment of visual perception and cognition. It consists of nine basic tests and one supplementary test. The scores for each test and four indices of vision-related skills (visual perception index, general eye-hand coordination index, eye-hand coordination accuracy index, and visual perception + eye-hand coordination index) are calculated. </w:t>
      </w:r>
      <w:r w:rsidR="0088059C" w:rsidRPr="00147194">
        <w:rPr>
          <w:rFonts w:ascii="Times New Roman" w:eastAsia="Times New Roman" w:hAnsi="Times New Roman" w:cs="Times New Roman"/>
          <w:color w:val="000000" w:themeColor="text1"/>
        </w:rPr>
        <w:t xml:space="preserve">The test </w:t>
      </w:r>
      <w:r w:rsidRPr="00147194">
        <w:rPr>
          <w:rFonts w:ascii="Times New Roman" w:eastAsia="Times New Roman" w:hAnsi="Times New Roman" w:cs="Times New Roman"/>
          <w:color w:val="000000" w:themeColor="text1"/>
        </w:rPr>
        <w:t>is characterized by its ability to assess a wide range of vision-related functions.</w:t>
      </w:r>
    </w:p>
    <w:p w14:paraId="62AF75CE" w14:textId="77777777" w:rsidR="007D3EA8" w:rsidRPr="00147194" w:rsidRDefault="000576C3" w:rsidP="007D3EA8">
      <w:pPr>
        <w:spacing w:line="360" w:lineRule="auto"/>
        <w:ind w:left="72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 xml:space="preserve">    </w:t>
      </w:r>
      <w:r w:rsidR="007D3EA8" w:rsidRPr="00147194">
        <w:rPr>
          <w:rFonts w:ascii="Times New Roman" w:eastAsia="Times New Roman" w:hAnsi="Times New Roman" w:cs="Times New Roman"/>
          <w:color w:val="000000" w:themeColor="text1"/>
        </w:rPr>
        <w:t>The two tasks used in this study, line tracing and shape tracing, are described in detail below. In the line tracing task, participants were instructed manipulate a pencil so that it remained within a designated line. See Fig.S1 for details. The line includes segments of defined width; tracing within this central segment earns 2 points, slightly outside the segment earns 1 point, and significant deviations receive 0 points. The total score is calculated as the sum of these points.</w:t>
      </w:r>
    </w:p>
    <w:p w14:paraId="35AA5811" w14:textId="1FB992A0" w:rsidR="007D3EA8" w:rsidRPr="00147194" w:rsidRDefault="007D3EA8" w:rsidP="007D3EA8">
      <w:pPr>
        <w:spacing w:line="360" w:lineRule="auto"/>
        <w:ind w:left="720" w:firstLineChars="200" w:firstLine="440"/>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t>In the shape tracing task, participants were asked to trace small shapes (triangles, squares, and circles) without extending beyond their boundaries. If the tracing remained entirely within the shape, 1 point was awarded; if the tracing exceeded the shape, 0 points were given. For each task, the following three performance metrics were calculated:</w:t>
      </w:r>
      <w:r w:rsidR="00552C85" w:rsidRPr="00147194">
        <w:rPr>
          <w:rFonts w:ascii="Times New Roman" w:eastAsia="Times New Roman" w:hAnsi="Times New Roman" w:cs="Times New Roman"/>
          <w:color w:val="000000" w:themeColor="text1"/>
        </w:rPr>
        <w:t xml:space="preserve"> </w:t>
      </w:r>
      <w:r w:rsidRPr="00147194">
        <w:rPr>
          <w:rFonts w:ascii="Times New Roman" w:eastAsia="Times New Roman" w:hAnsi="Times New Roman" w:cs="Times New Roman"/>
          <w:color w:val="000000" w:themeColor="text1"/>
        </w:rPr>
        <w:t>(1) Number of achievements – representing how far the participant progressed through the task; (2) Number of passes – indicating how accurately the pencil stayed on the intended line or shape; and (3) Pass ratio – calculated as the number of passes divided by the number of achievements.</w:t>
      </w:r>
    </w:p>
    <w:p w14:paraId="692C4BBB" w14:textId="4AD51A9E" w:rsidR="000576C3" w:rsidRPr="00147194" w:rsidRDefault="000576C3" w:rsidP="000576C3">
      <w:pPr>
        <w:spacing w:line="360" w:lineRule="auto"/>
        <w:ind w:left="720"/>
        <w:jc w:val="both"/>
        <w:rPr>
          <w:rFonts w:ascii="Times New Roman" w:eastAsia="Times New Roman" w:hAnsi="Times New Roman" w:cs="Times New Roman"/>
          <w:color w:val="000000" w:themeColor="text1"/>
        </w:rPr>
      </w:pPr>
    </w:p>
    <w:p w14:paraId="0029FD2B" w14:textId="63622597" w:rsidR="00FB1797" w:rsidRPr="00147194" w:rsidRDefault="00FB1797">
      <w:pPr>
        <w:spacing w:line="360" w:lineRule="auto"/>
        <w:ind w:left="720"/>
        <w:jc w:val="both"/>
        <w:rPr>
          <w:rFonts w:ascii="Times New Roman" w:eastAsia="Times New Roman" w:hAnsi="Times New Roman" w:cs="Times New Roman"/>
          <w:color w:val="000000" w:themeColor="text1"/>
        </w:rPr>
      </w:pPr>
    </w:p>
    <w:p w14:paraId="0029FD2C" w14:textId="77777777" w:rsidR="00FB1797" w:rsidRPr="00147194" w:rsidRDefault="00FB1797">
      <w:pPr>
        <w:spacing w:line="360" w:lineRule="auto"/>
        <w:jc w:val="both"/>
        <w:rPr>
          <w:rFonts w:ascii="Times New Roman" w:eastAsia="Times New Roman" w:hAnsi="Times New Roman" w:cs="Times New Roman"/>
          <w:color w:val="000000" w:themeColor="text1"/>
        </w:rPr>
      </w:pPr>
    </w:p>
    <w:p w14:paraId="0029FD2D" w14:textId="77777777" w:rsidR="00FB1797" w:rsidRPr="00147194" w:rsidRDefault="00AD5D1B">
      <w:pPr>
        <w:spacing w:line="360" w:lineRule="auto"/>
        <w:jc w:val="both"/>
        <w:rPr>
          <w:rFonts w:ascii="Times New Roman" w:eastAsia="Times New Roman" w:hAnsi="Times New Roman" w:cs="Times New Roman"/>
          <w:b/>
          <w:color w:val="000000" w:themeColor="text1"/>
        </w:rPr>
      </w:pPr>
      <w:r w:rsidRPr="00147194">
        <w:rPr>
          <w:rFonts w:ascii="Times New Roman" w:eastAsia="Times New Roman" w:hAnsi="Times New Roman" w:cs="Times New Roman"/>
          <w:b/>
          <w:color w:val="000000" w:themeColor="text1"/>
        </w:rPr>
        <w:t>Reference:</w:t>
      </w:r>
    </w:p>
    <w:p w14:paraId="4D5167C9" w14:textId="36241099" w:rsidR="00AD1BE2" w:rsidRPr="00147194" w:rsidRDefault="00AD1BE2" w:rsidP="00AD1BE2">
      <w:pPr>
        <w:ind w:left="720" w:hanging="360"/>
        <w:jc w:val="both"/>
        <w:rPr>
          <w:rFonts w:ascii="Times New Roman" w:eastAsia="Times New Roman" w:hAnsi="Times New Roman" w:cs="Times New Roman"/>
          <w:color w:val="000000" w:themeColor="text1"/>
          <w:szCs w:val="22"/>
        </w:rPr>
      </w:pPr>
      <w:r w:rsidRPr="00147194">
        <w:rPr>
          <w:rFonts w:ascii="Times New Roman" w:eastAsia="Times New Roman" w:hAnsi="Times New Roman" w:cs="Times New Roman"/>
          <w:color w:val="000000" w:themeColor="text1"/>
          <w:szCs w:val="22"/>
        </w:rPr>
        <w:t>[1]</w:t>
      </w:r>
      <w:r w:rsidRPr="00147194">
        <w:rPr>
          <w:rFonts w:ascii="Times New Roman" w:eastAsia="Times New Roman" w:hAnsi="Times New Roman" w:cs="Times New Roman"/>
          <w:color w:val="000000" w:themeColor="text1"/>
          <w:szCs w:val="22"/>
        </w:rPr>
        <w:tab/>
        <w:t>The Japanese Academy of Sensory Integration. JPAN Japanese Playful Assessment for Neuropsychological Abilities Implementation Manual (in Japanese) (Pacific Supply Inc, Osaka, 2016).</w:t>
      </w:r>
    </w:p>
    <w:p w14:paraId="27FC078D" w14:textId="3C1D9F3C" w:rsidR="00AD1BE2" w:rsidRPr="00147194" w:rsidRDefault="00AD1BE2" w:rsidP="00AD1BE2">
      <w:pPr>
        <w:ind w:left="720" w:hanging="360"/>
        <w:jc w:val="both"/>
        <w:rPr>
          <w:rFonts w:ascii="Times New Roman" w:eastAsia="Times New Roman" w:hAnsi="Times New Roman" w:cs="Times New Roman"/>
          <w:color w:val="000000" w:themeColor="text1"/>
          <w:szCs w:val="22"/>
        </w:rPr>
      </w:pPr>
      <w:r w:rsidRPr="00147194">
        <w:rPr>
          <w:rFonts w:ascii="Times New Roman" w:eastAsia="Times New Roman" w:hAnsi="Times New Roman" w:cs="Times New Roman"/>
          <w:color w:val="000000" w:themeColor="text1"/>
          <w:szCs w:val="22"/>
        </w:rPr>
        <w:t>[2]</w:t>
      </w:r>
      <w:r w:rsidRPr="00147194">
        <w:rPr>
          <w:rFonts w:ascii="Times New Roman" w:eastAsia="Times New Roman" w:hAnsi="Times New Roman" w:cs="Times New Roman"/>
          <w:color w:val="000000" w:themeColor="text1"/>
          <w:szCs w:val="22"/>
        </w:rPr>
        <w:tab/>
        <w:t xml:space="preserve">The Japanese academy of sensory integration. Japanese Society for Sensory Integration Disorders Certification Course Basic and Testing </w:t>
      </w:r>
      <w:r w:rsidRPr="00147194">
        <w:rPr>
          <w:rFonts w:ascii="Times New Roman" w:eastAsia="Times New Roman" w:hAnsi="Times New Roman" w:cs="Times New Roman"/>
          <w:b/>
          <w:color w:val="000000" w:themeColor="text1"/>
          <w:szCs w:val="22"/>
        </w:rPr>
        <w:t>8</w:t>
      </w:r>
      <w:r w:rsidRPr="00147194">
        <w:rPr>
          <w:rFonts w:ascii="Times New Roman" w:eastAsia="Times New Roman" w:hAnsi="Times New Roman" w:cs="Times New Roman"/>
          <w:color w:val="000000" w:themeColor="text1"/>
          <w:szCs w:val="22"/>
        </w:rPr>
        <w:t xml:space="preserve"> Methods A Course Clinical Observation Manual</w:t>
      </w:r>
      <w:r w:rsidRPr="00147194">
        <w:rPr>
          <w:rFonts w:ascii="Times New Roman" w:eastAsia="ヒラギノ角ゴ Pro W3" w:hAnsi="Times New Roman" w:cs="Times New Roman"/>
          <w:color w:val="000000" w:themeColor="text1"/>
          <w:szCs w:val="22"/>
        </w:rPr>
        <w:t>．</w:t>
      </w:r>
      <w:r w:rsidRPr="00147194">
        <w:rPr>
          <w:rFonts w:ascii="Times New Roman" w:eastAsia="Times New Roman" w:hAnsi="Times New Roman" w:cs="Times New Roman"/>
          <w:color w:val="000000" w:themeColor="text1"/>
          <w:szCs w:val="22"/>
        </w:rPr>
        <w:t>The Japanese academy of sensory integration.</w:t>
      </w:r>
    </w:p>
    <w:p w14:paraId="47779D55" w14:textId="3EC641F3" w:rsidR="00AD1BE2" w:rsidRPr="00147194" w:rsidRDefault="00AD1BE2" w:rsidP="00AD1BE2">
      <w:pPr>
        <w:ind w:left="720" w:hanging="360"/>
        <w:jc w:val="both"/>
        <w:rPr>
          <w:rFonts w:ascii="Times New Roman" w:eastAsia="Times New Roman" w:hAnsi="Times New Roman" w:cs="Times New Roman"/>
          <w:color w:val="000000" w:themeColor="text1"/>
          <w:szCs w:val="22"/>
        </w:rPr>
      </w:pPr>
      <w:r w:rsidRPr="00147194">
        <w:rPr>
          <w:rFonts w:ascii="Times New Roman" w:eastAsia="Times New Roman" w:hAnsi="Times New Roman" w:cs="Times New Roman"/>
          <w:color w:val="000000" w:themeColor="text1"/>
          <w:szCs w:val="22"/>
        </w:rPr>
        <w:t>[3]</w:t>
      </w:r>
      <w:r w:rsidRPr="00147194">
        <w:rPr>
          <w:rFonts w:ascii="Times New Roman" w:eastAsia="Times New Roman" w:hAnsi="Times New Roman" w:cs="Times New Roman"/>
          <w:color w:val="000000" w:themeColor="text1"/>
          <w:szCs w:val="22"/>
        </w:rPr>
        <w:tab/>
        <w:t xml:space="preserve">Tassinari, J. T. &amp; DeLand, P. Developmental Eye Movement Test: reliability and symptomatology. </w:t>
      </w:r>
      <w:r w:rsidRPr="00147194">
        <w:rPr>
          <w:rFonts w:ascii="Times New Roman" w:eastAsia="Times New Roman" w:hAnsi="Times New Roman" w:cs="Times New Roman"/>
          <w:i/>
          <w:color w:val="000000" w:themeColor="text1"/>
          <w:szCs w:val="22"/>
        </w:rPr>
        <w:t>Optometry</w:t>
      </w:r>
      <w:r w:rsidRPr="00147194">
        <w:rPr>
          <w:rFonts w:ascii="Times New Roman" w:eastAsia="Times New Roman" w:hAnsi="Times New Roman" w:cs="Times New Roman"/>
          <w:color w:val="000000" w:themeColor="text1"/>
          <w:szCs w:val="22"/>
        </w:rPr>
        <w:t xml:space="preserve"> </w:t>
      </w:r>
      <w:r w:rsidRPr="00147194">
        <w:rPr>
          <w:rFonts w:ascii="Times New Roman" w:eastAsia="Times New Roman" w:hAnsi="Times New Roman" w:cs="Times New Roman"/>
          <w:b/>
          <w:color w:val="000000" w:themeColor="text1"/>
          <w:szCs w:val="22"/>
        </w:rPr>
        <w:t>76</w:t>
      </w:r>
      <w:r w:rsidRPr="00147194">
        <w:rPr>
          <w:rFonts w:ascii="Times New Roman" w:eastAsia="Times New Roman" w:hAnsi="Times New Roman" w:cs="Times New Roman"/>
          <w:color w:val="000000" w:themeColor="text1"/>
          <w:szCs w:val="22"/>
        </w:rPr>
        <w:t>, 387–399 (2005).</w:t>
      </w:r>
    </w:p>
    <w:p w14:paraId="52DB98E6" w14:textId="657D305A" w:rsidR="00AD1BE2" w:rsidRPr="00147194" w:rsidRDefault="00AD1BE2" w:rsidP="00AD1BE2">
      <w:pPr>
        <w:ind w:left="720" w:hanging="360"/>
        <w:jc w:val="both"/>
        <w:rPr>
          <w:rFonts w:ascii="Times New Roman" w:eastAsia="Times New Roman" w:hAnsi="Times New Roman" w:cs="Times New Roman"/>
          <w:color w:val="000000" w:themeColor="text1"/>
          <w:szCs w:val="22"/>
        </w:rPr>
      </w:pPr>
      <w:r w:rsidRPr="00147194">
        <w:rPr>
          <w:rFonts w:ascii="Times New Roman" w:eastAsia="Times New Roman" w:hAnsi="Times New Roman" w:cs="Times New Roman"/>
          <w:color w:val="000000" w:themeColor="text1"/>
          <w:szCs w:val="22"/>
        </w:rPr>
        <w:t>[4]</w:t>
      </w:r>
      <w:r w:rsidRPr="00147194">
        <w:rPr>
          <w:rFonts w:ascii="Times New Roman" w:eastAsia="Times New Roman" w:hAnsi="Times New Roman" w:cs="Times New Roman"/>
          <w:color w:val="000000" w:themeColor="text1"/>
          <w:szCs w:val="22"/>
        </w:rPr>
        <w:tab/>
        <w:t xml:space="preserve">Okumura, T. </w:t>
      </w:r>
      <w:r w:rsidRPr="00147194">
        <w:rPr>
          <w:rFonts w:ascii="Times New Roman" w:eastAsia="Times New Roman" w:hAnsi="Times New Roman" w:cs="Times New Roman"/>
          <w:i/>
          <w:color w:val="000000" w:themeColor="text1"/>
          <w:szCs w:val="22"/>
        </w:rPr>
        <w:t>et al</w:t>
      </w:r>
      <w:r w:rsidRPr="00147194">
        <w:rPr>
          <w:rFonts w:ascii="Times New Roman" w:eastAsia="Times New Roman" w:hAnsi="Times New Roman" w:cs="Times New Roman"/>
          <w:color w:val="000000" w:themeColor="text1"/>
          <w:szCs w:val="22"/>
        </w:rPr>
        <w:t xml:space="preserve">. Validity of the wide-range assessment of vision-related essential skills in Japanese children with learning problems. </w:t>
      </w:r>
      <w:proofErr w:type="spellStart"/>
      <w:r w:rsidRPr="00147194">
        <w:rPr>
          <w:rFonts w:ascii="Times New Roman" w:eastAsia="Times New Roman" w:hAnsi="Times New Roman" w:cs="Times New Roman"/>
          <w:i/>
          <w:color w:val="000000" w:themeColor="text1"/>
          <w:szCs w:val="22"/>
        </w:rPr>
        <w:t>Optom</w:t>
      </w:r>
      <w:proofErr w:type="spellEnd"/>
      <w:r w:rsidRPr="00147194">
        <w:rPr>
          <w:rFonts w:ascii="Times New Roman" w:eastAsia="Times New Roman" w:hAnsi="Times New Roman" w:cs="Times New Roman"/>
          <w:i/>
          <w:color w:val="000000" w:themeColor="text1"/>
          <w:szCs w:val="22"/>
        </w:rPr>
        <w:t>. Vis. Sci.</w:t>
      </w:r>
      <w:r w:rsidRPr="00147194">
        <w:rPr>
          <w:rFonts w:ascii="Times New Roman" w:eastAsia="Times New Roman" w:hAnsi="Times New Roman" w:cs="Times New Roman"/>
          <w:color w:val="000000" w:themeColor="text1"/>
          <w:szCs w:val="22"/>
        </w:rPr>
        <w:t xml:space="preserve"> </w:t>
      </w:r>
      <w:r w:rsidRPr="00147194">
        <w:rPr>
          <w:rFonts w:ascii="Times New Roman" w:eastAsia="Times New Roman" w:hAnsi="Times New Roman" w:cs="Times New Roman"/>
          <w:b/>
          <w:color w:val="000000" w:themeColor="text1"/>
          <w:szCs w:val="22"/>
        </w:rPr>
        <w:t>97</w:t>
      </w:r>
      <w:r w:rsidRPr="00147194">
        <w:rPr>
          <w:rFonts w:ascii="Times New Roman" w:eastAsia="Times New Roman" w:hAnsi="Times New Roman" w:cs="Times New Roman"/>
          <w:color w:val="000000" w:themeColor="text1"/>
          <w:szCs w:val="22"/>
        </w:rPr>
        <w:t>, 275–285 (2020).</w:t>
      </w:r>
    </w:p>
    <w:p w14:paraId="0029FD2E" w14:textId="29E7D91E" w:rsidR="0088059C" w:rsidRPr="00147194" w:rsidRDefault="00AD5D1B">
      <w:pPr>
        <w:spacing w:line="240" w:lineRule="auto"/>
        <w:rPr>
          <w:rFonts w:ascii="Times New Roman" w:eastAsia="Times New Roman" w:hAnsi="Times New Roman" w:cs="Times New Roman"/>
          <w:color w:val="000000" w:themeColor="text1"/>
        </w:rPr>
      </w:pPr>
      <w:r w:rsidRPr="00147194">
        <w:rPr>
          <w:rFonts w:ascii="Times New Roman" w:eastAsia="Times New Roman" w:hAnsi="Times New Roman" w:cs="Times New Roman"/>
          <w:color w:val="000000" w:themeColor="text1"/>
        </w:rPr>
        <w:br w:type="page"/>
      </w:r>
    </w:p>
    <w:p w14:paraId="6EA6C096" w14:textId="77777777" w:rsidR="00512069" w:rsidRPr="00147194" w:rsidRDefault="00512069" w:rsidP="00512069">
      <w:pPr>
        <w:spacing w:line="240" w:lineRule="auto"/>
        <w:rPr>
          <w:rFonts w:ascii="Times New Roman" w:eastAsia="Times New Roman" w:hAnsi="Times New Roman" w:cs="Times New Roman"/>
          <w:color w:val="000000" w:themeColor="text1"/>
        </w:rPr>
      </w:pPr>
      <w:r w:rsidRPr="00147194">
        <w:rPr>
          <w:rFonts w:ascii="Times New Roman" w:eastAsia="Times New Roman" w:hAnsi="Times New Roman" w:cs="Times New Roman"/>
          <w:noProof/>
          <w:color w:val="000000" w:themeColor="text1"/>
          <w:lang w:val="ja"/>
        </w:rPr>
        <w:lastRenderedPageBreak/>
        <w:drawing>
          <wp:inline distT="0" distB="0" distL="0" distR="0" wp14:anchorId="18A111CF" wp14:editId="7634E49F">
            <wp:extent cx="5424364" cy="7232697"/>
            <wp:effectExtent l="0" t="0" r="0" b="0"/>
            <wp:docPr id="100557420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74202" name=""/>
                    <pic:cNvPicPr/>
                  </pic:nvPicPr>
                  <pic:blipFill>
                    <a:blip r:embed="rId7"/>
                    <a:stretch>
                      <a:fillRect/>
                    </a:stretch>
                  </pic:blipFill>
                  <pic:spPr>
                    <a:xfrm>
                      <a:off x="0" y="0"/>
                      <a:ext cx="5433610" cy="7245026"/>
                    </a:xfrm>
                    <a:prstGeom prst="rect">
                      <a:avLst/>
                    </a:prstGeom>
                  </pic:spPr>
                </pic:pic>
              </a:graphicData>
            </a:graphic>
          </wp:inline>
        </w:drawing>
      </w:r>
    </w:p>
    <w:p w14:paraId="6ED815F6" w14:textId="3A421475" w:rsidR="00EC429E" w:rsidRPr="00147194" w:rsidRDefault="00512069" w:rsidP="00245E4E">
      <w:pPr>
        <w:spacing w:line="360" w:lineRule="auto"/>
        <w:jc w:val="both"/>
        <w:rPr>
          <w:rFonts w:ascii="Times New Roman" w:eastAsia="Times New Roman" w:hAnsi="Times New Roman" w:cs="Times New Roman"/>
          <w:color w:val="000000" w:themeColor="text1"/>
        </w:rPr>
      </w:pPr>
      <w:r w:rsidRPr="00147194">
        <w:rPr>
          <w:rFonts w:ascii="Times New Roman" w:eastAsia="Times New Roman" w:hAnsi="Times New Roman" w:cs="Times New Roman"/>
          <w:b/>
          <w:bCs/>
          <w:color w:val="000000" w:themeColor="text1"/>
        </w:rPr>
        <w:t>Figure</w:t>
      </w:r>
      <w:r w:rsidR="00920C01" w:rsidRPr="00147194">
        <w:rPr>
          <w:rFonts w:ascii="Times New Roman" w:eastAsia="Times New Roman" w:hAnsi="Times New Roman" w:cs="Times New Roman"/>
          <w:b/>
          <w:bCs/>
          <w:color w:val="000000" w:themeColor="text1"/>
        </w:rPr>
        <w:t xml:space="preserve"> S</w:t>
      </w:r>
      <w:r w:rsidRPr="00147194">
        <w:rPr>
          <w:rFonts w:ascii="Times New Roman" w:eastAsia="Times New Roman" w:hAnsi="Times New Roman" w:cs="Times New Roman"/>
          <w:b/>
          <w:bCs/>
          <w:color w:val="000000" w:themeColor="text1"/>
        </w:rPr>
        <w:t xml:space="preserve">1. </w:t>
      </w:r>
      <w:r w:rsidR="00920C01" w:rsidRPr="00147194">
        <w:rPr>
          <w:rFonts w:ascii="Times New Roman" w:eastAsia="Times New Roman" w:hAnsi="Times New Roman" w:cs="Times New Roman"/>
          <w:color w:val="000000" w:themeColor="text1"/>
        </w:rPr>
        <w:t xml:space="preserve">Representative </w:t>
      </w:r>
      <w:r w:rsidRPr="00147194">
        <w:rPr>
          <w:rFonts w:ascii="Times New Roman" w:eastAsia="Times New Roman" w:hAnsi="Times New Roman" w:cs="Times New Roman"/>
          <w:color w:val="000000" w:themeColor="text1"/>
        </w:rPr>
        <w:t xml:space="preserve">cases in </w:t>
      </w:r>
      <w:proofErr w:type="spellStart"/>
      <w:r w:rsidRPr="00147194">
        <w:rPr>
          <w:rFonts w:ascii="Times New Roman" w:eastAsia="Times New Roman" w:hAnsi="Times New Roman" w:cs="Times New Roman"/>
          <w:color w:val="000000" w:themeColor="text1"/>
        </w:rPr>
        <w:t>WAVES_Line</w:t>
      </w:r>
      <w:proofErr w:type="spellEnd"/>
      <w:r w:rsidRPr="00147194">
        <w:rPr>
          <w:rFonts w:ascii="Times New Roman" w:eastAsia="Times New Roman" w:hAnsi="Times New Roman" w:cs="Times New Roman"/>
          <w:color w:val="000000" w:themeColor="text1"/>
        </w:rPr>
        <w:t xml:space="preserve"> tracing and </w:t>
      </w:r>
      <w:proofErr w:type="spellStart"/>
      <w:r w:rsidRPr="00147194">
        <w:rPr>
          <w:rFonts w:ascii="Times New Roman" w:eastAsia="Times New Roman" w:hAnsi="Times New Roman" w:cs="Times New Roman"/>
          <w:color w:val="000000" w:themeColor="text1"/>
        </w:rPr>
        <w:t>WAVES_Shape</w:t>
      </w:r>
      <w:proofErr w:type="spellEnd"/>
      <w:r w:rsidRPr="00147194">
        <w:rPr>
          <w:rFonts w:ascii="Times New Roman" w:eastAsia="Times New Roman" w:hAnsi="Times New Roman" w:cs="Times New Roman"/>
          <w:color w:val="000000" w:themeColor="text1"/>
        </w:rPr>
        <w:t xml:space="preserve"> tracing.</w:t>
      </w:r>
      <w:r w:rsidR="00F11B11" w:rsidRPr="00147194">
        <w:rPr>
          <w:rFonts w:ascii="Times New Roman" w:eastAsia="Times New Roman" w:hAnsi="Times New Roman" w:cs="Times New Roman"/>
          <w:color w:val="000000" w:themeColor="text1"/>
        </w:rPr>
        <w:t xml:space="preserve"> (a) and (b) are examples of </w:t>
      </w:r>
      <w:proofErr w:type="spellStart"/>
      <w:r w:rsidR="00F11B11" w:rsidRPr="00147194">
        <w:rPr>
          <w:rFonts w:ascii="Times New Roman" w:eastAsia="Times New Roman" w:hAnsi="Times New Roman" w:cs="Times New Roman"/>
          <w:color w:val="000000" w:themeColor="text1"/>
        </w:rPr>
        <w:t>WAVES_Line</w:t>
      </w:r>
      <w:proofErr w:type="spellEnd"/>
      <w:r w:rsidR="00F11B11" w:rsidRPr="00147194">
        <w:rPr>
          <w:rFonts w:ascii="Times New Roman" w:eastAsia="Times New Roman" w:hAnsi="Times New Roman" w:cs="Times New Roman"/>
          <w:color w:val="000000" w:themeColor="text1"/>
        </w:rPr>
        <w:t xml:space="preserve"> tracing, while (c) and (d) represent </w:t>
      </w:r>
      <w:proofErr w:type="spellStart"/>
      <w:r w:rsidR="00F11B11" w:rsidRPr="00147194">
        <w:rPr>
          <w:rFonts w:ascii="Times New Roman" w:eastAsia="Times New Roman" w:hAnsi="Times New Roman" w:cs="Times New Roman"/>
          <w:color w:val="000000" w:themeColor="text1"/>
        </w:rPr>
        <w:t>WAVES_Shape</w:t>
      </w:r>
      <w:proofErr w:type="spellEnd"/>
      <w:r w:rsidR="00F11B11" w:rsidRPr="00147194">
        <w:rPr>
          <w:rFonts w:ascii="Times New Roman" w:eastAsia="Times New Roman" w:hAnsi="Times New Roman" w:cs="Times New Roman"/>
          <w:color w:val="000000" w:themeColor="text1"/>
        </w:rPr>
        <w:t xml:space="preserve"> tracing.</w:t>
      </w:r>
      <w:r w:rsidRPr="00147194">
        <w:rPr>
          <w:rFonts w:ascii="Times New Roman" w:eastAsia="Times New Roman" w:hAnsi="Times New Roman" w:cs="Times New Roman"/>
          <w:color w:val="000000" w:themeColor="text1"/>
        </w:rPr>
        <w:t xml:space="preserve"> </w:t>
      </w:r>
      <w:r w:rsidR="00AD5D1B" w:rsidRPr="00147194">
        <w:rPr>
          <w:rFonts w:ascii="Times New Roman" w:eastAsia="Times New Roman" w:hAnsi="Times New Roman" w:cs="Times New Roman"/>
          <w:color w:val="000000" w:themeColor="text1"/>
        </w:rPr>
        <w:t>(a) and (b) show c</w:t>
      </w:r>
      <w:r w:rsidRPr="00147194">
        <w:rPr>
          <w:rFonts w:ascii="Times New Roman" w:eastAsia="Times New Roman" w:hAnsi="Times New Roman" w:cs="Times New Roman"/>
          <w:color w:val="000000" w:themeColor="text1"/>
        </w:rPr>
        <w:t xml:space="preserve">hildren </w:t>
      </w:r>
      <w:r w:rsidR="00AD5D1B" w:rsidRPr="00147194">
        <w:rPr>
          <w:rFonts w:ascii="Times New Roman" w:eastAsia="Times New Roman" w:hAnsi="Times New Roman" w:cs="Times New Roman"/>
          <w:color w:val="000000" w:themeColor="text1"/>
        </w:rPr>
        <w:t xml:space="preserve">achieved </w:t>
      </w:r>
      <w:r w:rsidRPr="00147194">
        <w:rPr>
          <w:rFonts w:ascii="Times New Roman" w:eastAsia="Times New Roman" w:hAnsi="Times New Roman" w:cs="Times New Roman"/>
          <w:color w:val="000000" w:themeColor="text1"/>
        </w:rPr>
        <w:t xml:space="preserve">a high number of </w:t>
      </w:r>
      <w:r w:rsidR="00AD5D1B" w:rsidRPr="00147194">
        <w:rPr>
          <w:rFonts w:ascii="Times New Roman" w:eastAsia="Times New Roman" w:hAnsi="Times New Roman" w:cs="Times New Roman"/>
          <w:color w:val="000000" w:themeColor="text1"/>
        </w:rPr>
        <w:t xml:space="preserve">completions </w:t>
      </w:r>
      <w:r w:rsidRPr="00147194">
        <w:rPr>
          <w:rFonts w:ascii="Times New Roman" w:eastAsia="Times New Roman" w:hAnsi="Times New Roman" w:cs="Times New Roman"/>
          <w:color w:val="000000" w:themeColor="text1"/>
        </w:rPr>
        <w:t>but tend to make many mistakes,</w:t>
      </w:r>
      <w:r w:rsidR="002F609E" w:rsidRPr="00147194">
        <w:rPr>
          <w:rFonts w:ascii="Times New Roman" w:eastAsia="Times New Roman" w:hAnsi="Times New Roman" w:cs="Times New Roman"/>
          <w:color w:val="000000" w:themeColor="text1"/>
        </w:rPr>
        <w:t xml:space="preserve"> </w:t>
      </w:r>
      <w:r w:rsidRPr="00147194">
        <w:rPr>
          <w:rFonts w:ascii="Times New Roman" w:eastAsia="Times New Roman" w:hAnsi="Times New Roman" w:cs="Times New Roman"/>
          <w:color w:val="000000" w:themeColor="text1"/>
        </w:rPr>
        <w:t>resulting a low calculated ratio</w:t>
      </w:r>
      <w:r w:rsidR="00AD5D1B" w:rsidRPr="00147194">
        <w:rPr>
          <w:rFonts w:ascii="Times New Roman" w:eastAsia="Times New Roman" w:hAnsi="Times New Roman" w:cs="Times New Roman"/>
          <w:color w:val="000000" w:themeColor="text1"/>
        </w:rPr>
        <w:t xml:space="preserve"> (</w:t>
      </w:r>
      <w:proofErr w:type="gramStart"/>
      <w:r w:rsidR="00AD5D1B" w:rsidRPr="00147194">
        <w:rPr>
          <w:rFonts w:ascii="Times New Roman" w:eastAsia="Times New Roman" w:hAnsi="Times New Roman" w:cs="Times New Roman"/>
          <w:color w:val="000000" w:themeColor="text1"/>
        </w:rPr>
        <w:t>number</w:t>
      </w:r>
      <w:proofErr w:type="gramEnd"/>
      <w:r w:rsidR="00AD5D1B" w:rsidRPr="00147194">
        <w:rPr>
          <w:rFonts w:ascii="Times New Roman" w:eastAsia="Times New Roman" w:hAnsi="Times New Roman" w:cs="Times New Roman"/>
          <w:color w:val="000000" w:themeColor="text1"/>
        </w:rPr>
        <w:t xml:space="preserve"> of passes/number of achievements)</w:t>
      </w:r>
      <w:r w:rsidRPr="00147194">
        <w:rPr>
          <w:rFonts w:ascii="Times New Roman" w:eastAsia="Times New Roman" w:hAnsi="Times New Roman" w:cs="Times New Roman"/>
          <w:color w:val="000000" w:themeColor="text1"/>
        </w:rPr>
        <w:t xml:space="preserve">. </w:t>
      </w:r>
      <w:r w:rsidR="00AD5D1B" w:rsidRPr="00147194">
        <w:rPr>
          <w:rFonts w:ascii="Times New Roman" w:eastAsia="Times New Roman" w:hAnsi="Times New Roman" w:cs="Times New Roman"/>
          <w:color w:val="000000" w:themeColor="text1"/>
        </w:rPr>
        <w:t xml:space="preserve">These </w:t>
      </w:r>
      <w:r w:rsidRPr="00147194">
        <w:rPr>
          <w:rFonts w:ascii="Times New Roman" w:eastAsia="Times New Roman" w:hAnsi="Times New Roman" w:cs="Times New Roman"/>
          <w:color w:val="000000" w:themeColor="text1"/>
        </w:rPr>
        <w:t xml:space="preserve">children tend to write </w:t>
      </w:r>
      <w:r w:rsidR="00AD5D1B" w:rsidRPr="00147194">
        <w:rPr>
          <w:rFonts w:ascii="Times New Roman" w:eastAsia="Times New Roman" w:hAnsi="Times New Roman" w:cs="Times New Roman"/>
          <w:color w:val="000000" w:themeColor="text1"/>
        </w:rPr>
        <w:t xml:space="preserve">quickly </w:t>
      </w:r>
      <w:r w:rsidRPr="00147194">
        <w:rPr>
          <w:rFonts w:ascii="Times New Roman" w:eastAsia="Times New Roman" w:hAnsi="Times New Roman" w:cs="Times New Roman"/>
          <w:color w:val="000000" w:themeColor="text1"/>
        </w:rPr>
        <w:t>and have a messy handwriting. (b)</w:t>
      </w:r>
      <w:r w:rsidR="00AD5D1B" w:rsidRPr="00147194">
        <w:rPr>
          <w:rFonts w:ascii="Times New Roman" w:eastAsia="Times New Roman" w:hAnsi="Times New Roman" w:cs="Times New Roman"/>
          <w:color w:val="000000" w:themeColor="text1"/>
        </w:rPr>
        <w:t xml:space="preserve"> and </w:t>
      </w:r>
      <w:r w:rsidRPr="00147194">
        <w:rPr>
          <w:rFonts w:ascii="Times New Roman" w:eastAsia="Times New Roman" w:hAnsi="Times New Roman" w:cs="Times New Roman"/>
          <w:color w:val="000000" w:themeColor="text1"/>
        </w:rPr>
        <w:t xml:space="preserve">(d) </w:t>
      </w:r>
      <w:r w:rsidR="00AD5D1B" w:rsidRPr="00147194">
        <w:rPr>
          <w:rFonts w:ascii="Times New Roman" w:eastAsia="Times New Roman" w:hAnsi="Times New Roman" w:cs="Times New Roman"/>
          <w:color w:val="000000" w:themeColor="text1"/>
        </w:rPr>
        <w:t>depict c</w:t>
      </w:r>
      <w:r w:rsidRPr="00147194">
        <w:rPr>
          <w:rFonts w:ascii="Times New Roman" w:eastAsia="Times New Roman" w:hAnsi="Times New Roman" w:cs="Times New Roman"/>
          <w:color w:val="000000" w:themeColor="text1"/>
        </w:rPr>
        <w:t xml:space="preserve">hildren </w:t>
      </w:r>
      <w:r w:rsidR="00AD5D1B" w:rsidRPr="00147194">
        <w:rPr>
          <w:rFonts w:ascii="Times New Roman" w:eastAsia="Times New Roman" w:hAnsi="Times New Roman" w:cs="Times New Roman"/>
          <w:color w:val="000000" w:themeColor="text1"/>
        </w:rPr>
        <w:t>achieved</w:t>
      </w:r>
      <w:r w:rsidRPr="00147194">
        <w:rPr>
          <w:rFonts w:ascii="Times New Roman" w:eastAsia="Times New Roman" w:hAnsi="Times New Roman" w:cs="Times New Roman"/>
          <w:color w:val="000000" w:themeColor="text1"/>
        </w:rPr>
        <w:t xml:space="preserve"> </w:t>
      </w:r>
      <w:r w:rsidR="00AD5D1B" w:rsidRPr="00147194">
        <w:rPr>
          <w:rFonts w:ascii="Times New Roman" w:eastAsia="Times New Roman" w:hAnsi="Times New Roman" w:cs="Times New Roman"/>
          <w:color w:val="000000" w:themeColor="text1"/>
        </w:rPr>
        <w:t>fewer</w:t>
      </w:r>
      <w:r w:rsidRPr="00147194">
        <w:rPr>
          <w:rFonts w:ascii="Times New Roman" w:eastAsia="Times New Roman" w:hAnsi="Times New Roman" w:cs="Times New Roman"/>
          <w:color w:val="000000" w:themeColor="text1"/>
        </w:rPr>
        <w:t xml:space="preserve"> </w:t>
      </w:r>
      <w:r w:rsidR="00AD5D1B" w:rsidRPr="00147194">
        <w:rPr>
          <w:rFonts w:ascii="Times New Roman" w:eastAsia="Times New Roman" w:hAnsi="Times New Roman" w:cs="Times New Roman"/>
          <w:color w:val="000000" w:themeColor="text1"/>
        </w:rPr>
        <w:t>completions</w:t>
      </w:r>
      <w:r w:rsidRPr="00147194">
        <w:rPr>
          <w:rFonts w:ascii="Times New Roman" w:eastAsia="Times New Roman" w:hAnsi="Times New Roman" w:cs="Times New Roman"/>
          <w:color w:val="000000" w:themeColor="text1"/>
        </w:rPr>
        <w:t xml:space="preserve"> but make fewer mistakes, resulting a high calculated ratio. </w:t>
      </w:r>
      <w:r w:rsidR="00AD5D1B" w:rsidRPr="00147194">
        <w:rPr>
          <w:rFonts w:ascii="Times New Roman" w:eastAsia="Times New Roman" w:hAnsi="Times New Roman" w:cs="Times New Roman"/>
          <w:color w:val="000000" w:themeColor="text1"/>
        </w:rPr>
        <w:t xml:space="preserve">These </w:t>
      </w:r>
      <w:r w:rsidRPr="00147194">
        <w:rPr>
          <w:rFonts w:ascii="Times New Roman" w:eastAsia="Times New Roman" w:hAnsi="Times New Roman" w:cs="Times New Roman"/>
          <w:color w:val="000000" w:themeColor="text1"/>
        </w:rPr>
        <w:t>children tend to write slowly and carefully.</w:t>
      </w:r>
    </w:p>
    <w:p w14:paraId="0029FD42" w14:textId="6FE38CEE" w:rsidR="00FB1797" w:rsidRPr="00147194" w:rsidRDefault="00FB1797">
      <w:pPr>
        <w:spacing w:line="360" w:lineRule="auto"/>
        <w:jc w:val="both"/>
        <w:rPr>
          <w:rFonts w:ascii="Times New Roman" w:eastAsia="Times New Roman" w:hAnsi="Times New Roman" w:cs="Times New Roman"/>
          <w:color w:val="000000" w:themeColor="text1"/>
        </w:rPr>
      </w:pPr>
    </w:p>
    <w:sectPr w:rsidR="00FB1797" w:rsidRPr="00147194">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0DD3C" w14:textId="77777777" w:rsidR="00747939" w:rsidRDefault="00747939" w:rsidP="00BA0D23">
      <w:pPr>
        <w:spacing w:line="240" w:lineRule="auto"/>
      </w:pPr>
      <w:r>
        <w:separator/>
      </w:r>
    </w:p>
  </w:endnote>
  <w:endnote w:type="continuationSeparator" w:id="0">
    <w:p w14:paraId="6E111CF6" w14:textId="77777777" w:rsidR="00747939" w:rsidRDefault="00747939" w:rsidP="00BA0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79566" w14:textId="77777777" w:rsidR="00747939" w:rsidRDefault="00747939" w:rsidP="00BA0D23">
      <w:pPr>
        <w:spacing w:line="240" w:lineRule="auto"/>
      </w:pPr>
      <w:r>
        <w:separator/>
      </w:r>
    </w:p>
  </w:footnote>
  <w:footnote w:type="continuationSeparator" w:id="0">
    <w:p w14:paraId="7F0EB5FB" w14:textId="77777777" w:rsidR="00747939" w:rsidRDefault="00747939" w:rsidP="00BA0D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7583D8"/>
    <w:multiLevelType w:val="hybridMultilevel"/>
    <w:tmpl w:val="00000000"/>
    <w:lvl w:ilvl="0" w:tplc="0AD2549A">
      <w:start w:val="1"/>
      <w:numFmt w:val="decimal"/>
      <w:lvlText w:val="%1."/>
      <w:lvlJc w:val="left"/>
      <w:pPr>
        <w:ind w:left="720" w:hanging="360"/>
      </w:pPr>
    </w:lvl>
    <w:lvl w:ilvl="1" w:tplc="22988924">
      <w:start w:val="1"/>
      <w:numFmt w:val="lowerLetter"/>
      <w:lvlText w:val="%2."/>
      <w:lvlJc w:val="left"/>
      <w:pPr>
        <w:ind w:left="1440" w:hanging="360"/>
      </w:pPr>
    </w:lvl>
    <w:lvl w:ilvl="2" w:tplc="91B8B554">
      <w:start w:val="1"/>
      <w:numFmt w:val="lowerRoman"/>
      <w:lvlText w:val="%3."/>
      <w:lvlJc w:val="left"/>
      <w:pPr>
        <w:ind w:left="2160" w:hanging="360"/>
      </w:pPr>
    </w:lvl>
    <w:lvl w:ilvl="3" w:tplc="EF7AAA84">
      <w:start w:val="1"/>
      <w:numFmt w:val="decimal"/>
      <w:lvlText w:val="%4."/>
      <w:lvlJc w:val="left"/>
      <w:pPr>
        <w:ind w:left="2880" w:hanging="360"/>
      </w:pPr>
    </w:lvl>
    <w:lvl w:ilvl="4" w:tplc="1986A0FA">
      <w:start w:val="1"/>
      <w:numFmt w:val="lowerLetter"/>
      <w:lvlText w:val="%5."/>
      <w:lvlJc w:val="left"/>
      <w:pPr>
        <w:ind w:left="3600" w:hanging="360"/>
      </w:pPr>
    </w:lvl>
    <w:lvl w:ilvl="5" w:tplc="1D4EBC0C">
      <w:start w:val="1"/>
      <w:numFmt w:val="lowerRoman"/>
      <w:lvlText w:val="%6."/>
      <w:lvlJc w:val="left"/>
      <w:pPr>
        <w:ind w:left="4320" w:hanging="360"/>
      </w:pPr>
    </w:lvl>
    <w:lvl w:ilvl="6" w:tplc="917A9488">
      <w:start w:val="1"/>
      <w:numFmt w:val="decimal"/>
      <w:lvlText w:val="%7."/>
      <w:lvlJc w:val="left"/>
      <w:pPr>
        <w:ind w:left="5040" w:hanging="360"/>
      </w:pPr>
    </w:lvl>
    <w:lvl w:ilvl="7" w:tplc="B488571E">
      <w:start w:val="1"/>
      <w:numFmt w:val="lowerLetter"/>
      <w:lvlText w:val="%8."/>
      <w:lvlJc w:val="left"/>
      <w:pPr>
        <w:ind w:left="5760" w:hanging="360"/>
      </w:pPr>
    </w:lvl>
    <w:lvl w:ilvl="8" w:tplc="A342CB58">
      <w:start w:val="1"/>
      <w:numFmt w:val="lowerRoman"/>
      <w:lvlText w:val="%9."/>
      <w:lvlJc w:val="left"/>
      <w:pPr>
        <w:ind w:left="6480" w:hanging="360"/>
      </w:pPr>
    </w:lvl>
  </w:abstractNum>
  <w:abstractNum w:abstractNumId="1" w15:restartNumberingAfterBreak="0">
    <w:nsid w:val="7C40720C"/>
    <w:multiLevelType w:val="multilevel"/>
    <w:tmpl w:val="F9ACC9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25531172">
    <w:abstractNumId w:val="0"/>
  </w:num>
  <w:num w:numId="2" w16cid:durableId="966817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97"/>
    <w:rsid w:val="000159E9"/>
    <w:rsid w:val="0002648F"/>
    <w:rsid w:val="00026A5C"/>
    <w:rsid w:val="00032DB9"/>
    <w:rsid w:val="00033F93"/>
    <w:rsid w:val="000576C3"/>
    <w:rsid w:val="00113B7B"/>
    <w:rsid w:val="00125AD6"/>
    <w:rsid w:val="00125CE1"/>
    <w:rsid w:val="00147194"/>
    <w:rsid w:val="00182F39"/>
    <w:rsid w:val="00187AA7"/>
    <w:rsid w:val="001B1B6C"/>
    <w:rsid w:val="001B5486"/>
    <w:rsid w:val="00211783"/>
    <w:rsid w:val="002355AC"/>
    <w:rsid w:val="00245E4E"/>
    <w:rsid w:val="00255E32"/>
    <w:rsid w:val="0029510B"/>
    <w:rsid w:val="00297331"/>
    <w:rsid w:val="002A15D6"/>
    <w:rsid w:val="002D141F"/>
    <w:rsid w:val="002E24E8"/>
    <w:rsid w:val="002F609E"/>
    <w:rsid w:val="00317255"/>
    <w:rsid w:val="003C6736"/>
    <w:rsid w:val="004436FA"/>
    <w:rsid w:val="00455318"/>
    <w:rsid w:val="004855A0"/>
    <w:rsid w:val="004C601B"/>
    <w:rsid w:val="004C771E"/>
    <w:rsid w:val="004D3F06"/>
    <w:rsid w:val="00512069"/>
    <w:rsid w:val="00523438"/>
    <w:rsid w:val="005434D4"/>
    <w:rsid w:val="00552C85"/>
    <w:rsid w:val="005A3A2A"/>
    <w:rsid w:val="006305C3"/>
    <w:rsid w:val="00643138"/>
    <w:rsid w:val="006641A3"/>
    <w:rsid w:val="006670A5"/>
    <w:rsid w:val="00667B4D"/>
    <w:rsid w:val="00667CD1"/>
    <w:rsid w:val="006A2745"/>
    <w:rsid w:val="006C46B3"/>
    <w:rsid w:val="00747939"/>
    <w:rsid w:val="00752014"/>
    <w:rsid w:val="007945E8"/>
    <w:rsid w:val="0079661E"/>
    <w:rsid w:val="007D3EA8"/>
    <w:rsid w:val="007D510B"/>
    <w:rsid w:val="007E05B4"/>
    <w:rsid w:val="007E5E44"/>
    <w:rsid w:val="007F1D7D"/>
    <w:rsid w:val="007F66E3"/>
    <w:rsid w:val="008446D9"/>
    <w:rsid w:val="0088059C"/>
    <w:rsid w:val="00881C41"/>
    <w:rsid w:val="0091470B"/>
    <w:rsid w:val="00920C01"/>
    <w:rsid w:val="00926199"/>
    <w:rsid w:val="00933200"/>
    <w:rsid w:val="009538AE"/>
    <w:rsid w:val="00957F8F"/>
    <w:rsid w:val="009A0E27"/>
    <w:rsid w:val="009C5676"/>
    <w:rsid w:val="009E69AD"/>
    <w:rsid w:val="009F1C24"/>
    <w:rsid w:val="009F2782"/>
    <w:rsid w:val="009F516F"/>
    <w:rsid w:val="00A03AB0"/>
    <w:rsid w:val="00A50B69"/>
    <w:rsid w:val="00A71343"/>
    <w:rsid w:val="00AD1BE2"/>
    <w:rsid w:val="00AD5D1B"/>
    <w:rsid w:val="00B07EB7"/>
    <w:rsid w:val="00B2202A"/>
    <w:rsid w:val="00B91292"/>
    <w:rsid w:val="00BA0D23"/>
    <w:rsid w:val="00BD7AEA"/>
    <w:rsid w:val="00CA6A76"/>
    <w:rsid w:val="00CB54D8"/>
    <w:rsid w:val="00CB6926"/>
    <w:rsid w:val="00CE3E22"/>
    <w:rsid w:val="00D81DC8"/>
    <w:rsid w:val="00D949BA"/>
    <w:rsid w:val="00DA14A7"/>
    <w:rsid w:val="00DA5C3E"/>
    <w:rsid w:val="00DC2EC4"/>
    <w:rsid w:val="00E54C2B"/>
    <w:rsid w:val="00E93FBC"/>
    <w:rsid w:val="00E97BCF"/>
    <w:rsid w:val="00EA5DBD"/>
    <w:rsid w:val="00EC429E"/>
    <w:rsid w:val="00F11B11"/>
    <w:rsid w:val="00F30E55"/>
    <w:rsid w:val="00F70ACB"/>
    <w:rsid w:val="00F73D0A"/>
    <w:rsid w:val="00F74B79"/>
    <w:rsid w:val="00FB1797"/>
    <w:rsid w:val="00FE775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29FD01"/>
  <w15:docId w15:val="{62FCC8B6-249E-4E9C-8C2E-8FD17F3F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a">
    <w:name w:val="Normal"/>
    <w:qFormat/>
    <w:pPr>
      <w:spacing w:line="276" w:lineRule="auto"/>
    </w:pPr>
    <w:rPr>
      <w:rFonts w:ascii="Arial" w:eastAsia="Arial" w:hAnsi="Arial" w:cs="Arial"/>
      <w:sz w:val="22"/>
    </w:rPr>
  </w:style>
  <w:style w:type="paragraph" w:styleId="1">
    <w:name w:val="heading 1"/>
    <w:basedOn w:val="a"/>
    <w:qFormat/>
    <w:pPr>
      <w:keepNext/>
      <w:keepLines/>
      <w:spacing w:before="280" w:after="80"/>
      <w:outlineLvl w:val="0"/>
    </w:pPr>
    <w:rPr>
      <w:rFonts w:ascii="游ゴシック Light" w:eastAsia="游ゴシック Light" w:hAnsi="游ゴシック Light" w:cs="游ゴシック Light"/>
      <w:color w:val="000000"/>
      <w:sz w:val="32"/>
    </w:rPr>
  </w:style>
  <w:style w:type="paragraph" w:styleId="2">
    <w:name w:val="heading 2"/>
    <w:basedOn w:val="a"/>
    <w:qFormat/>
    <w:pPr>
      <w:keepNext/>
      <w:keepLines/>
      <w:spacing w:before="160" w:after="80"/>
      <w:outlineLvl w:val="1"/>
    </w:pPr>
    <w:rPr>
      <w:rFonts w:ascii="游ゴシック Light" w:eastAsia="游ゴシック Light" w:hAnsi="游ゴシック Light" w:cs="游ゴシック Light"/>
      <w:color w:val="000000"/>
      <w:sz w:val="28"/>
    </w:rPr>
  </w:style>
  <w:style w:type="paragraph" w:styleId="3">
    <w:name w:val="heading 3"/>
    <w:basedOn w:val="a"/>
    <w:qFormat/>
    <w:pPr>
      <w:keepNext/>
      <w:keepLines/>
      <w:spacing w:before="160" w:after="80"/>
      <w:outlineLvl w:val="2"/>
    </w:pPr>
    <w:rPr>
      <w:rFonts w:ascii="游ゴシック Light" w:eastAsia="游ゴシック Light" w:hAnsi="游ゴシック Light" w:cs="游ゴシック Light"/>
      <w:color w:val="000000"/>
      <w:sz w:val="24"/>
    </w:rPr>
  </w:style>
  <w:style w:type="paragraph" w:styleId="4">
    <w:name w:val="heading 4"/>
    <w:basedOn w:val="a"/>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basedOn w:val="a"/>
    <w:pPr>
      <w:keepNext/>
      <w:keepLines/>
      <w:spacing w:before="80" w:after="40"/>
      <w:ind w:left="300"/>
      <w:outlineLvl w:val="6"/>
    </w:pPr>
    <w:rPr>
      <w:rFonts w:ascii="游ゴシック Light" w:eastAsia="游ゴシック Light" w:hAnsi="游ゴシック Light" w:cs="游ゴシック Light"/>
      <w:color w:val="000000"/>
    </w:rPr>
  </w:style>
  <w:style w:type="paragraph" w:styleId="8">
    <w:name w:val="heading 8"/>
    <w:basedOn w:val="a"/>
    <w:pPr>
      <w:keepNext/>
      <w:keepLines/>
      <w:spacing w:before="80" w:after="40"/>
      <w:ind w:left="400"/>
      <w:outlineLvl w:val="7"/>
    </w:pPr>
    <w:rPr>
      <w:rFonts w:ascii="游ゴシック Light" w:eastAsia="游ゴシック Light" w:hAnsi="游ゴシック Light" w:cs="游ゴシック Light"/>
      <w:color w:val="000000"/>
    </w:rPr>
  </w:style>
  <w:style w:type="paragraph" w:styleId="9">
    <w:name w:val="heading 9"/>
    <w:basedOn w:val="a"/>
    <w:pPr>
      <w:keepNext/>
      <w:keepLines/>
      <w:spacing w:before="80" w:after="40"/>
      <w:ind w:left="500"/>
      <w:outlineLvl w:val="8"/>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11">
    <w:name w:val="TOC 11"/>
    <w:basedOn w:val="a"/>
    <w:pPr>
      <w:spacing w:line="305" w:lineRule="auto"/>
    </w:pPr>
    <w:rPr>
      <w:rFonts w:ascii="Calibri" w:eastAsia="Calibri" w:hAnsi="Calibri" w:cs="Calibri"/>
      <w:sz w:val="26"/>
    </w:rPr>
  </w:style>
  <w:style w:type="paragraph" w:customStyle="1" w:styleId="TOC21">
    <w:name w:val="TOC 21"/>
    <w:basedOn w:val="a"/>
    <w:pPr>
      <w:spacing w:line="330" w:lineRule="auto"/>
    </w:pPr>
    <w:rPr>
      <w:rFonts w:ascii="Calibri" w:eastAsia="Calibri" w:hAnsi="Calibri" w:cs="Calibri"/>
      <w:sz w:val="24"/>
    </w:rPr>
  </w:style>
  <w:style w:type="paragraph" w:customStyle="1" w:styleId="TOC31">
    <w:name w:val="TOC 31"/>
    <w:basedOn w:val="a"/>
    <w:pPr>
      <w:spacing w:line="360" w:lineRule="auto"/>
    </w:pPr>
    <w:rPr>
      <w:rFonts w:ascii="Calibri" w:eastAsia="Calibri" w:hAnsi="Calibri" w:cs="Calibri"/>
    </w:rPr>
  </w:style>
  <w:style w:type="paragraph" w:customStyle="1" w:styleId="TOC41">
    <w:name w:val="TOC 41"/>
    <w:basedOn w:val="a"/>
    <w:pPr>
      <w:spacing w:line="330" w:lineRule="exact"/>
    </w:pPr>
    <w:rPr>
      <w:rFonts w:ascii="Calibri" w:eastAsia="Calibri" w:hAnsi="Calibri" w:cs="Calibri"/>
    </w:rPr>
  </w:style>
  <w:style w:type="paragraph" w:customStyle="1" w:styleId="TOC51">
    <w:name w:val="TOC 51"/>
    <w:basedOn w:val="a"/>
    <w:pPr>
      <w:spacing w:line="330" w:lineRule="exact"/>
    </w:pPr>
    <w:rPr>
      <w:rFonts w:ascii="Calibri" w:eastAsia="Calibri" w:hAnsi="Calibri" w:cs="Calibri"/>
    </w:rPr>
  </w:style>
  <w:style w:type="paragraph" w:customStyle="1" w:styleId="TOC61">
    <w:name w:val="TOC 61"/>
    <w:basedOn w:val="a"/>
    <w:pPr>
      <w:spacing w:line="330" w:lineRule="exact"/>
    </w:pPr>
    <w:rPr>
      <w:rFonts w:ascii="Calibri" w:eastAsia="Calibri" w:hAnsi="Calibri" w:cs="Calibri"/>
    </w:rPr>
  </w:style>
  <w:style w:type="paragraph" w:customStyle="1" w:styleId="TOC71">
    <w:name w:val="TOC 71"/>
    <w:basedOn w:val="a"/>
    <w:pPr>
      <w:spacing w:line="330" w:lineRule="exact"/>
    </w:pPr>
    <w:rPr>
      <w:rFonts w:ascii="Calibri" w:eastAsia="Calibri" w:hAnsi="Calibri" w:cs="Calibri"/>
    </w:rPr>
  </w:style>
  <w:style w:type="paragraph" w:customStyle="1" w:styleId="TOC81">
    <w:name w:val="TOC 81"/>
    <w:basedOn w:val="a"/>
    <w:pPr>
      <w:spacing w:line="330" w:lineRule="exact"/>
    </w:pPr>
    <w:rPr>
      <w:rFonts w:ascii="Calibri" w:eastAsia="Calibri" w:hAnsi="Calibri" w:cs="Calibri"/>
    </w:rPr>
  </w:style>
  <w:style w:type="paragraph" w:customStyle="1" w:styleId="TOC91">
    <w:name w:val="TOC 91"/>
    <w:basedOn w:val="a"/>
    <w:pPr>
      <w:spacing w:line="330" w:lineRule="exact"/>
    </w:pPr>
    <w:rPr>
      <w:rFonts w:ascii="Calibri" w:eastAsia="Calibri" w:hAnsi="Calibri" w:cs="Calibri"/>
    </w:rPr>
  </w:style>
  <w:style w:type="table" w:styleId="a3">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customStyle="1" w:styleId="CommentReference1">
    <w:name w:val="Comment Reference1"/>
    <w:basedOn w:val="a0"/>
    <w:rPr>
      <w:sz w:val="16"/>
    </w:rPr>
  </w:style>
  <w:style w:type="character" w:customStyle="1" w:styleId="EndnoteReference1">
    <w:name w:val="Endnote Reference1"/>
    <w:basedOn w:val="a0"/>
    <w:rPr>
      <w:vertAlign w:val="superscript"/>
    </w:rPr>
  </w:style>
  <w:style w:type="character" w:customStyle="1" w:styleId="FootnoteReference1">
    <w:name w:val="Footnote Reference1"/>
    <w:basedOn w:val="a0"/>
    <w:rPr>
      <w:vertAlign w:val="superscript"/>
    </w:rPr>
  </w:style>
  <w:style w:type="paragraph" w:styleId="a4">
    <w:name w:val="Title"/>
    <w:basedOn w:val="a"/>
    <w:qFormat/>
    <w:pPr>
      <w:spacing w:after="80"/>
      <w:contextualSpacing/>
      <w:jc w:val="center"/>
    </w:pPr>
    <w:rPr>
      <w:rFonts w:ascii="游ゴシック Light" w:eastAsia="游ゴシック Light" w:hAnsi="游ゴシック Light" w:cs="游ゴシック Light"/>
      <w:sz w:val="56"/>
    </w:rPr>
  </w:style>
  <w:style w:type="paragraph" w:styleId="a5">
    <w:name w:val="Subtitle"/>
    <w:basedOn w:val="a"/>
    <w:qFormat/>
    <w:pPr>
      <w:spacing w:after="160"/>
      <w:jc w:val="center"/>
    </w:pPr>
    <w:rPr>
      <w:rFonts w:ascii="游ゴシック Light" w:eastAsia="游ゴシック Light" w:hAnsi="游ゴシック Light" w:cs="游ゴシック Light"/>
      <w:color w:val="595959"/>
      <w:sz w:val="28"/>
    </w:rPr>
  </w:style>
  <w:style w:type="paragraph" w:styleId="a6">
    <w:name w:val="Quote"/>
    <w:basedOn w:val="a"/>
    <w:qFormat/>
    <w:pPr>
      <w:spacing w:before="160" w:after="160"/>
      <w:jc w:val="center"/>
    </w:pPr>
    <w:rPr>
      <w:i/>
      <w:color w:val="404040"/>
    </w:rPr>
  </w:style>
  <w:style w:type="paragraph" w:styleId="a7">
    <w:name w:val="List Paragraph"/>
    <w:basedOn w:val="a"/>
    <w:pPr>
      <w:ind w:left="720"/>
      <w:contextualSpacing/>
    </w:pPr>
  </w:style>
  <w:style w:type="character" w:styleId="20">
    <w:name w:val="Intense Emphasis"/>
    <w:basedOn w:val="a0"/>
    <w:qFormat/>
    <w:rPr>
      <w:i/>
      <w:color w:val="0F4761"/>
    </w:rPr>
  </w:style>
  <w:style w:type="paragraph" w:styleId="21">
    <w:name w:val="Intense Quote"/>
    <w:basedOn w:val="a"/>
    <w:qFormat/>
    <w:pPr>
      <w:pBdr>
        <w:top w:val="single" w:sz="4" w:space="10" w:color="0F4761"/>
        <w:bottom w:val="single" w:sz="4" w:space="10" w:color="0F4761"/>
      </w:pBdr>
      <w:spacing w:before="360" w:after="360"/>
      <w:ind w:left="864" w:right="864"/>
      <w:jc w:val="center"/>
    </w:pPr>
    <w:rPr>
      <w:i/>
      <w:color w:val="0F4761"/>
    </w:rPr>
  </w:style>
  <w:style w:type="character" w:styleId="22">
    <w:name w:val="Intense Reference"/>
    <w:basedOn w:val="a0"/>
    <w:rPr>
      <w:b/>
      <w:color w:val="0F4761"/>
    </w:rPr>
  </w:style>
  <w:style w:type="character" w:styleId="a8">
    <w:name w:val="annotation reference"/>
    <w:basedOn w:val="a0"/>
    <w:rPr>
      <w:sz w:val="18"/>
    </w:rPr>
  </w:style>
  <w:style w:type="paragraph" w:styleId="a9">
    <w:name w:val="annotation text"/>
    <w:basedOn w:val="a"/>
  </w:style>
  <w:style w:type="paragraph" w:styleId="aa">
    <w:name w:val="Balloon Text"/>
    <w:basedOn w:val="a"/>
    <w:pPr>
      <w:spacing w:line="240" w:lineRule="auto"/>
    </w:pPr>
    <w:rPr>
      <w:rFonts w:ascii="ＭＳ 明朝" w:eastAsia="ＭＳ 明朝" w:hAnsi="ＭＳ 明朝" w:cs="ＭＳ 明朝"/>
      <w:sz w:val="18"/>
    </w:rPr>
  </w:style>
  <w:style w:type="paragraph" w:styleId="ab">
    <w:name w:val="annotation subject"/>
    <w:basedOn w:val="a9"/>
    <w:rPr>
      <w:b/>
    </w:rPr>
  </w:style>
  <w:style w:type="character" w:styleId="ac">
    <w:name w:val="Emphasis"/>
    <w:basedOn w:val="a0"/>
    <w:qFormat/>
    <w:rPr>
      <w:i/>
    </w:rPr>
  </w:style>
  <w:style w:type="paragraph" w:customStyle="1" w:styleId="TableList">
    <w:name w:val="Table List"/>
    <w:basedOn w:val="a"/>
    <w:pPr>
      <w:ind w:left="300" w:hanging="300"/>
    </w:pPr>
    <w:rPr>
      <w:rFonts w:ascii="Calibri" w:eastAsia="Calibri" w:hAnsi="Calibri" w:cs="Calibri"/>
      <w:sz w:val="20"/>
    </w:rPr>
  </w:style>
  <w:style w:type="character" w:customStyle="1" w:styleId="Conference">
    <w:name w:val="Conference"/>
    <w:basedOn w:val="a0"/>
    <w:rPr>
      <w:shd w:val="clear" w:color="auto" w:fill="FFAFBC"/>
    </w:rPr>
  </w:style>
  <w:style w:type="character" w:customStyle="1" w:styleId="Organization">
    <w:name w:val="Organization"/>
    <w:basedOn w:val="a0"/>
    <w:rPr>
      <w:shd w:val="clear" w:color="auto" w:fill="D1FFB5"/>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character" w:customStyle="1" w:styleId="FamilyName">
    <w:name w:val="Family Name"/>
    <w:basedOn w:val="a0"/>
    <w:rPr>
      <w:shd w:val="clear" w:color="auto" w:fill="88F4BE"/>
    </w:rPr>
  </w:style>
  <w:style w:type="paragraph" w:customStyle="1" w:styleId="CommentText0">
    <w:name w:val="Comment Text_0"/>
    <w:basedOn w:val="a"/>
    <w:rPr>
      <w:rFonts w:ascii="Calibri" w:eastAsia="Calibri" w:hAnsi="Calibri" w:cs="Calibri"/>
      <w:sz w:val="20"/>
    </w:rPr>
  </w:style>
  <w:style w:type="character" w:customStyle="1" w:styleId="Label">
    <w:name w:val="Label"/>
    <w:basedOn w:val="a0"/>
    <w:rPr>
      <w:shd w:val="clear" w:color="auto" w:fill="FFC391"/>
      <w:vertAlign w:val="baseline"/>
    </w:rPr>
  </w:style>
  <w:style w:type="paragraph" w:customStyle="1" w:styleId="Reference">
    <w:name w:val="Reference"/>
    <w:basedOn w:val="a"/>
    <w:pPr>
      <w:spacing w:after="320" w:line="360" w:lineRule="auto"/>
      <w:ind w:left="400" w:hanging="400"/>
      <w:jc w:val="both"/>
    </w:pPr>
    <w:rPr>
      <w:rFonts w:ascii="Calibri" w:eastAsia="Calibri" w:hAnsi="Calibri" w:cs="Calibri"/>
    </w:rPr>
  </w:style>
  <w:style w:type="character" w:customStyle="1" w:styleId="NameScientific">
    <w:name w:val="Name Scientific"/>
    <w:basedOn w:val="a0"/>
    <w:rPr>
      <w:shd w:val="clear" w:color="auto" w:fill="91E0FF"/>
    </w:rPr>
  </w:style>
  <w:style w:type="character" w:styleId="ad">
    <w:name w:val="Hyperlink"/>
    <w:basedOn w:val="a0"/>
    <w:rPr>
      <w:color w:val="0563C1"/>
    </w:rPr>
  </w:style>
  <w:style w:type="paragraph" w:customStyle="1" w:styleId="Surtitle">
    <w:name w:val="Surtitle"/>
    <w:basedOn w:val="a"/>
    <w:qFormat/>
    <w:pPr>
      <w:spacing w:after="160" w:line="208" w:lineRule="auto"/>
    </w:pPr>
    <w:rPr>
      <w:rFonts w:ascii="Calibri" w:eastAsia="Calibri" w:hAnsi="Calibri" w:cs="Calibri"/>
      <w:sz w:val="38"/>
    </w:rPr>
  </w:style>
  <w:style w:type="paragraph" w:styleId="ae">
    <w:name w:val="Normal Indent"/>
    <w:basedOn w:val="a"/>
    <w:qFormat/>
    <w:pPr>
      <w:ind w:firstLine="480"/>
    </w:pPr>
  </w:style>
  <w:style w:type="character" w:customStyle="1" w:styleId="GrantID">
    <w:name w:val="Grant ID"/>
    <w:basedOn w:val="a0"/>
    <w:rPr>
      <w:shd w:val="clear" w:color="auto" w:fill="DDA5FF"/>
    </w:rPr>
  </w:style>
  <w:style w:type="paragraph" w:customStyle="1" w:styleId="Abstract">
    <w:name w:val="Abstract"/>
    <w:basedOn w:val="a"/>
    <w:pPr>
      <w:spacing w:after="160" w:line="360" w:lineRule="auto"/>
      <w:ind w:left="1440" w:right="1440"/>
      <w:jc w:val="both"/>
    </w:pPr>
    <w:rPr>
      <w:rFonts w:ascii="Calibri" w:eastAsia="Calibri" w:hAnsi="Calibri" w:cs="Calibri"/>
    </w:rPr>
  </w:style>
  <w:style w:type="paragraph" w:customStyle="1" w:styleId="TableBody">
    <w:name w:val="Table Body"/>
    <w:basedOn w:val="a"/>
    <w:pPr>
      <w:spacing w:after="160" w:line="396" w:lineRule="auto"/>
    </w:pPr>
    <w:rPr>
      <w:rFonts w:ascii="Calibri" w:eastAsia="Calibri" w:hAnsi="Calibri" w:cs="Calibri"/>
      <w:sz w:val="20"/>
    </w:rPr>
  </w:style>
  <w:style w:type="paragraph" w:styleId="50">
    <w:name w:val="List 5"/>
    <w:basedOn w:val="a"/>
    <w:pPr>
      <w:spacing w:line="360" w:lineRule="auto"/>
      <w:ind w:left="1800" w:hanging="400"/>
    </w:pPr>
    <w:rPr>
      <w:rFonts w:ascii="Calibri" w:eastAsia="Calibri" w:hAnsi="Calibri" w:cs="Calibri"/>
    </w:rPr>
  </w:style>
  <w:style w:type="character" w:customStyle="1" w:styleId="Heading">
    <w:name w:val="Heading:"/>
    <w:basedOn w:val="a0"/>
    <w:rPr>
      <w:color w:val="5B89C1"/>
    </w:rPr>
  </w:style>
  <w:style w:type="character" w:customStyle="1" w:styleId="DatabaseLink">
    <w:name w:val="Database Link"/>
    <w:basedOn w:val="a0"/>
    <w:rPr>
      <w:shd w:val="clear" w:color="auto" w:fill="AFBEFF"/>
    </w:rPr>
  </w:style>
  <w:style w:type="paragraph" w:customStyle="1" w:styleId="QuotationSource">
    <w:name w:val="Quotation Source"/>
    <w:basedOn w:val="a"/>
    <w:pPr>
      <w:spacing w:after="170" w:line="360" w:lineRule="auto"/>
      <w:ind w:left="1200"/>
      <w:jc w:val="right"/>
    </w:pPr>
    <w:rPr>
      <w:rFonts w:ascii="Calibri" w:eastAsia="Calibri" w:hAnsi="Calibri" w:cs="Calibri"/>
    </w:rPr>
  </w:style>
  <w:style w:type="character" w:customStyle="1" w:styleId="GeneSequence">
    <w:name w:val="Gene Sequence"/>
    <w:basedOn w:val="a0"/>
    <w:rPr>
      <w:shd w:val="clear" w:color="auto" w:fill="FFCDF2"/>
    </w:rPr>
  </w:style>
  <w:style w:type="paragraph" w:customStyle="1" w:styleId="Annotation">
    <w:name w:val="Annotation"/>
    <w:basedOn w:val="a"/>
    <w:pPr>
      <w:spacing w:after="160" w:line="360" w:lineRule="auto"/>
      <w:ind w:left="400"/>
    </w:pPr>
    <w:rPr>
      <w:rFonts w:ascii="Calibri" w:eastAsia="Calibri" w:hAnsi="Calibri" w:cs="Calibri"/>
    </w:rPr>
  </w:style>
  <w:style w:type="paragraph" w:customStyle="1" w:styleId="AbstractSubheading">
    <w:name w:val="Abstract Subheading"/>
    <w:basedOn w:val="a"/>
    <w:pPr>
      <w:numPr>
        <w:ilvl w:val="8"/>
      </w:numPr>
      <w:ind w:left="1440"/>
      <w:outlineLvl w:val="8"/>
    </w:pPr>
  </w:style>
  <w:style w:type="paragraph" w:customStyle="1" w:styleId="Note">
    <w:name w:val="Note"/>
    <w:basedOn w:val="a"/>
    <w:pPr>
      <w:shd w:val="clear" w:color="auto" w:fill="EDF0FF"/>
      <w:spacing w:line="432" w:lineRule="auto"/>
    </w:pPr>
    <w:rPr>
      <w:rFonts w:ascii="Calibri" w:eastAsia="Calibri" w:hAnsi="Calibri" w:cs="Calibri"/>
      <w:sz w:val="20"/>
      <w:shd w:val="clear" w:color="auto" w:fill="EDF0FF"/>
    </w:rPr>
  </w:style>
  <w:style w:type="paragraph" w:customStyle="1" w:styleId="TableHeadSpan">
    <w:name w:val="Table Head Span"/>
    <w:basedOn w:val="a"/>
    <w:pPr>
      <w:shd w:val="clear" w:color="auto" w:fill="FFEDFA"/>
    </w:pPr>
    <w:rPr>
      <w:rFonts w:ascii="Calibri" w:eastAsia="Calibri" w:hAnsi="Calibri" w:cs="Calibri"/>
      <w:shd w:val="clear" w:color="auto" w:fill="FFEDFA"/>
    </w:rPr>
  </w:style>
  <w:style w:type="paragraph" w:customStyle="1" w:styleId="Formula">
    <w:name w:val="Formula"/>
    <w:basedOn w:val="a"/>
    <w:pPr>
      <w:shd w:val="clear" w:color="auto" w:fill="FFF5ED"/>
      <w:spacing w:before="120" w:after="120" w:line="360" w:lineRule="auto"/>
    </w:pPr>
    <w:rPr>
      <w:rFonts w:ascii="Calibri" w:eastAsia="Calibri" w:hAnsi="Calibri" w:cs="Calibri"/>
      <w:shd w:val="clear" w:color="auto" w:fill="FFF5ED"/>
    </w:rPr>
  </w:style>
  <w:style w:type="character" w:customStyle="1" w:styleId="GivenName">
    <w:name w:val="Given Name"/>
    <w:basedOn w:val="a0"/>
    <w:rPr>
      <w:shd w:val="clear" w:color="auto" w:fill="D0FCE2"/>
    </w:rPr>
  </w:style>
  <w:style w:type="character" w:customStyle="1" w:styleId="GlossaryTerm">
    <w:name w:val="Glossary Term"/>
    <w:basedOn w:val="a0"/>
    <w:rPr>
      <w:shd w:val="clear" w:color="auto" w:fill="FFCFD7"/>
    </w:rPr>
  </w:style>
  <w:style w:type="paragraph" w:customStyle="1" w:styleId="Authors">
    <w:name w:val="Authors"/>
    <w:basedOn w:val="a"/>
    <w:pPr>
      <w:spacing w:before="360" w:after="120" w:line="283" w:lineRule="auto"/>
    </w:pPr>
    <w:rPr>
      <w:rFonts w:ascii="Calibri" w:eastAsia="Calibri" w:hAnsi="Calibri" w:cs="Calibri"/>
      <w:sz w:val="28"/>
    </w:rPr>
  </w:style>
  <w:style w:type="character" w:customStyle="1" w:styleId="PageNumbers">
    <w:name w:val="Page Numbers"/>
    <w:basedOn w:val="a0"/>
    <w:rPr>
      <w:shd w:val="clear" w:color="auto" w:fill="FFEDF0"/>
    </w:rPr>
  </w:style>
  <w:style w:type="character" w:customStyle="1" w:styleId="IssueNumber">
    <w:name w:val="Issue Number"/>
    <w:basedOn w:val="a0"/>
    <w:rPr>
      <w:shd w:val="clear" w:color="auto" w:fill="CDD5FF"/>
    </w:rPr>
  </w:style>
  <w:style w:type="paragraph" w:styleId="23">
    <w:name w:val="List 2"/>
    <w:basedOn w:val="a"/>
    <w:pPr>
      <w:spacing w:line="360" w:lineRule="auto"/>
      <w:ind w:left="800" w:hanging="400"/>
      <w:jc w:val="both"/>
    </w:pPr>
    <w:rPr>
      <w:rFonts w:ascii="Calibri" w:eastAsia="Calibri" w:hAnsi="Calibri" w:cs="Calibri"/>
    </w:rPr>
  </w:style>
  <w:style w:type="character" w:customStyle="1" w:styleId="Edition">
    <w:name w:val="Edition"/>
    <w:basedOn w:val="a0"/>
    <w:rPr>
      <w:shd w:val="clear" w:color="auto" w:fill="FFF6A4"/>
    </w:rPr>
  </w:style>
  <w:style w:type="character" w:customStyle="1" w:styleId="Country">
    <w:name w:val="Country"/>
    <w:basedOn w:val="a0"/>
    <w:rPr>
      <w:shd w:val="clear" w:color="auto" w:fill="97C5D1"/>
    </w:rPr>
  </w:style>
  <w:style w:type="character" w:customStyle="1" w:styleId="Source">
    <w:name w:val="Source"/>
    <w:basedOn w:val="a0"/>
    <w:rPr>
      <w:shd w:val="clear" w:color="auto" w:fill="C1EDFF"/>
    </w:rPr>
  </w:style>
  <w:style w:type="paragraph" w:customStyle="1" w:styleId="Keywords">
    <w:name w:val="Keywords"/>
    <w:basedOn w:val="a"/>
    <w:pPr>
      <w:spacing w:line="396" w:lineRule="auto"/>
      <w:ind w:left="1000"/>
    </w:pPr>
    <w:rPr>
      <w:rFonts w:ascii="Calibri" w:eastAsia="Calibri" w:hAnsi="Calibri" w:cs="Calibri"/>
      <w:sz w:val="20"/>
    </w:rPr>
  </w:style>
  <w:style w:type="character" w:customStyle="1" w:styleId="Cross-reference">
    <w:name w:val="Cross-reference"/>
    <w:basedOn w:val="a0"/>
    <w:rPr>
      <w:shd w:val="clear" w:color="auto" w:fill="FFE3C9"/>
    </w:rPr>
  </w:style>
  <w:style w:type="paragraph" w:customStyle="1" w:styleId="Correspondence">
    <w:name w:val="Correspondence"/>
    <w:basedOn w:val="a"/>
    <w:pPr>
      <w:shd w:val="clear" w:color="auto" w:fill="F3F7F9"/>
      <w:spacing w:before="240" w:after="120" w:line="396" w:lineRule="auto"/>
      <w:ind w:left="400" w:hanging="400"/>
    </w:pPr>
    <w:rPr>
      <w:rFonts w:ascii="Calibri" w:eastAsia="Calibri" w:hAnsi="Calibri" w:cs="Calibri"/>
      <w:sz w:val="20"/>
      <w:shd w:val="clear" w:color="auto" w:fill="F3F7F9"/>
    </w:rPr>
  </w:style>
  <w:style w:type="character" w:customStyle="1" w:styleId="ArticleTitle">
    <w:name w:val="Article Title"/>
    <w:basedOn w:val="a0"/>
    <w:qFormat/>
    <w:rPr>
      <w:shd w:val="clear" w:color="auto" w:fill="E9F9FF"/>
    </w:rPr>
  </w:style>
  <w:style w:type="paragraph" w:customStyle="1" w:styleId="Acknowledgements">
    <w:name w:val="Acknowledgements"/>
    <w:basedOn w:val="a"/>
    <w:pPr>
      <w:shd w:val="clear" w:color="auto" w:fill="F9EDFF"/>
      <w:spacing w:after="160" w:line="396" w:lineRule="auto"/>
      <w:jc w:val="both"/>
    </w:pPr>
    <w:rPr>
      <w:rFonts w:ascii="Calibri" w:eastAsia="Calibri" w:hAnsi="Calibri" w:cs="Calibri"/>
      <w:sz w:val="20"/>
      <w:shd w:val="clear" w:color="auto" w:fill="F9EDFF"/>
    </w:rPr>
  </w:style>
  <w:style w:type="paragraph" w:styleId="30">
    <w:name w:val="List 3"/>
    <w:basedOn w:val="a"/>
    <w:pPr>
      <w:spacing w:line="360" w:lineRule="auto"/>
      <w:ind w:left="1200" w:hanging="400"/>
      <w:jc w:val="both"/>
    </w:pPr>
    <w:rPr>
      <w:rFonts w:ascii="Calibri" w:eastAsia="Calibri" w:hAnsi="Calibri" w:cs="Calibri"/>
    </w:rPr>
  </w:style>
  <w:style w:type="paragraph" w:customStyle="1" w:styleId="Biography">
    <w:name w:val="Biography"/>
    <w:basedOn w:val="a"/>
    <w:pPr>
      <w:shd w:val="clear" w:color="auto" w:fill="EEFEF4"/>
      <w:spacing w:after="160" w:line="396" w:lineRule="auto"/>
    </w:pPr>
    <w:rPr>
      <w:rFonts w:ascii="Calibri" w:eastAsia="Calibri" w:hAnsi="Calibri" w:cs="Calibri"/>
      <w:sz w:val="20"/>
      <w:shd w:val="clear" w:color="auto" w:fill="EEFEF4"/>
    </w:rPr>
  </w:style>
  <w:style w:type="character" w:customStyle="1" w:styleId="Publisher">
    <w:name w:val="Publisher"/>
    <w:basedOn w:val="a0"/>
    <w:rPr>
      <w:shd w:val="clear" w:color="auto" w:fill="F2DDFF"/>
    </w:rPr>
  </w:style>
  <w:style w:type="paragraph" w:customStyle="1" w:styleId="List7">
    <w:name w:val="List 7"/>
    <w:basedOn w:val="a"/>
    <w:pPr>
      <w:spacing w:line="360" w:lineRule="auto"/>
      <w:ind w:left="1920" w:hanging="400"/>
    </w:pPr>
    <w:rPr>
      <w:rFonts w:ascii="Calibri" w:eastAsia="Calibri" w:hAnsi="Calibri" w:cs="Calibri"/>
    </w:rPr>
  </w:style>
  <w:style w:type="character" w:customStyle="1" w:styleId="VolumeNumber">
    <w:name w:val="Volume Number"/>
    <w:basedOn w:val="a0"/>
    <w:rPr>
      <w:shd w:val="clear" w:color="auto" w:fill="EDF0FF"/>
    </w:rPr>
  </w:style>
  <w:style w:type="paragraph" w:styleId="40">
    <w:name w:val="List 4"/>
    <w:basedOn w:val="a"/>
    <w:pPr>
      <w:spacing w:line="360" w:lineRule="auto"/>
      <w:ind w:left="1600" w:hanging="400"/>
    </w:pPr>
    <w:rPr>
      <w:rFonts w:ascii="Calibri" w:eastAsia="Calibri" w:hAnsi="Calibri" w:cs="Calibri"/>
    </w:rPr>
  </w:style>
  <w:style w:type="character" w:customStyle="1" w:styleId="Location">
    <w:name w:val="Location"/>
    <w:basedOn w:val="a0"/>
    <w:rPr>
      <w:shd w:val="clear" w:color="auto" w:fill="F9EDFF"/>
    </w:rPr>
  </w:style>
  <w:style w:type="character" w:customStyle="1" w:styleId="Miscellaneous">
    <w:name w:val="Miscellaneous"/>
    <w:basedOn w:val="a0"/>
    <w:rPr>
      <w:shd w:val="clear" w:color="auto" w:fill="F0F0F0"/>
    </w:rPr>
  </w:style>
  <w:style w:type="paragraph" w:customStyle="1" w:styleId="Caption1">
    <w:name w:val="Caption1"/>
    <w:basedOn w:val="a"/>
    <w:pPr>
      <w:shd w:val="clear" w:color="auto" w:fill="FFF5ED"/>
      <w:spacing w:before="240" w:line="349" w:lineRule="auto"/>
      <w:jc w:val="both"/>
    </w:pPr>
    <w:rPr>
      <w:rFonts w:ascii="Calibri" w:eastAsia="Calibri" w:hAnsi="Calibri" w:cs="Calibri"/>
      <w:shd w:val="clear" w:color="auto" w:fill="FFF5ED"/>
    </w:rPr>
  </w:style>
  <w:style w:type="character" w:customStyle="1" w:styleId="Region">
    <w:name w:val="Region"/>
    <w:basedOn w:val="a0"/>
    <w:rPr>
      <w:shd w:val="clear" w:color="auto" w:fill="D8E9EE"/>
    </w:rPr>
  </w:style>
  <w:style w:type="paragraph" w:customStyle="1" w:styleId="List6">
    <w:name w:val="List 6"/>
    <w:basedOn w:val="a"/>
    <w:pPr>
      <w:spacing w:line="360" w:lineRule="auto"/>
      <w:ind w:left="1860" w:hanging="400"/>
    </w:pPr>
    <w:rPr>
      <w:rFonts w:ascii="Calibri" w:eastAsia="Calibri" w:hAnsi="Calibri" w:cs="Calibri"/>
    </w:rPr>
  </w:style>
  <w:style w:type="paragraph" w:customStyle="1" w:styleId="Statement">
    <w:name w:val="Statement"/>
    <w:basedOn w:val="a"/>
    <w:pPr>
      <w:ind w:left="900"/>
    </w:pPr>
    <w:rPr>
      <w:rFonts w:ascii="Calibri" w:eastAsia="Calibri" w:hAnsi="Calibri" w:cs="Calibri"/>
    </w:rPr>
  </w:style>
  <w:style w:type="paragraph" w:customStyle="1" w:styleId="TableNote">
    <w:name w:val="Table Note"/>
    <w:basedOn w:val="a"/>
    <w:rPr>
      <w:rFonts w:ascii="Calibri" w:eastAsia="Calibri" w:hAnsi="Calibri" w:cs="Calibri"/>
      <w:sz w:val="18"/>
    </w:rPr>
  </w:style>
  <w:style w:type="paragraph" w:customStyle="1" w:styleId="ChapterNumber">
    <w:name w:val="Chapter Number"/>
    <w:basedOn w:val="a"/>
    <w:rPr>
      <w:rFonts w:ascii="Calibri" w:eastAsia="Calibri" w:hAnsi="Calibri" w:cs="Calibri"/>
    </w:rPr>
  </w:style>
  <w:style w:type="paragraph" w:styleId="af">
    <w:name w:val="List"/>
    <w:basedOn w:val="a"/>
    <w:pPr>
      <w:spacing w:line="360" w:lineRule="auto"/>
      <w:ind w:left="400" w:hanging="400"/>
      <w:jc w:val="both"/>
    </w:pPr>
    <w:rPr>
      <w:rFonts w:ascii="Calibri" w:eastAsia="Calibri" w:hAnsi="Calibri" w:cs="Calibri"/>
    </w:rPr>
  </w:style>
  <w:style w:type="character" w:customStyle="1" w:styleId="Year">
    <w:name w:val="Year"/>
    <w:basedOn w:val="a0"/>
    <w:rPr>
      <w:shd w:val="clear" w:color="auto" w:fill="FFF9C9"/>
    </w:rPr>
  </w:style>
  <w:style w:type="paragraph" w:customStyle="1" w:styleId="Quotation">
    <w:name w:val="Quotation"/>
    <w:basedOn w:val="a"/>
    <w:pPr>
      <w:spacing w:after="160" w:line="360" w:lineRule="auto"/>
      <w:ind w:left="1200" w:right="1200"/>
      <w:jc w:val="both"/>
    </w:pPr>
    <w:rPr>
      <w:rFonts w:ascii="Calibri" w:eastAsia="Calibri" w:hAnsi="Calibri" w:cs="Calibri"/>
    </w:rPr>
  </w:style>
  <w:style w:type="paragraph" w:customStyle="1" w:styleId="List8">
    <w:name w:val="List 8"/>
    <w:basedOn w:val="a"/>
    <w:pPr>
      <w:spacing w:line="360" w:lineRule="auto"/>
      <w:ind w:left="1980" w:hanging="400"/>
    </w:pPr>
    <w:rPr>
      <w:rFonts w:ascii="Calibri" w:eastAsia="Calibri" w:hAnsi="Calibri" w:cs="Calibri"/>
    </w:rPr>
  </w:style>
  <w:style w:type="paragraph" w:customStyle="1" w:styleId="EndnoteText1">
    <w:name w:val="Endnote Text1"/>
    <w:basedOn w:val="a"/>
    <w:rPr>
      <w:rFonts w:ascii="Calibri" w:eastAsia="Calibri" w:hAnsi="Calibri" w:cs="Calibri"/>
    </w:rPr>
  </w:style>
  <w:style w:type="paragraph" w:customStyle="1" w:styleId="TableHead">
    <w:name w:val="Table Head"/>
    <w:basedOn w:val="a"/>
    <w:pPr>
      <w:shd w:val="clear" w:color="auto" w:fill="FFEDFA"/>
    </w:pPr>
    <w:rPr>
      <w:rFonts w:ascii="Calibri" w:eastAsia="Calibri" w:hAnsi="Calibri" w:cs="Calibri"/>
      <w:sz w:val="20"/>
      <w:shd w:val="clear" w:color="auto" w:fill="FFEDFA"/>
    </w:rPr>
  </w:style>
  <w:style w:type="paragraph" w:customStyle="1" w:styleId="Affiliation">
    <w:name w:val="Affiliation"/>
    <w:basedOn w:val="a"/>
    <w:pPr>
      <w:shd w:val="clear" w:color="auto" w:fill="F4FFED"/>
      <w:spacing w:before="240" w:after="120" w:line="396" w:lineRule="auto"/>
      <w:ind w:left="400" w:hanging="400"/>
    </w:pPr>
    <w:rPr>
      <w:rFonts w:ascii="Calibri" w:eastAsia="Calibri" w:hAnsi="Calibri" w:cs="Calibri"/>
      <w:sz w:val="20"/>
      <w:shd w:val="clear" w:color="auto" w:fill="F4FFED"/>
    </w:rPr>
  </w:style>
  <w:style w:type="paragraph" w:styleId="af0">
    <w:name w:val="Block Text"/>
    <w:basedOn w:val="a"/>
    <w:pPr>
      <w:spacing w:after="160" w:line="360" w:lineRule="auto"/>
      <w:ind w:left="1200"/>
    </w:pPr>
    <w:rPr>
      <w:rFonts w:ascii="Calibri" w:eastAsia="Calibri" w:hAnsi="Calibri" w:cs="Calibri"/>
    </w:rPr>
  </w:style>
  <w:style w:type="paragraph" w:customStyle="1" w:styleId="FootnoteText1">
    <w:name w:val="Footnote Text1"/>
    <w:basedOn w:val="a"/>
    <w:rPr>
      <w:rFonts w:ascii="Calibri" w:eastAsia="Calibri" w:hAnsi="Calibri" w:cs="Calibri"/>
    </w:rPr>
  </w:style>
  <w:style w:type="character" w:customStyle="1" w:styleId="City">
    <w:name w:val="City"/>
    <w:basedOn w:val="a0"/>
    <w:rPr>
      <w:shd w:val="clear" w:color="auto" w:fill="D7D7D7"/>
    </w:rPr>
  </w:style>
  <w:style w:type="character" w:customStyle="1" w:styleId="Postcode">
    <w:name w:val="Postcode"/>
    <w:basedOn w:val="a0"/>
    <w:rPr>
      <w:shd w:val="clear" w:color="auto" w:fill="BEBEBE"/>
    </w:rPr>
  </w:style>
  <w:style w:type="paragraph" w:customStyle="1" w:styleId="List1">
    <w:name w:val="List 1"/>
    <w:basedOn w:val="a"/>
    <w:pPr>
      <w:ind w:left="1200" w:hanging="600"/>
      <w:jc w:val="both"/>
    </w:pPr>
    <w:rPr>
      <w:rFonts w:ascii="Times New Roman" w:eastAsia="Times New Roman" w:hAnsi="Times New Roman" w:cs="Times New Roman"/>
    </w:rPr>
  </w:style>
  <w:style w:type="paragraph" w:customStyle="1" w:styleId="List9">
    <w:name w:val="List 9"/>
    <w:basedOn w:val="a"/>
    <w:pPr>
      <w:ind w:left="1200" w:hanging="600"/>
      <w:jc w:val="both"/>
    </w:pPr>
    <w:rPr>
      <w:rFonts w:ascii="Times New Roman" w:eastAsia="Times New Roman" w:hAnsi="Times New Roman" w:cs="Times New Roman"/>
    </w:rPr>
  </w:style>
  <w:style w:type="paragraph" w:styleId="af1">
    <w:name w:val="Revision"/>
    <w:hidden/>
    <w:uiPriority w:val="99"/>
    <w:semiHidden/>
    <w:rsid w:val="00B91292"/>
    <w:rPr>
      <w:rFonts w:ascii="Arial" w:eastAsia="Arial" w:hAnsi="Arial" w:cs="Arial"/>
      <w:sz w:val="22"/>
    </w:rPr>
  </w:style>
  <w:style w:type="paragraph" w:styleId="af2">
    <w:name w:val="header"/>
    <w:basedOn w:val="a"/>
    <w:link w:val="af3"/>
    <w:uiPriority w:val="99"/>
    <w:rsid w:val="00BA0D23"/>
    <w:pPr>
      <w:tabs>
        <w:tab w:val="center" w:pos="4252"/>
        <w:tab w:val="right" w:pos="8504"/>
      </w:tabs>
      <w:snapToGrid w:val="0"/>
    </w:pPr>
  </w:style>
  <w:style w:type="character" w:customStyle="1" w:styleId="af3">
    <w:name w:val="ヘッダー (文字)"/>
    <w:basedOn w:val="a0"/>
    <w:link w:val="af2"/>
    <w:uiPriority w:val="99"/>
    <w:rsid w:val="00BA0D23"/>
    <w:rPr>
      <w:rFonts w:ascii="Arial" w:eastAsia="Arial" w:hAnsi="Arial" w:cs="Arial"/>
      <w:sz w:val="22"/>
    </w:rPr>
  </w:style>
  <w:style w:type="paragraph" w:styleId="af4">
    <w:name w:val="footer"/>
    <w:basedOn w:val="a"/>
    <w:link w:val="af5"/>
    <w:uiPriority w:val="99"/>
    <w:rsid w:val="00BA0D23"/>
    <w:pPr>
      <w:tabs>
        <w:tab w:val="center" w:pos="4252"/>
        <w:tab w:val="right" w:pos="8504"/>
      </w:tabs>
      <w:snapToGrid w:val="0"/>
    </w:pPr>
  </w:style>
  <w:style w:type="character" w:customStyle="1" w:styleId="af5">
    <w:name w:val="フッター (文字)"/>
    <w:basedOn w:val="a0"/>
    <w:link w:val="af4"/>
    <w:uiPriority w:val="99"/>
    <w:rsid w:val="00BA0D23"/>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68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5528</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高畑 脩平</cp:lastModifiedBy>
  <cp:revision>3</cp:revision>
  <cp:lastPrinted>2025-03-25T13:25:00Z</cp:lastPrinted>
  <dcterms:created xsi:type="dcterms:W3CDTF">2025-03-25T13:25:00Z</dcterms:created>
  <dcterms:modified xsi:type="dcterms:W3CDTF">2025-03-25T13:26:00Z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0</vt:lpwstr>
  </property>
  <property fmtid="{D5CDD505-2E9C-101B-9397-08002B2CF9AE}" pid="8" name="Merops client version">
    <vt:lpwstr/>
  </property>
  <property fmtid="{D5CDD505-2E9C-101B-9397-08002B2CF9AE}" pid="9" name="Merops comment count">
    <vt:lpwstr>0</vt:lpwstr>
  </property>
  <property fmtid="{D5CDD505-2E9C-101B-9397-08002B2CF9AE}" pid="10" name="Merops DOI links count">
    <vt:lpwstr>0</vt:lpwstr>
  </property>
  <property fmtid="{D5CDD505-2E9C-101B-9397-08002B2CF9AE}" pid="11" name="Merops email addresses count">
    <vt:lpwstr>2</vt:lpwstr>
  </property>
  <property fmtid="{D5CDD505-2E9C-101B-9397-08002B2CF9AE}" pid="12" name="Merops figures count">
    <vt:lpwstr>0</vt:lpwstr>
  </property>
  <property fmtid="{D5CDD505-2E9C-101B-9397-08002B2CF9AE}" pid="13" name="Merops footnotes/endnotes count">
    <vt:lpwstr>0</vt:lpwstr>
  </property>
  <property fmtid="{D5CDD505-2E9C-101B-9397-08002B2CF9AE}" pid="14" name="Merops graphics count">
    <vt:lpwstr>2</vt:lpwstr>
  </property>
  <property fmtid="{D5CDD505-2E9C-101B-9397-08002B2CF9AE}" pid="15" name="Merops input file path">
    <vt:lpwstr>crm_85e2c953-0e1d-4da8-8ad9-20b737224258.docx</vt:lpwstr>
  </property>
  <property fmtid="{D5CDD505-2E9C-101B-9397-08002B2CF9AE}" pid="16" name="Merops intra-document links count">
    <vt:lpwstr>0</vt:lpwstr>
  </property>
  <property fmtid="{D5CDD505-2E9C-101B-9397-08002B2CF9AE}" pid="17" name="Merops item path">
    <vt:lpwstr>MG-Session/On-20241118/I:c73409ca-35dc-4ce6-b783-919868223ee3</vt:lpwstr>
  </property>
  <property fmtid="{D5CDD505-2E9C-101B-9397-08002B2CF9AE}" pid="18" name="Merops processed date">
    <vt:lpwstr>2024/11/18 02:34:36 PM</vt:lpwstr>
  </property>
  <property fmtid="{D5CDD505-2E9C-101B-9397-08002B2CF9AE}" pid="19" name="Merops PubMed links count">
    <vt:lpwstr>0</vt:lpwstr>
  </property>
  <property fmtid="{D5CDD505-2E9C-101B-9397-08002B2CF9AE}" pid="20" name="Merops references count">
    <vt:lpwstr>0</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merops/preset-v1/scientific-reports</vt:lpwstr>
  </property>
  <property fmtid="{D5CDD505-2E9C-101B-9397-08002B2CF9AE}" pid="24" name="Merops Standard Set modified">
    <vt:lpwstr/>
  </property>
  <property fmtid="{D5CDD505-2E9C-101B-9397-08002B2CF9AE}" pid="25" name="Merops tables count">
    <vt:lpwstr>0</vt:lpwstr>
  </property>
  <property fmtid="{D5CDD505-2E9C-101B-9397-08002B2CF9AE}" pid="26" name="Merops word count">
    <vt:lpwstr>796</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numerical</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