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1BA09" w14:textId="68ED2647" w:rsidR="00A92CB9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6CE26A46" wp14:editId="679897F8">
            <wp:extent cx="3949269" cy="2199005"/>
            <wp:effectExtent l="0" t="0" r="0" b="0"/>
            <wp:docPr id="3438807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80700" name=""/>
                    <pic:cNvPicPr/>
                  </pic:nvPicPr>
                  <pic:blipFill rotWithShape="1">
                    <a:blip r:embed="rId4"/>
                    <a:srcRect l="182" t="17881" r="43438" b="1"/>
                    <a:stretch/>
                  </pic:blipFill>
                  <pic:spPr bwMode="auto">
                    <a:xfrm>
                      <a:off x="0" y="0"/>
                      <a:ext cx="3956844" cy="220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458E3" w14:textId="7D0E9A48" w:rsidR="00A92CB9" w:rsidRPr="00B04FE2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04FE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Supplemental Figure 1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PCR-RFLP analysis of the </w:t>
      </w:r>
      <w:proofErr w:type="spellStart"/>
      <w:r w:rsidRPr="00B04FE2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nopP</w:t>
      </w:r>
      <w:proofErr w:type="spellEnd"/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regions in the </w:t>
      </w:r>
      <w:proofErr w:type="spellStart"/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bradyrhizobia</w:t>
      </w:r>
      <w:proofErr w:type="spellEnd"/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strains inoculated.</w:t>
      </w:r>
    </w:p>
    <w:p w14:paraId="63F2E85C" w14:textId="77777777" w:rsidR="00A92CB9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3954C17B" w14:textId="67AD1712" w:rsidR="00A92CB9" w:rsidRPr="00B04FE2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 w:hint="eastAsia"/>
          <w:color w:val="000000" w:themeColor="text1"/>
          <w:sz w:val="22"/>
          <w:szCs w:val="22"/>
        </w:rPr>
      </w:pPr>
      <w:r w:rsidRPr="00A92CB9">
        <w:drawing>
          <wp:inline distT="0" distB="0" distL="0" distR="0" wp14:anchorId="765AFAB5" wp14:editId="3A568022">
            <wp:extent cx="5419090" cy="3046730"/>
            <wp:effectExtent l="0" t="0" r="0" b="1270"/>
            <wp:docPr id="9185221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22198" name=""/>
                    <pic:cNvPicPr/>
                  </pic:nvPicPr>
                  <pic:blipFill rotWithShape="1">
                    <a:blip r:embed="rId5"/>
                    <a:srcRect l="-353" t="7873"/>
                    <a:stretch/>
                  </pic:blipFill>
                  <pic:spPr bwMode="auto">
                    <a:xfrm>
                      <a:off x="0" y="0"/>
                      <a:ext cx="5419090" cy="304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900D6" w14:textId="77777777" w:rsidR="00A92CB9" w:rsidRPr="00B04FE2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04FE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Supplemental Figure 2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. Relationship between nodule occupancy of incompatibility-avoiding N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2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O-reducing </w:t>
      </w:r>
      <w:proofErr w:type="spellStart"/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bradyrhizobia</w:t>
      </w:r>
      <w:proofErr w:type="spellEnd"/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strains and N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2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O flux.</w:t>
      </w:r>
    </w:p>
    <w:p w14:paraId="523215C4" w14:textId="77777777" w:rsidR="00A92CB9" w:rsidRPr="00B04FE2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a. Two weeks after decapitation. b. Three weeks after decapitation. Lines and equations represent linear regression results.</w:t>
      </w:r>
    </w:p>
    <w:p w14:paraId="6679DC23" w14:textId="77777777" w:rsidR="00A92CB9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3011892" w14:textId="6907F665" w:rsidR="00A92CB9" w:rsidRPr="00B04FE2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 w:hint="eastAsia"/>
          <w:color w:val="000000" w:themeColor="text1"/>
          <w:sz w:val="22"/>
          <w:szCs w:val="22"/>
        </w:rPr>
      </w:pPr>
      <w:r w:rsidRPr="00A92CB9">
        <w:lastRenderedPageBreak/>
        <w:drawing>
          <wp:inline distT="0" distB="0" distL="0" distR="0" wp14:anchorId="71845DAD" wp14:editId="65333E44">
            <wp:extent cx="5387340" cy="4685030"/>
            <wp:effectExtent l="0" t="0" r="3810" b="1270"/>
            <wp:docPr id="2454486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48608" name=""/>
                    <pic:cNvPicPr/>
                  </pic:nvPicPr>
                  <pic:blipFill rotWithShape="1">
                    <a:blip r:embed="rId6"/>
                    <a:srcRect l="235" t="5386"/>
                    <a:stretch/>
                  </pic:blipFill>
                  <pic:spPr bwMode="auto">
                    <a:xfrm>
                      <a:off x="0" y="0"/>
                      <a:ext cx="5387340" cy="468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F260B" w14:textId="77777777" w:rsidR="00A92CB9" w:rsidRPr="00B04FE2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04FE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Supplemental Figure 3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. Nodulation phenotypes from simultaneous inoculation of Nos</w:t>
      </w:r>
      <w:r w:rsidRPr="00B04FE2">
        <w:rPr>
          <w:rFonts w:ascii="Times New Roman" w:hAnsi="Times New Roman"/>
          <w:color w:val="000000" w:themeColor="text1"/>
          <w:sz w:val="22"/>
          <w:szCs w:val="22"/>
          <w:vertAlign w:val="superscript"/>
        </w:rPr>
        <w:t>++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incompatibility-avoiding </w:t>
      </w:r>
      <w:proofErr w:type="spellStart"/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bradyrhizobia</w:t>
      </w:r>
      <w:proofErr w:type="spellEnd"/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strains with USDA6, USDA110, and USDA122. </w:t>
      </w:r>
    </w:p>
    <w:p w14:paraId="36637373" w14:textId="77777777" w:rsidR="00A92CB9" w:rsidRPr="00B04FE2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a. Nodule number per plant (Nod No). b. Nodule dry weight per plant (Nod DW</w:t>
      </w:r>
      <w:r w:rsidRPr="00B04FE2">
        <w:rPr>
          <w:rFonts w:ascii="Times New Roman" w:hAnsi="Times New Roman" w:cs="Times New Roman" w:hint="eastAsia"/>
          <w:color w:val="000000" w:themeColor="text1"/>
          <w:sz w:val="22"/>
          <w:szCs w:val="22"/>
        </w:rPr>
        <w:t>)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. c. Nod DW per nodule (</w:t>
      </w:r>
      <w:proofErr w:type="spellStart"/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NodDW</w:t>
      </w:r>
      <w:proofErr w:type="spellEnd"/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/Nod). d. N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2</w:t>
      </w:r>
      <w:r w:rsidRPr="00B04FE2">
        <w:rPr>
          <w:rFonts w:ascii="Times New Roman" w:hAnsi="Times New Roman"/>
          <w:color w:val="000000" w:themeColor="text1"/>
          <w:sz w:val="22"/>
          <w:szCs w:val="22"/>
          <w:vertAlign w:val="subscript"/>
        </w:rPr>
        <w:t xml:space="preserve"> 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fixation activity per plant (ARA/plant). e. Shoot dry weight (SDW). f. Root dry weight (RDW). </w:t>
      </w:r>
      <w:r w:rsidRPr="00B04FE2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n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=4.</w:t>
      </w:r>
    </w:p>
    <w:p w14:paraId="2050DB92" w14:textId="77777777" w:rsidR="00A92CB9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56F3800D" w14:textId="6ACD35D9" w:rsidR="00A92CB9" w:rsidRPr="00B04FE2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 w:hint="eastAsia"/>
          <w:color w:val="000000" w:themeColor="text1"/>
          <w:sz w:val="22"/>
          <w:szCs w:val="22"/>
        </w:rPr>
      </w:pPr>
      <w:r w:rsidRPr="00A92CB9">
        <w:lastRenderedPageBreak/>
        <w:drawing>
          <wp:inline distT="0" distB="0" distL="0" distR="0" wp14:anchorId="5D97C74E" wp14:editId="032C9FBF">
            <wp:extent cx="5406390" cy="4015105"/>
            <wp:effectExtent l="0" t="0" r="3810" b="4445"/>
            <wp:docPr id="7083378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37845" name=""/>
                    <pic:cNvPicPr/>
                  </pic:nvPicPr>
                  <pic:blipFill rotWithShape="1">
                    <a:blip r:embed="rId7"/>
                    <a:srcRect l="-118" t="4385" r="1"/>
                    <a:stretch/>
                  </pic:blipFill>
                  <pic:spPr bwMode="auto">
                    <a:xfrm>
                      <a:off x="0" y="0"/>
                      <a:ext cx="5406390" cy="401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42CE1" w14:textId="77777777" w:rsidR="00A92CB9" w:rsidRPr="00B04FE2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04FE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Supplemental Figure 4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. Mitigation of N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2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O emissions through predominant infection by incompatibility-avoiding Nos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++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bradyrhizobia</w:t>
      </w:r>
      <w:proofErr w:type="spellEnd"/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strains in </w:t>
      </w:r>
      <w:r w:rsidRPr="00B04FE2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Rj2/GmNNL1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soybean under competition with indigenous soil rhizobia. </w:t>
      </w:r>
    </w:p>
    <w:p w14:paraId="103AA076" w14:textId="77777777" w:rsidR="00A92CB9" w:rsidRPr="00B04FE2" w:rsidRDefault="00A92CB9" w:rsidP="00A92CB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a. Nodule occupancy. b. Trends in N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2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O emission over time following plant decapitation. c. Cumulative N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2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O emission. </w:t>
      </w:r>
      <w:r w:rsidRPr="00B04FE2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n</w:t>
      </w:r>
      <w:r w:rsidRPr="00B04FE2">
        <w:rPr>
          <w:rFonts w:ascii="Times New Roman" w:hAnsi="Times New Roman" w:cs="Times New Roman"/>
          <w:color w:val="000000" w:themeColor="text1"/>
          <w:sz w:val="22"/>
          <w:szCs w:val="22"/>
        </w:rPr>
        <w:t>=5.</w:t>
      </w:r>
    </w:p>
    <w:p w14:paraId="7E40CA18" w14:textId="77777777" w:rsidR="00755819" w:rsidRPr="00A92CB9" w:rsidRDefault="00755819" w:rsidP="00A92CB9">
      <w:pPr>
        <w:spacing w:line="360" w:lineRule="auto"/>
      </w:pPr>
    </w:p>
    <w:sectPr w:rsidR="00755819" w:rsidRPr="00A92CB9" w:rsidSect="00AA02C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CB9"/>
    <w:rsid w:val="00276ECB"/>
    <w:rsid w:val="00755819"/>
    <w:rsid w:val="00A92CB9"/>
    <w:rsid w:val="00AA02C7"/>
    <w:rsid w:val="00AA1256"/>
    <w:rsid w:val="00AB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CAB5D8"/>
  <w15:chartTrackingRefBased/>
  <w15:docId w15:val="{CB974AF3-F6D3-42D8-8E4B-A0E6B3C10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CB9"/>
    <w:pPr>
      <w:widowControl w:val="0"/>
      <w:jc w:val="both"/>
    </w:pPr>
    <w:rPr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今泉　温子</dc:creator>
  <cp:keywords/>
  <dc:description/>
  <cp:lastModifiedBy>今泉　温子</cp:lastModifiedBy>
  <cp:revision>1</cp:revision>
  <dcterms:created xsi:type="dcterms:W3CDTF">2024-11-22T07:02:00Z</dcterms:created>
  <dcterms:modified xsi:type="dcterms:W3CDTF">2024-11-22T07:06:00Z</dcterms:modified>
</cp:coreProperties>
</file>