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8214D" w14:textId="5F699DB7" w:rsidR="008723CF" w:rsidRPr="008723CF" w:rsidRDefault="008723CF" w:rsidP="008723CF">
      <w:pPr>
        <w:keepNext/>
        <w:keepLines/>
        <w:widowControl w:val="0"/>
        <w:spacing w:after="120" w:line="360" w:lineRule="auto"/>
        <w:outlineLvl w:val="1"/>
        <w:rPr>
          <w:rFonts w:ascii="Times New Roman" w:eastAsia="Calibri" w:hAnsi="Times New Roman" w:cs="Times New Roman"/>
          <w:b/>
          <w:noProof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14:ligatures w14:val="none"/>
        </w:rPr>
        <w:t>Supplementary Materials</w:t>
      </w:r>
    </w:p>
    <w:p w14:paraId="17FD6BC7" w14:textId="2C3AAB94" w:rsidR="00EB37F3" w:rsidRPr="00EB37F3" w:rsidRDefault="00EB37F3" w:rsidP="00EB37F3">
      <w:pPr>
        <w:pStyle w:val="Heading2"/>
      </w:pPr>
      <w:r w:rsidRPr="00EB37F3">
        <w:t>Supplementary material 1.</w:t>
      </w:r>
      <w:r>
        <w:t xml:space="preserve"> Examples of good and poor synchronisations</w:t>
      </w:r>
      <w:r w:rsidR="00414158" w:rsidRPr="00414158">
        <w:t xml:space="preserve"> </w:t>
      </w:r>
      <w:r w:rsidR="00414158">
        <w:t>determined by visual inspection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B37F3" w14:paraId="0AEC6654" w14:textId="77777777" w:rsidTr="002167FE">
        <w:tc>
          <w:tcPr>
            <w:tcW w:w="15388" w:type="dxa"/>
            <w:tcBorders>
              <w:left w:val="nil"/>
              <w:bottom w:val="single" w:sz="4" w:space="0" w:color="auto"/>
              <w:right w:val="nil"/>
            </w:tcBorders>
          </w:tcPr>
          <w:p w14:paraId="74F58B42" w14:textId="22967AD7" w:rsidR="00EB37F3" w:rsidRDefault="00EB37F3" w:rsidP="00EB37F3">
            <w:r w:rsidRPr="00EB37F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1F349CC" wp14:editId="6D62D9B8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198120</wp:posOffset>
                  </wp:positionV>
                  <wp:extent cx="8338185" cy="4705350"/>
                  <wp:effectExtent l="0" t="0" r="5715" b="0"/>
                  <wp:wrapTight wrapText="bothSides">
                    <wp:wrapPolygon edited="0">
                      <wp:start x="0" y="0"/>
                      <wp:lineTo x="0" y="21513"/>
                      <wp:lineTo x="21565" y="21513"/>
                      <wp:lineTo x="21565" y="0"/>
                      <wp:lineTo x="0" y="0"/>
                    </wp:wrapPolygon>
                  </wp:wrapTight>
                  <wp:docPr id="2131285577" name="Picture 1" descr="A graph of a person with a graph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285577" name="Picture 1" descr="A graph of a person with a graph&#10;&#10;Description automatically generated with medium confidenc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8185" cy="470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37F3" w14:paraId="6B89A144" w14:textId="77777777" w:rsidTr="001344F4">
        <w:trPr>
          <w:trHeight w:val="1057"/>
        </w:trPr>
        <w:tc>
          <w:tcPr>
            <w:tcW w:w="15388" w:type="dxa"/>
            <w:tcBorders>
              <w:left w:val="nil"/>
              <w:right w:val="nil"/>
            </w:tcBorders>
          </w:tcPr>
          <w:p w14:paraId="2A1E6807" w14:textId="6EBAA562" w:rsidR="00EB37F3" w:rsidRPr="005439C9" w:rsidRDefault="00762967" w:rsidP="00EB37F3">
            <w:pPr>
              <w:rPr>
                <w:rFonts w:ascii="Times New Roman" w:hAnsi="Times New Roman" w:cs="Times New Roman"/>
              </w:rPr>
            </w:pPr>
            <w:r w:rsidRPr="005439C9">
              <w:rPr>
                <w:rFonts w:ascii="Times New Roman" w:hAnsi="Times New Roman" w:cs="Times New Roman"/>
              </w:rPr>
              <w:t xml:space="preserve">Example of ‘good’ synchronisation. </w:t>
            </w:r>
            <w:r w:rsidR="00C32AD9" w:rsidRPr="005439C9">
              <w:rPr>
                <w:rFonts w:ascii="Times New Roman" w:hAnsi="Times New Roman" w:cs="Times New Roman"/>
              </w:rPr>
              <w:t>Following best alignment, p</w:t>
            </w:r>
            <w:r w:rsidRPr="005439C9">
              <w:rPr>
                <w:rFonts w:ascii="Times New Roman" w:hAnsi="Times New Roman" w:cs="Times New Roman"/>
              </w:rPr>
              <w:t xml:space="preserve">eaks of acceleration (denoted by the GGIR signal epochs with MAD values), match up with peaks of EMG amplitude. EMG </w:t>
            </w:r>
            <w:r w:rsidR="00414158">
              <w:rPr>
                <w:rFonts w:ascii="Times New Roman" w:hAnsi="Times New Roman" w:cs="Times New Roman"/>
              </w:rPr>
              <w:t>shorts</w:t>
            </w:r>
            <w:r w:rsidR="00414158" w:rsidRPr="005439C9">
              <w:rPr>
                <w:rFonts w:ascii="Times New Roman" w:hAnsi="Times New Roman" w:cs="Times New Roman"/>
              </w:rPr>
              <w:t xml:space="preserve"> </w:t>
            </w:r>
            <w:r w:rsidRPr="005439C9">
              <w:rPr>
                <w:rFonts w:ascii="Times New Roman" w:hAnsi="Times New Roman" w:cs="Times New Roman"/>
              </w:rPr>
              <w:t xml:space="preserve">are removed (due to sleep) at halfway into </w:t>
            </w:r>
            <w:r w:rsidR="00414158">
              <w:rPr>
                <w:rFonts w:ascii="Times New Roman" w:hAnsi="Times New Roman" w:cs="Times New Roman"/>
              </w:rPr>
              <w:t xml:space="preserve">the </w:t>
            </w:r>
            <w:r w:rsidRPr="005439C9">
              <w:rPr>
                <w:rFonts w:ascii="Times New Roman" w:hAnsi="Times New Roman" w:cs="Times New Roman"/>
              </w:rPr>
              <w:t>timeline</w:t>
            </w:r>
            <w:r w:rsidR="00414158">
              <w:rPr>
                <w:rFonts w:ascii="Times New Roman" w:hAnsi="Times New Roman" w:cs="Times New Roman"/>
              </w:rPr>
              <w:t>, but</w:t>
            </w:r>
            <w:r w:rsidRPr="005439C9">
              <w:rPr>
                <w:rFonts w:ascii="Times New Roman" w:hAnsi="Times New Roman" w:cs="Times New Roman"/>
              </w:rPr>
              <w:t xml:space="preserve"> with </w:t>
            </w:r>
            <w:r w:rsidR="00414158">
              <w:rPr>
                <w:rFonts w:ascii="Times New Roman" w:hAnsi="Times New Roman" w:cs="Times New Roman"/>
              </w:rPr>
              <w:t xml:space="preserve">the </w:t>
            </w:r>
            <w:r w:rsidRPr="005439C9">
              <w:rPr>
                <w:rFonts w:ascii="Times New Roman" w:hAnsi="Times New Roman" w:cs="Times New Roman"/>
              </w:rPr>
              <w:t>accelerometer still being worn.</w:t>
            </w:r>
            <w:r w:rsidR="006968D0" w:rsidRPr="005439C9">
              <w:rPr>
                <w:rFonts w:ascii="Times New Roman" w:hAnsi="Times New Roman" w:cs="Times New Roman"/>
              </w:rPr>
              <w:t xml:space="preserve"> </w:t>
            </w:r>
            <w:r w:rsidR="00414158">
              <w:rPr>
                <w:rFonts w:ascii="Times New Roman" w:hAnsi="Times New Roman" w:cs="Times New Roman"/>
              </w:rPr>
              <w:t xml:space="preserve">The </w:t>
            </w:r>
            <w:r w:rsidR="006968D0" w:rsidRPr="005439C9">
              <w:rPr>
                <w:rFonts w:ascii="Times New Roman" w:hAnsi="Times New Roman" w:cs="Times New Roman"/>
              </w:rPr>
              <w:t>CHAP signal indicates with binary category where participants are sitting or not-sitting</w:t>
            </w:r>
            <w:r w:rsidR="005439C9" w:rsidRPr="005439C9">
              <w:rPr>
                <w:rFonts w:ascii="Times New Roman" w:hAnsi="Times New Roman" w:cs="Times New Roman"/>
              </w:rPr>
              <w:t>.</w:t>
            </w:r>
          </w:p>
        </w:tc>
      </w:tr>
    </w:tbl>
    <w:p w14:paraId="447CD5A6" w14:textId="77777777" w:rsidR="00EB37F3" w:rsidRDefault="00EB37F3" w:rsidP="00EB37F3"/>
    <w:p w14:paraId="0E60DD1F" w14:textId="77777777" w:rsidR="00EB37F3" w:rsidRDefault="00EB37F3" w:rsidP="00EB37F3"/>
    <w:p w14:paraId="6930B86D" w14:textId="7F3B9B0C" w:rsidR="002167FE" w:rsidRPr="00EB37F3" w:rsidRDefault="002167FE" w:rsidP="007B7F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8"/>
      </w:tblGrid>
      <w:tr w:rsidR="002167FE" w14:paraId="2298F08A" w14:textId="77777777" w:rsidTr="001C51A7">
        <w:tc>
          <w:tcPr>
            <w:tcW w:w="15388" w:type="dxa"/>
            <w:tcBorders>
              <w:left w:val="nil"/>
              <w:bottom w:val="single" w:sz="4" w:space="0" w:color="auto"/>
              <w:right w:val="nil"/>
            </w:tcBorders>
          </w:tcPr>
          <w:p w14:paraId="0D201381" w14:textId="569819F2" w:rsidR="002167FE" w:rsidRDefault="00776B6C" w:rsidP="001C51A7">
            <w:r w:rsidRPr="00776B6C">
              <w:rPr>
                <w:noProof/>
              </w:rPr>
              <w:drawing>
                <wp:inline distT="0" distB="0" distL="0" distR="0" wp14:anchorId="24283E72" wp14:editId="71CA011B">
                  <wp:extent cx="9702141" cy="5457218"/>
                  <wp:effectExtent l="0" t="0" r="0" b="0"/>
                  <wp:docPr id="9570877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08775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702" cy="5464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7FE" w14:paraId="11EB5170" w14:textId="77777777" w:rsidTr="001344F4">
        <w:trPr>
          <w:trHeight w:val="673"/>
        </w:trPr>
        <w:tc>
          <w:tcPr>
            <w:tcW w:w="15388" w:type="dxa"/>
            <w:tcBorders>
              <w:left w:val="nil"/>
              <w:right w:val="nil"/>
            </w:tcBorders>
          </w:tcPr>
          <w:p w14:paraId="6050AC35" w14:textId="3302445D" w:rsidR="002167FE" w:rsidRPr="005439C9" w:rsidRDefault="002167FE" w:rsidP="001C51A7">
            <w:pPr>
              <w:rPr>
                <w:rFonts w:ascii="Times New Roman" w:hAnsi="Times New Roman" w:cs="Times New Roman"/>
              </w:rPr>
            </w:pPr>
            <w:r w:rsidRPr="005439C9">
              <w:rPr>
                <w:rFonts w:ascii="Times New Roman" w:hAnsi="Times New Roman" w:cs="Times New Roman"/>
              </w:rPr>
              <w:t xml:space="preserve">Example of ‘bad’ synchronisation. </w:t>
            </w:r>
            <w:r w:rsidR="00C32AD9" w:rsidRPr="005439C9">
              <w:rPr>
                <w:rFonts w:ascii="Times New Roman" w:hAnsi="Times New Roman" w:cs="Times New Roman"/>
              </w:rPr>
              <w:t>Following best alignment, p</w:t>
            </w:r>
            <w:r w:rsidRPr="005439C9">
              <w:rPr>
                <w:rFonts w:ascii="Times New Roman" w:hAnsi="Times New Roman" w:cs="Times New Roman"/>
              </w:rPr>
              <w:t>eaks of acceleration (denoted by the GGIR signal epochs with MAD values),</w:t>
            </w:r>
            <w:r w:rsidR="007B7FBB" w:rsidRPr="005439C9">
              <w:rPr>
                <w:rFonts w:ascii="Times New Roman" w:hAnsi="Times New Roman" w:cs="Times New Roman"/>
              </w:rPr>
              <w:t xml:space="preserve"> decidedly d</w:t>
            </w:r>
            <w:r w:rsidR="00A87F6E">
              <w:rPr>
                <w:rFonts w:ascii="Times New Roman" w:hAnsi="Times New Roman" w:cs="Times New Roman"/>
              </w:rPr>
              <w:t>id</w:t>
            </w:r>
            <w:r w:rsidR="007B7FBB" w:rsidRPr="005439C9">
              <w:rPr>
                <w:rFonts w:ascii="Times New Roman" w:hAnsi="Times New Roman" w:cs="Times New Roman"/>
              </w:rPr>
              <w:t xml:space="preserve"> not match up </w:t>
            </w:r>
            <w:r w:rsidRPr="005439C9">
              <w:rPr>
                <w:rFonts w:ascii="Times New Roman" w:hAnsi="Times New Roman" w:cs="Times New Roman"/>
              </w:rPr>
              <w:t xml:space="preserve">with peaks of EMG amplitude. </w:t>
            </w:r>
          </w:p>
        </w:tc>
      </w:tr>
    </w:tbl>
    <w:p w14:paraId="3E81697E" w14:textId="77777777" w:rsidR="002167FE" w:rsidRDefault="002167FE" w:rsidP="002167FE"/>
    <w:p w14:paraId="210F12E4" w14:textId="77777777" w:rsidR="002167FE" w:rsidRDefault="002167FE" w:rsidP="007B7FBB"/>
    <w:p w14:paraId="0FF27091" w14:textId="5E80004C" w:rsidR="00EB37F3" w:rsidRDefault="00EB37F3" w:rsidP="007B7FBB">
      <w:pPr>
        <w:pStyle w:val="Heading2"/>
      </w:pPr>
      <w:r>
        <w:t>Supplementary material 2.</w:t>
      </w:r>
      <w:r w:rsidR="005439C9">
        <w:t xml:space="preserve"> Comparison between power law and exponential decay model fit</w:t>
      </w:r>
      <w:r w:rsidR="00264614">
        <w:t xml:space="preserve"> </w:t>
      </w:r>
      <w:r w:rsidR="005439C9">
        <w:t>by sample</w:t>
      </w:r>
    </w:p>
    <w:p w14:paraId="78BC6463" w14:textId="35361F35" w:rsidR="00EB37F3" w:rsidRPr="005439C9" w:rsidRDefault="00EB37F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4169"/>
        <w:gridCol w:w="4410"/>
      </w:tblGrid>
      <w:tr w:rsidR="005439C9" w:rsidRPr="005439C9" w14:paraId="19384962" w14:textId="77777777" w:rsidTr="00C23CB9">
        <w:trPr>
          <w:trHeight w:val="1095"/>
          <w:jc w:val="center"/>
        </w:trPr>
        <w:tc>
          <w:tcPr>
            <w:tcW w:w="3040" w:type="dxa"/>
            <w:vAlign w:val="center"/>
          </w:tcPr>
          <w:p w14:paraId="56266C39" w14:textId="64289746" w:rsidR="005439C9" w:rsidRPr="005439C9" w:rsidRDefault="009A5A2B" w:rsidP="00543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s</w:t>
            </w:r>
            <w:r w:rsidR="005439C9" w:rsidRPr="005439C9">
              <w:rPr>
                <w:rFonts w:ascii="Times New Roman" w:hAnsi="Times New Roman" w:cs="Times New Roman"/>
              </w:rPr>
              <w:t>ample</w:t>
            </w:r>
          </w:p>
        </w:tc>
        <w:tc>
          <w:tcPr>
            <w:tcW w:w="4169" w:type="dxa"/>
            <w:vAlign w:val="center"/>
          </w:tcPr>
          <w:p w14:paraId="583A0D17" w14:textId="77777777" w:rsidR="005439C9" w:rsidRDefault="005439C9" w:rsidP="005439C9">
            <w:pPr>
              <w:jc w:val="center"/>
              <w:rPr>
                <w:rFonts w:ascii="Times New Roman" w:hAnsi="Times New Roman" w:cs="Times New Roman"/>
              </w:rPr>
            </w:pPr>
            <w:r w:rsidRPr="005439C9">
              <w:rPr>
                <w:rFonts w:ascii="Times New Roman" w:hAnsi="Times New Roman" w:cs="Times New Roman"/>
              </w:rPr>
              <w:t>BIC for power law</w:t>
            </w:r>
            <w:r>
              <w:rPr>
                <w:rFonts w:ascii="Times New Roman" w:hAnsi="Times New Roman" w:cs="Times New Roman"/>
              </w:rPr>
              <w:t xml:space="preserve"> fit</w:t>
            </w:r>
          </w:p>
          <w:p w14:paraId="1B12AB1D" w14:textId="1983AF24" w:rsidR="005439C9" w:rsidRPr="005439C9" w:rsidRDefault="005439C9" w:rsidP="005439C9">
            <w:pPr>
              <w:jc w:val="center"/>
              <w:rPr>
                <w:rFonts w:ascii="Times New Roman" w:hAnsi="Times New Roman" w:cs="Times New Roman"/>
              </w:rPr>
            </w:pPr>
            <w:r w:rsidRPr="005439C9">
              <w:rPr>
                <w:rFonts w:ascii="Times New Roman" w:hAnsi="Times New Roman" w:cs="Times New Roman"/>
              </w:rPr>
              <w:t xml:space="preserve">EMG activity % (min) = a </w:t>
            </w:r>
            <w:r>
              <w:rPr>
                <w:rFonts w:ascii="Times New Roman" w:hAnsi="Times New Roman" w:cs="Times New Roman"/>
              </w:rPr>
              <w:t>*</w:t>
            </w:r>
            <w:r w:rsidRPr="005439C9">
              <w:rPr>
                <w:rFonts w:ascii="Times New Roman" w:hAnsi="Times New Roman" w:cs="Times New Roman"/>
              </w:rPr>
              <w:t xml:space="preserve"> t</w:t>
            </w:r>
            <w:r w:rsidRPr="005439C9">
              <w:rPr>
                <w:rFonts w:ascii="Times New Roman" w:hAnsi="Times New Roman" w:cs="Times New Roman"/>
                <w:vertAlign w:val="superscript"/>
              </w:rPr>
              <w:t>-b</w:t>
            </w:r>
          </w:p>
        </w:tc>
        <w:tc>
          <w:tcPr>
            <w:tcW w:w="4410" w:type="dxa"/>
            <w:vAlign w:val="center"/>
          </w:tcPr>
          <w:p w14:paraId="28CEEA8C" w14:textId="77777777" w:rsidR="005439C9" w:rsidRDefault="005439C9" w:rsidP="005439C9">
            <w:pPr>
              <w:jc w:val="center"/>
              <w:rPr>
                <w:rFonts w:ascii="Times New Roman" w:hAnsi="Times New Roman" w:cs="Times New Roman"/>
              </w:rPr>
            </w:pPr>
            <w:r w:rsidRPr="005439C9">
              <w:rPr>
                <w:rFonts w:ascii="Times New Roman" w:hAnsi="Times New Roman" w:cs="Times New Roman"/>
              </w:rPr>
              <w:t>BIC for exponential decay</w:t>
            </w:r>
            <w:r>
              <w:rPr>
                <w:rFonts w:ascii="Times New Roman" w:hAnsi="Times New Roman" w:cs="Times New Roman"/>
              </w:rPr>
              <w:t xml:space="preserve"> fit</w:t>
            </w:r>
          </w:p>
          <w:p w14:paraId="363B3A4C" w14:textId="29FEB2B0" w:rsidR="005439C9" w:rsidRPr="005439C9" w:rsidRDefault="005439C9" w:rsidP="005439C9">
            <w:pPr>
              <w:jc w:val="center"/>
              <w:rPr>
                <w:rFonts w:ascii="Times New Roman" w:hAnsi="Times New Roman" w:cs="Times New Roman"/>
              </w:rPr>
            </w:pPr>
            <w:r w:rsidRPr="005439C9">
              <w:rPr>
                <w:rFonts w:ascii="Times New Roman" w:hAnsi="Times New Roman" w:cs="Times New Roman"/>
              </w:rPr>
              <w:t xml:space="preserve">EMG activity % (min) </w:t>
            </w:r>
            <w:r>
              <w:rPr>
                <w:rFonts w:ascii="Times New Roman" w:hAnsi="Times New Roman" w:cs="Times New Roman"/>
              </w:rPr>
              <w:t xml:space="preserve">= </w:t>
            </w:r>
            <w:r w:rsidRPr="005439C9">
              <w:rPr>
                <w:rFonts w:ascii="Times New Roman" w:hAnsi="Times New Roman" w:cs="Times New Roman"/>
              </w:rPr>
              <w:t xml:space="preserve">a * </w:t>
            </w:r>
            <w:proofErr w:type="gramStart"/>
            <w:r w:rsidRPr="005439C9">
              <w:rPr>
                <w:rFonts w:ascii="Times New Roman" w:hAnsi="Times New Roman" w:cs="Times New Roman"/>
              </w:rPr>
              <w:t>exp(</w:t>
            </w:r>
            <w:proofErr w:type="gramEnd"/>
            <w:r w:rsidRPr="005439C9">
              <w:rPr>
                <w:rFonts w:ascii="Times New Roman" w:hAnsi="Times New Roman" w:cs="Times New Roman"/>
              </w:rPr>
              <w:t xml:space="preserve">-b * </w:t>
            </w:r>
            <w:r>
              <w:rPr>
                <w:rFonts w:ascii="Times New Roman" w:hAnsi="Times New Roman" w:cs="Times New Roman"/>
              </w:rPr>
              <w:t>t)</w:t>
            </w:r>
            <w:r w:rsidRPr="005439C9">
              <w:rPr>
                <w:rFonts w:ascii="Times New Roman" w:hAnsi="Times New Roman" w:cs="Times New Roman"/>
              </w:rPr>
              <w:t xml:space="preserve"> + c</w:t>
            </w:r>
          </w:p>
        </w:tc>
      </w:tr>
      <w:tr w:rsidR="005439C9" w:rsidRPr="005439C9" w14:paraId="36404BB2" w14:textId="77777777" w:rsidTr="00C23CB9">
        <w:trPr>
          <w:trHeight w:val="790"/>
          <w:jc w:val="center"/>
        </w:trPr>
        <w:tc>
          <w:tcPr>
            <w:tcW w:w="3040" w:type="dxa"/>
            <w:vAlign w:val="center"/>
          </w:tcPr>
          <w:p w14:paraId="1F63EAED" w14:textId="7FD60382" w:rsidR="005439C9" w:rsidRPr="005439C9" w:rsidRDefault="005439C9" w:rsidP="00C23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4169" w:type="dxa"/>
            <w:vAlign w:val="center"/>
          </w:tcPr>
          <w:p w14:paraId="57385406" w14:textId="41919A8F" w:rsidR="005439C9" w:rsidRPr="005439C9" w:rsidRDefault="009A5A2B" w:rsidP="009A5A2B">
            <w:pPr>
              <w:jc w:val="center"/>
              <w:rPr>
                <w:rFonts w:ascii="Times New Roman" w:hAnsi="Times New Roman" w:cs="Times New Roman"/>
              </w:rPr>
            </w:pPr>
            <w:r w:rsidRPr="009A5A2B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4410" w:type="dxa"/>
            <w:vAlign w:val="center"/>
          </w:tcPr>
          <w:p w14:paraId="26FC406D" w14:textId="0F97D3D6" w:rsidR="005439C9" w:rsidRPr="005439C9" w:rsidRDefault="009A5A2B" w:rsidP="00543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</w:tr>
      <w:tr w:rsidR="005439C9" w:rsidRPr="005439C9" w14:paraId="24140E20" w14:textId="77777777" w:rsidTr="00C23CB9">
        <w:trPr>
          <w:trHeight w:val="790"/>
          <w:jc w:val="center"/>
        </w:trPr>
        <w:tc>
          <w:tcPr>
            <w:tcW w:w="3040" w:type="dxa"/>
            <w:vAlign w:val="center"/>
          </w:tcPr>
          <w:p w14:paraId="5BA4CB0C" w14:textId="44D2FF98" w:rsidR="005439C9" w:rsidRPr="005439C9" w:rsidRDefault="005439C9" w:rsidP="00C23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EMG24</w:t>
            </w:r>
          </w:p>
        </w:tc>
        <w:tc>
          <w:tcPr>
            <w:tcW w:w="4169" w:type="dxa"/>
            <w:vAlign w:val="center"/>
          </w:tcPr>
          <w:p w14:paraId="5C0E6DF7" w14:textId="6292650C" w:rsidR="005439C9" w:rsidRPr="005439C9" w:rsidRDefault="005439C9" w:rsidP="005439C9">
            <w:pPr>
              <w:jc w:val="center"/>
              <w:rPr>
                <w:rFonts w:ascii="Times New Roman" w:hAnsi="Times New Roman" w:cs="Times New Roman"/>
              </w:rPr>
            </w:pPr>
            <w:r w:rsidRPr="005439C9">
              <w:rPr>
                <w:rFonts w:ascii="Times New Roman" w:hAnsi="Times New Roman" w:cs="Times New Roman"/>
              </w:rPr>
              <w:t>534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10" w:type="dxa"/>
            <w:vAlign w:val="center"/>
          </w:tcPr>
          <w:p w14:paraId="309D7812" w14:textId="253B6D4E" w:rsidR="005439C9" w:rsidRPr="005439C9" w:rsidRDefault="005439C9" w:rsidP="005439C9">
            <w:pPr>
              <w:jc w:val="center"/>
              <w:rPr>
                <w:rFonts w:ascii="Times New Roman" w:hAnsi="Times New Roman" w:cs="Times New Roman"/>
              </w:rPr>
            </w:pPr>
            <w:r w:rsidRPr="005439C9">
              <w:rPr>
                <w:rFonts w:ascii="Times New Roman" w:hAnsi="Times New Roman" w:cs="Times New Roman"/>
              </w:rPr>
              <w:t>38240</w:t>
            </w:r>
          </w:p>
        </w:tc>
      </w:tr>
      <w:tr w:rsidR="005439C9" w:rsidRPr="005439C9" w14:paraId="536F2C4C" w14:textId="77777777" w:rsidTr="00C23CB9">
        <w:trPr>
          <w:trHeight w:val="790"/>
          <w:jc w:val="center"/>
        </w:trPr>
        <w:tc>
          <w:tcPr>
            <w:tcW w:w="3040" w:type="dxa"/>
            <w:vAlign w:val="center"/>
          </w:tcPr>
          <w:p w14:paraId="306EB552" w14:textId="217EEB99" w:rsidR="005439C9" w:rsidRPr="005439C9" w:rsidRDefault="005439C9" w:rsidP="00C23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BREAK</w:t>
            </w:r>
          </w:p>
        </w:tc>
        <w:tc>
          <w:tcPr>
            <w:tcW w:w="4169" w:type="dxa"/>
            <w:vAlign w:val="center"/>
          </w:tcPr>
          <w:p w14:paraId="222EE082" w14:textId="08766444" w:rsidR="005439C9" w:rsidRPr="005439C9" w:rsidRDefault="00D664B6" w:rsidP="00D664B6">
            <w:pPr>
              <w:jc w:val="center"/>
              <w:rPr>
                <w:rFonts w:ascii="Times New Roman" w:hAnsi="Times New Roman" w:cs="Times New Roman"/>
              </w:rPr>
            </w:pPr>
            <w:r w:rsidRPr="00D664B6">
              <w:rPr>
                <w:rFonts w:ascii="Times New Roman" w:hAnsi="Times New Roman" w:cs="Times New Roman"/>
              </w:rPr>
              <w:t>115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0" w:type="dxa"/>
            <w:vAlign w:val="center"/>
          </w:tcPr>
          <w:p w14:paraId="7B67AD45" w14:textId="6A54CDCF" w:rsidR="005439C9" w:rsidRPr="005439C9" w:rsidRDefault="00D664B6" w:rsidP="00D664B6">
            <w:pPr>
              <w:jc w:val="center"/>
              <w:rPr>
                <w:rFonts w:ascii="Times New Roman" w:hAnsi="Times New Roman" w:cs="Times New Roman"/>
              </w:rPr>
            </w:pPr>
            <w:r w:rsidRPr="00D664B6">
              <w:rPr>
                <w:rFonts w:ascii="Times New Roman" w:hAnsi="Times New Roman" w:cs="Times New Roman"/>
              </w:rPr>
              <w:t>1118</w:t>
            </w:r>
          </w:p>
        </w:tc>
      </w:tr>
      <w:tr w:rsidR="005439C9" w:rsidRPr="005439C9" w14:paraId="44F843B2" w14:textId="77777777" w:rsidTr="00C23CB9">
        <w:trPr>
          <w:trHeight w:val="845"/>
          <w:jc w:val="center"/>
        </w:trPr>
        <w:tc>
          <w:tcPr>
            <w:tcW w:w="3040" w:type="dxa"/>
            <w:vAlign w:val="center"/>
          </w:tcPr>
          <w:p w14:paraId="6B033FBD" w14:textId="23D50322" w:rsidR="005439C9" w:rsidRPr="005439C9" w:rsidRDefault="005439C9" w:rsidP="00C23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OPTIMUS</w:t>
            </w:r>
          </w:p>
        </w:tc>
        <w:tc>
          <w:tcPr>
            <w:tcW w:w="4169" w:type="dxa"/>
            <w:vAlign w:val="center"/>
          </w:tcPr>
          <w:p w14:paraId="76B13795" w14:textId="49D613BA" w:rsidR="005439C9" w:rsidRPr="005439C9" w:rsidRDefault="005527FE" w:rsidP="005527FE">
            <w:pPr>
              <w:jc w:val="center"/>
              <w:rPr>
                <w:rFonts w:ascii="Times New Roman" w:hAnsi="Times New Roman" w:cs="Times New Roman"/>
              </w:rPr>
            </w:pPr>
            <w:r w:rsidRPr="005527FE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4410" w:type="dxa"/>
            <w:vAlign w:val="center"/>
          </w:tcPr>
          <w:p w14:paraId="07AE4E23" w14:textId="35F573C4" w:rsidR="005439C9" w:rsidRPr="005439C9" w:rsidRDefault="005527FE" w:rsidP="005527FE">
            <w:pPr>
              <w:jc w:val="center"/>
              <w:rPr>
                <w:rFonts w:ascii="Times New Roman" w:hAnsi="Times New Roman" w:cs="Times New Roman"/>
              </w:rPr>
            </w:pPr>
            <w:r w:rsidRPr="005527FE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439C9" w:rsidRPr="005439C9" w14:paraId="64D391F3" w14:textId="77777777" w:rsidTr="00C23CB9">
        <w:trPr>
          <w:trHeight w:val="845"/>
          <w:jc w:val="center"/>
        </w:trPr>
        <w:tc>
          <w:tcPr>
            <w:tcW w:w="11619" w:type="dxa"/>
            <w:gridSpan w:val="3"/>
            <w:vAlign w:val="center"/>
          </w:tcPr>
          <w:p w14:paraId="74510FAF" w14:textId="1E4ADDE9" w:rsidR="005439C9" w:rsidRPr="005439C9" w:rsidRDefault="005439C9">
            <w:pPr>
              <w:rPr>
                <w:rFonts w:ascii="Times New Roman" w:hAnsi="Times New Roman" w:cs="Times New Roman"/>
                <w:noProof/>
              </w:rPr>
            </w:pPr>
            <w:r w:rsidRPr="005439C9">
              <w:rPr>
                <w:rFonts w:ascii="Times New Roman" w:hAnsi="Times New Roman" w:cs="Times New Roman"/>
                <w:noProof/>
              </w:rPr>
              <w:t>Term ‘t’ refers to sitting bout duration in minutes.</w:t>
            </w:r>
          </w:p>
        </w:tc>
      </w:tr>
    </w:tbl>
    <w:p w14:paraId="77F72384" w14:textId="77777777" w:rsidR="005439C9" w:rsidRDefault="005439C9"/>
    <w:sectPr w:rsidR="005439C9" w:rsidSect="00EB37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CF"/>
    <w:rsid w:val="00114334"/>
    <w:rsid w:val="001344F4"/>
    <w:rsid w:val="002167FE"/>
    <w:rsid w:val="002444FB"/>
    <w:rsid w:val="00264614"/>
    <w:rsid w:val="00351968"/>
    <w:rsid w:val="00414158"/>
    <w:rsid w:val="004836BD"/>
    <w:rsid w:val="005439C9"/>
    <w:rsid w:val="005527FE"/>
    <w:rsid w:val="006968D0"/>
    <w:rsid w:val="00762967"/>
    <w:rsid w:val="00776B6C"/>
    <w:rsid w:val="007B7FBB"/>
    <w:rsid w:val="007F2A3A"/>
    <w:rsid w:val="008723CF"/>
    <w:rsid w:val="009A5A2B"/>
    <w:rsid w:val="00A42065"/>
    <w:rsid w:val="00A52EEB"/>
    <w:rsid w:val="00A87F6E"/>
    <w:rsid w:val="00BC7BC0"/>
    <w:rsid w:val="00C23CB9"/>
    <w:rsid w:val="00C32AD9"/>
    <w:rsid w:val="00D664B6"/>
    <w:rsid w:val="00E30973"/>
    <w:rsid w:val="00EB37F3"/>
    <w:rsid w:val="00F7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BFC47"/>
  <w15:chartTrackingRefBased/>
  <w15:docId w15:val="{E4976847-333D-4184-9304-100579F8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7F3"/>
    <w:pPr>
      <w:outlineLvl w:val="1"/>
    </w:pPr>
    <w:rPr>
      <w:rFonts w:ascii="Times New Roman" w:eastAsia="MS Gothic" w:hAnsi="Times New Roman" w:cs="Times New Roman"/>
      <w:bCs/>
      <w:i/>
      <w:kern w:val="0"/>
      <w:szCs w:val="2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37F3"/>
    <w:rPr>
      <w:rFonts w:ascii="Times New Roman" w:eastAsia="MS Gothic" w:hAnsi="Times New Roman" w:cs="Times New Roman"/>
      <w:bCs/>
      <w:i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3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723CF"/>
    <w:rPr>
      <w:color w:val="0563C1"/>
      <w:u w:val="single"/>
    </w:rPr>
  </w:style>
  <w:style w:type="character" w:styleId="CommentReference">
    <w:name w:val="annotation reference"/>
    <w:uiPriority w:val="99"/>
    <w:unhideWhenUsed/>
    <w:rsid w:val="00872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3CF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3CF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EB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14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Brakenridge</dc:creator>
  <cp:keywords/>
  <dc:description/>
  <cp:lastModifiedBy>Christian Brakenridge</cp:lastModifiedBy>
  <cp:revision>14</cp:revision>
  <dcterms:created xsi:type="dcterms:W3CDTF">2024-11-07T23:02:00Z</dcterms:created>
  <dcterms:modified xsi:type="dcterms:W3CDTF">2024-11-12T02:22:00Z</dcterms:modified>
</cp:coreProperties>
</file>