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5CC483" w14:textId="77777777" w:rsidR="00C41764" w:rsidRDefault="00C41764" w:rsidP="00EF0D80">
      <w:pPr>
        <w:spacing w:line="480" w:lineRule="auto"/>
        <w:jc w:val="both"/>
        <w:rPr>
          <w:rFonts w:asciiTheme="minorHAnsi" w:hAnsiTheme="minorHAnsi"/>
          <w:b/>
          <w:i/>
          <w:iCs/>
          <w:sz w:val="22"/>
          <w:szCs w:val="22"/>
          <w:lang w:val="en-AU"/>
        </w:rPr>
      </w:pPr>
    </w:p>
    <w:p w14:paraId="4E10D197" w14:textId="77777777" w:rsidR="00C41764" w:rsidRPr="00C41764" w:rsidRDefault="00C41764" w:rsidP="00EF0D80">
      <w:pPr>
        <w:spacing w:line="480" w:lineRule="auto"/>
        <w:jc w:val="both"/>
        <w:rPr>
          <w:rFonts w:asciiTheme="minorHAnsi" w:hAnsiTheme="minorHAnsi"/>
          <w:b/>
          <w:sz w:val="22"/>
          <w:szCs w:val="22"/>
          <w:lang w:val="en-AU"/>
        </w:rPr>
      </w:pPr>
      <w:r w:rsidRPr="00C41764">
        <w:rPr>
          <w:rFonts w:asciiTheme="minorHAnsi" w:hAnsiTheme="minorHAnsi"/>
          <w:b/>
          <w:sz w:val="22"/>
          <w:szCs w:val="22"/>
          <w:lang w:val="en-AU"/>
        </w:rPr>
        <w:t>Supplemental Material</w:t>
      </w:r>
    </w:p>
    <w:p w14:paraId="470CF28E" w14:textId="65B2C153" w:rsidR="00C41764" w:rsidRPr="00C41764" w:rsidRDefault="000B5515" w:rsidP="00C41764">
      <w:pPr>
        <w:spacing w:line="480" w:lineRule="auto"/>
        <w:jc w:val="both"/>
        <w:rPr>
          <w:i/>
          <w:sz w:val="22"/>
          <w:szCs w:val="22"/>
        </w:rPr>
      </w:pPr>
      <w:r>
        <w:rPr>
          <w:b/>
          <w:i/>
          <w:sz w:val="22"/>
          <w:szCs w:val="22"/>
        </w:rPr>
        <w:t xml:space="preserve">Supplemental </w:t>
      </w:r>
      <w:r w:rsidR="00C41764" w:rsidRPr="00C41764">
        <w:rPr>
          <w:b/>
          <w:i/>
          <w:sz w:val="22"/>
          <w:szCs w:val="22"/>
        </w:rPr>
        <w:t>Figure 1.</w:t>
      </w:r>
      <w:r w:rsidR="00C41764" w:rsidRPr="00C41764">
        <w:rPr>
          <w:i/>
          <w:sz w:val="22"/>
          <w:szCs w:val="22"/>
        </w:rPr>
        <w:t xml:space="preserve"> Western blot of fractions isolated from size exclusion chromatography positive for EV marker ALIX.</w:t>
      </w:r>
    </w:p>
    <w:p w14:paraId="1B9698CF" w14:textId="77777777" w:rsidR="00C41764" w:rsidRDefault="00C41764" w:rsidP="00C41764">
      <w:pPr>
        <w:spacing w:line="480" w:lineRule="auto"/>
        <w:jc w:val="both"/>
        <w:rPr>
          <w:i/>
          <w:sz w:val="22"/>
          <w:szCs w:val="22"/>
        </w:rPr>
      </w:pPr>
    </w:p>
    <w:p w14:paraId="2A6390AB" w14:textId="42921CA9" w:rsidR="0053602B" w:rsidRDefault="0053602B" w:rsidP="0053602B">
      <w:pPr>
        <w:spacing w:line="480" w:lineRule="auto"/>
        <w:jc w:val="both"/>
        <w:rPr>
          <w:i/>
          <w:iCs/>
          <w:sz w:val="22"/>
          <w:szCs w:val="22"/>
          <w:lang w:val="en-AU"/>
        </w:rPr>
      </w:pPr>
      <w:r>
        <w:rPr>
          <w:b/>
          <w:bCs/>
          <w:i/>
          <w:iCs/>
          <w:sz w:val="22"/>
          <w:szCs w:val="22"/>
          <w:lang w:val="en-AU"/>
        </w:rPr>
        <w:t xml:space="preserve">Supplemental Figure </w:t>
      </w:r>
      <w:r w:rsidRPr="0053602B">
        <w:rPr>
          <w:b/>
          <w:bCs/>
          <w:i/>
          <w:iCs/>
          <w:sz w:val="22"/>
          <w:szCs w:val="22"/>
          <w:lang w:val="en-AU"/>
        </w:rPr>
        <w:t>2.</w:t>
      </w:r>
      <w:r w:rsidRPr="0053602B">
        <w:rPr>
          <w:i/>
          <w:iCs/>
          <w:sz w:val="22"/>
          <w:szCs w:val="22"/>
          <w:lang w:val="en-AU"/>
        </w:rPr>
        <w:t xml:space="preserve"> miRNA analysis workflow for ihAEC EV (n=1) and ihAEC cells (n=3) to identify ihAEC EV cargo.</w:t>
      </w:r>
    </w:p>
    <w:p w14:paraId="5817F9A0" w14:textId="77777777" w:rsidR="0036373B" w:rsidRDefault="0036373B" w:rsidP="0053602B">
      <w:pPr>
        <w:spacing w:line="480" w:lineRule="auto"/>
        <w:jc w:val="both"/>
        <w:rPr>
          <w:i/>
          <w:iCs/>
          <w:sz w:val="22"/>
          <w:szCs w:val="22"/>
          <w:lang w:val="en-AU"/>
        </w:rPr>
      </w:pPr>
    </w:p>
    <w:p w14:paraId="2075CA90" w14:textId="68BAE0E1" w:rsidR="007B4265" w:rsidRDefault="007B4265" w:rsidP="007B4265">
      <w:pPr>
        <w:spacing w:line="480" w:lineRule="auto"/>
        <w:jc w:val="both"/>
        <w:rPr>
          <w:i/>
          <w:sz w:val="22"/>
          <w:szCs w:val="22"/>
          <w:lang w:val="en-AU"/>
        </w:rPr>
      </w:pPr>
      <w:r>
        <w:rPr>
          <w:b/>
          <w:bCs/>
          <w:i/>
          <w:sz w:val="22"/>
          <w:szCs w:val="22"/>
          <w:lang w:val="en-AU"/>
        </w:rPr>
        <w:t xml:space="preserve">Supplemental </w:t>
      </w:r>
      <w:r w:rsidRPr="007B4265">
        <w:rPr>
          <w:b/>
          <w:bCs/>
          <w:i/>
          <w:sz w:val="22"/>
          <w:szCs w:val="22"/>
          <w:lang w:val="en-AU"/>
        </w:rPr>
        <w:t xml:space="preserve">Figure 3. </w:t>
      </w:r>
      <w:r w:rsidRPr="007B4265">
        <w:rPr>
          <w:i/>
          <w:sz w:val="22"/>
          <w:szCs w:val="22"/>
          <w:lang w:val="en-AU"/>
        </w:rPr>
        <w:t xml:space="preserve">Characterisation of ihAEC EVs. </w:t>
      </w:r>
      <w:r w:rsidRPr="007B4265">
        <w:rPr>
          <w:b/>
          <w:bCs/>
          <w:i/>
          <w:sz w:val="22"/>
          <w:szCs w:val="22"/>
          <w:lang w:val="en-AU"/>
        </w:rPr>
        <w:t>(A)</w:t>
      </w:r>
      <w:r w:rsidRPr="007B4265">
        <w:rPr>
          <w:i/>
          <w:sz w:val="22"/>
          <w:szCs w:val="22"/>
          <w:lang w:val="en-AU"/>
        </w:rPr>
        <w:t xml:space="preserve"> Protein yield per million cells, </w:t>
      </w:r>
      <w:r w:rsidRPr="007B4265">
        <w:rPr>
          <w:b/>
          <w:bCs/>
          <w:i/>
          <w:sz w:val="22"/>
          <w:szCs w:val="22"/>
          <w:lang w:val="en-AU"/>
        </w:rPr>
        <w:t>(B)</w:t>
      </w:r>
      <w:r w:rsidRPr="007B4265">
        <w:rPr>
          <w:i/>
          <w:sz w:val="22"/>
          <w:szCs w:val="22"/>
          <w:lang w:val="en-AU"/>
        </w:rPr>
        <w:t xml:space="preserve"> protein yield per ml of conditioned media and </w:t>
      </w:r>
      <w:r w:rsidRPr="007B4265">
        <w:rPr>
          <w:b/>
          <w:i/>
          <w:sz w:val="22"/>
          <w:szCs w:val="22"/>
          <w:lang w:val="en-AU"/>
        </w:rPr>
        <w:t>(C)</w:t>
      </w:r>
      <w:r w:rsidRPr="007B4265">
        <w:rPr>
          <w:i/>
          <w:sz w:val="22"/>
          <w:szCs w:val="22"/>
          <w:lang w:val="en-AU"/>
        </w:rPr>
        <w:t xml:space="preserve"> particles per ug of protein for primary hAEC EVs compared to ihAEC EVs. Data represented as mean. </w:t>
      </w:r>
      <w:r w:rsidRPr="007B4265">
        <w:rPr>
          <w:b/>
          <w:bCs/>
          <w:i/>
          <w:sz w:val="22"/>
          <w:szCs w:val="22"/>
          <w:lang w:val="en-AU"/>
        </w:rPr>
        <w:t>(D)</w:t>
      </w:r>
      <w:r w:rsidRPr="007B4265">
        <w:rPr>
          <w:i/>
          <w:sz w:val="22"/>
          <w:szCs w:val="22"/>
          <w:lang w:val="en-AU"/>
        </w:rPr>
        <w:t xml:space="preserve"> Size distribution of ihAEC EVs for each tetraspanin. </w:t>
      </w:r>
      <w:r w:rsidRPr="007B4265">
        <w:rPr>
          <w:b/>
          <w:bCs/>
          <w:i/>
          <w:sz w:val="22"/>
          <w:szCs w:val="22"/>
          <w:lang w:val="en-AU"/>
        </w:rPr>
        <w:t>(E)</w:t>
      </w:r>
      <w:r w:rsidRPr="007B4265">
        <w:rPr>
          <w:i/>
          <w:sz w:val="22"/>
          <w:szCs w:val="22"/>
          <w:lang w:val="en-AU"/>
        </w:rPr>
        <w:t xml:space="preserve"> Unlabelled vs fluorescently labelled count of ihAEC EV tetraspanins CD81, CD63 and CD9. </w:t>
      </w:r>
    </w:p>
    <w:p w14:paraId="03CC3AFC" w14:textId="77777777" w:rsidR="00665F4F" w:rsidRDefault="00665F4F" w:rsidP="007B4265">
      <w:pPr>
        <w:spacing w:line="480" w:lineRule="auto"/>
        <w:jc w:val="both"/>
        <w:rPr>
          <w:i/>
          <w:sz w:val="22"/>
          <w:szCs w:val="22"/>
          <w:lang w:val="en-AU"/>
        </w:rPr>
      </w:pPr>
    </w:p>
    <w:p w14:paraId="15B7342A" w14:textId="2120BBD1" w:rsidR="00F674B2" w:rsidRPr="00F674B2" w:rsidRDefault="00F674B2" w:rsidP="00F674B2">
      <w:pPr>
        <w:spacing w:line="480" w:lineRule="auto"/>
        <w:jc w:val="both"/>
        <w:rPr>
          <w:i/>
          <w:iCs/>
          <w:sz w:val="22"/>
          <w:szCs w:val="22"/>
          <w:lang w:val="en-AU"/>
        </w:rPr>
      </w:pPr>
      <w:r>
        <w:rPr>
          <w:b/>
          <w:bCs/>
          <w:i/>
          <w:iCs/>
          <w:sz w:val="22"/>
          <w:szCs w:val="22"/>
          <w:lang w:val="en-AU"/>
        </w:rPr>
        <w:t xml:space="preserve">Supplemental </w:t>
      </w:r>
      <w:r w:rsidRPr="00F674B2">
        <w:rPr>
          <w:b/>
          <w:bCs/>
          <w:i/>
          <w:iCs/>
          <w:sz w:val="22"/>
          <w:szCs w:val="22"/>
          <w:lang w:val="en-AU"/>
        </w:rPr>
        <w:t xml:space="preserve">Figure 4.  </w:t>
      </w:r>
      <w:r w:rsidRPr="00F674B2">
        <w:rPr>
          <w:i/>
          <w:iCs/>
          <w:sz w:val="22"/>
          <w:szCs w:val="22"/>
          <w:lang w:val="en-AU"/>
        </w:rPr>
        <w:t xml:space="preserve">Comparison between ihAEC cells and EVs of miRNA profile and proteome. </w:t>
      </w:r>
      <w:r w:rsidRPr="00F674B2">
        <w:rPr>
          <w:b/>
          <w:bCs/>
          <w:i/>
          <w:iCs/>
          <w:sz w:val="22"/>
          <w:szCs w:val="22"/>
          <w:lang w:val="en-AU"/>
        </w:rPr>
        <w:t>(A)</w:t>
      </w:r>
      <w:r w:rsidRPr="00F674B2">
        <w:rPr>
          <w:i/>
          <w:iCs/>
          <w:sz w:val="22"/>
          <w:szCs w:val="22"/>
          <w:lang w:val="en-AU"/>
        </w:rPr>
        <w:t xml:space="preserve"> PCA analysis for visualizing the variance between ihAEC cells and EVs (4 donor cell lines) for miRNA expression profiles, plots were generated using raw counts which were normalized (rlog if samples &lt; 30, variance stabilizing transformation (VST) if samples &gt; 30). </w:t>
      </w:r>
      <w:r w:rsidRPr="00F674B2">
        <w:rPr>
          <w:b/>
          <w:bCs/>
          <w:i/>
          <w:iCs/>
          <w:sz w:val="22"/>
          <w:szCs w:val="22"/>
          <w:lang w:val="en-AU"/>
        </w:rPr>
        <w:t>(B)</w:t>
      </w:r>
      <w:r w:rsidRPr="00F674B2">
        <w:rPr>
          <w:i/>
          <w:sz w:val="22"/>
          <w:szCs w:val="22"/>
          <w:lang w:val="en-AU"/>
        </w:rPr>
        <w:t xml:space="preserve"> </w:t>
      </w:r>
      <w:r w:rsidRPr="00F674B2">
        <w:rPr>
          <w:i/>
          <w:iCs/>
          <w:sz w:val="22"/>
          <w:szCs w:val="22"/>
          <w:lang w:val="en-AU"/>
        </w:rPr>
        <w:t xml:space="preserve">Venn analysis of miRNA expressed in ihAEC EV vs cells, 995 total miRNA in cells (pink) and 1106 total miRNA in EVs (green). </w:t>
      </w:r>
      <w:r w:rsidRPr="00F674B2">
        <w:rPr>
          <w:b/>
          <w:bCs/>
          <w:i/>
          <w:iCs/>
          <w:sz w:val="22"/>
          <w:szCs w:val="22"/>
          <w:lang w:val="en-AU"/>
        </w:rPr>
        <w:t>(C)</w:t>
      </w:r>
      <w:r w:rsidRPr="00F674B2">
        <w:rPr>
          <w:i/>
          <w:iCs/>
          <w:sz w:val="22"/>
          <w:szCs w:val="22"/>
          <w:lang w:val="en-AU"/>
        </w:rPr>
        <w:t xml:space="preserve"> PCA plot for ihAEC cells vs EVs (4 donor cells) for proteomes, 70% cut off in at least one group. Missing values imputed from a normal distribution (downshift 1.8, width 0.3). </w:t>
      </w:r>
      <w:r w:rsidRPr="00F674B2">
        <w:rPr>
          <w:b/>
          <w:bCs/>
          <w:i/>
          <w:iCs/>
          <w:sz w:val="22"/>
          <w:szCs w:val="22"/>
          <w:lang w:val="en-AU"/>
        </w:rPr>
        <w:t>(D)</w:t>
      </w:r>
      <w:r w:rsidRPr="00F674B2">
        <w:rPr>
          <w:i/>
          <w:iCs/>
          <w:sz w:val="22"/>
          <w:szCs w:val="22"/>
          <w:lang w:val="en-AU"/>
        </w:rPr>
        <w:t xml:space="preserve"> Venn diagram of ihAEC proteins in ihAEC cells vs EVs, 2274 total proteins in cells (pink) and 1038 total proteins in EVs (green). </w:t>
      </w:r>
      <w:r w:rsidRPr="00F674B2">
        <w:rPr>
          <w:b/>
          <w:bCs/>
          <w:i/>
          <w:iCs/>
          <w:sz w:val="22"/>
          <w:szCs w:val="22"/>
          <w:lang w:val="en-AU"/>
        </w:rPr>
        <w:t>(E)</w:t>
      </w:r>
      <w:r w:rsidRPr="00F674B2">
        <w:rPr>
          <w:i/>
          <w:iCs/>
          <w:sz w:val="22"/>
          <w:szCs w:val="22"/>
          <w:lang w:val="en-AU"/>
        </w:rPr>
        <w:t xml:space="preserve"> Differential analysis of ihAEC cells and EVs, through pairwise student t-test analysis (p-value &lt;0.05), with GO enrichment for differentially abundant proteins grouped as cluster 1 enriched in EVs and cluster 2 enriched in cells.</w:t>
      </w:r>
    </w:p>
    <w:p w14:paraId="3058E2E2" w14:textId="77777777" w:rsidR="00F674B2" w:rsidRPr="00F674B2" w:rsidRDefault="00F674B2" w:rsidP="00F674B2">
      <w:pPr>
        <w:spacing w:line="480" w:lineRule="auto"/>
        <w:jc w:val="both"/>
        <w:rPr>
          <w:i/>
          <w:iCs/>
          <w:sz w:val="22"/>
          <w:szCs w:val="22"/>
          <w:lang w:val="en-AU"/>
        </w:rPr>
      </w:pPr>
    </w:p>
    <w:p w14:paraId="212B1ADA" w14:textId="7ECE8F8A" w:rsidR="009E50FA" w:rsidRPr="00C41764" w:rsidRDefault="003F3095" w:rsidP="00EF0D80">
      <w:pPr>
        <w:spacing w:line="480" w:lineRule="auto"/>
        <w:jc w:val="both"/>
        <w:rPr>
          <w:rFonts w:asciiTheme="minorHAnsi" w:hAnsiTheme="minorHAnsi"/>
          <w:b/>
          <w:i/>
          <w:iCs/>
          <w:sz w:val="22"/>
          <w:szCs w:val="22"/>
          <w:lang w:val="en-AU"/>
        </w:rPr>
      </w:pPr>
      <w:r>
        <w:rPr>
          <w:b/>
          <w:i/>
          <w:iCs/>
          <w:sz w:val="22"/>
          <w:szCs w:val="22"/>
          <w:lang w:val="en-AU"/>
        </w:rPr>
        <w:lastRenderedPageBreak/>
        <w:t xml:space="preserve">Supplemental </w:t>
      </w:r>
      <w:r w:rsidRPr="003F3095">
        <w:rPr>
          <w:b/>
          <w:i/>
          <w:iCs/>
          <w:sz w:val="22"/>
          <w:szCs w:val="22"/>
          <w:lang w:val="en-AU"/>
        </w:rPr>
        <w:t>Figure 5.</w:t>
      </w:r>
      <w:r w:rsidRPr="003F3095">
        <w:rPr>
          <w:i/>
          <w:iCs/>
          <w:sz w:val="22"/>
          <w:szCs w:val="22"/>
          <w:lang w:val="en-AU"/>
        </w:rPr>
        <w:t xml:space="preserve"> Serum protein abundance as detected by SomaScan for </w:t>
      </w:r>
      <w:r w:rsidRPr="003F3095">
        <w:rPr>
          <w:b/>
          <w:bCs/>
          <w:i/>
          <w:iCs/>
          <w:sz w:val="22"/>
          <w:szCs w:val="22"/>
          <w:lang w:val="en-AU"/>
        </w:rPr>
        <w:t>(A)</w:t>
      </w:r>
      <w:r w:rsidRPr="003F3095">
        <w:rPr>
          <w:i/>
          <w:iCs/>
          <w:sz w:val="22"/>
          <w:szCs w:val="22"/>
          <w:lang w:val="en-AU"/>
        </w:rPr>
        <w:t xml:space="preserve"> alanine aminotransferase </w:t>
      </w:r>
      <w:r w:rsidRPr="003F3095">
        <w:rPr>
          <w:b/>
          <w:bCs/>
          <w:i/>
          <w:iCs/>
          <w:sz w:val="22"/>
          <w:szCs w:val="22"/>
          <w:lang w:val="en-AU"/>
        </w:rPr>
        <w:t>(B)</w:t>
      </w:r>
      <w:r w:rsidRPr="003F3095">
        <w:rPr>
          <w:i/>
          <w:iCs/>
          <w:sz w:val="22"/>
          <w:szCs w:val="22"/>
          <w:lang w:val="en-AU"/>
        </w:rPr>
        <w:t xml:space="preserve"> Aspartate aminotransferase and </w:t>
      </w:r>
      <w:r w:rsidRPr="003F3095">
        <w:rPr>
          <w:b/>
          <w:bCs/>
          <w:i/>
          <w:iCs/>
          <w:sz w:val="22"/>
          <w:szCs w:val="22"/>
          <w:lang w:val="en-AU"/>
        </w:rPr>
        <w:t>(C)</w:t>
      </w:r>
      <w:r w:rsidRPr="003F3095">
        <w:rPr>
          <w:i/>
          <w:iCs/>
          <w:sz w:val="22"/>
          <w:szCs w:val="22"/>
          <w:lang w:val="en-AU"/>
        </w:rPr>
        <w:t xml:space="preserve"> albumin for all treatment groups at 12 weeks, 18 weeks and 24 weeks. The box centre line indicates the median, box bounds represent 25th and 75th percentiles, and the whiskers are the most extreme values within 1.5× the interquartile range from the nearer quartile. Data presented as log2 transformed (RFU relative fluorescence units).</w:t>
      </w:r>
      <w:r w:rsidR="004174D7">
        <w:rPr>
          <w:rFonts w:asciiTheme="minorHAnsi" w:hAnsiTheme="minorHAnsi"/>
          <w:sz w:val="28"/>
          <w:szCs w:val="28"/>
        </w:rPr>
        <w:fldChar w:fldCharType="begin"/>
      </w:r>
      <w:r w:rsidR="004174D7">
        <w:rPr>
          <w:rFonts w:asciiTheme="minorHAnsi" w:hAnsiTheme="minorHAnsi"/>
          <w:sz w:val="28"/>
          <w:szCs w:val="28"/>
        </w:rPr>
        <w:instrText xml:space="preserve"> ADDIN </w:instrText>
      </w:r>
      <w:r w:rsidR="004174D7">
        <w:rPr>
          <w:rFonts w:asciiTheme="minorHAnsi" w:hAnsiTheme="minorHAnsi"/>
          <w:sz w:val="28"/>
          <w:szCs w:val="28"/>
        </w:rPr>
        <w:fldChar w:fldCharType="end"/>
      </w:r>
    </w:p>
    <w:sectPr w:rsidR="009E50FA" w:rsidRPr="00C41764" w:rsidSect="0017360E">
      <w:headerReference w:type="default" r:id="rId9"/>
      <w:pgSz w:w="11906" w:h="16838"/>
      <w:pgMar w:top="1440" w:right="1440" w:bottom="1440" w:left="1440" w:header="708" w:footer="708" w:gutter="0"/>
      <w:lnNumType w:countBy="1" w:restart="continuous"/>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6FE245" w14:textId="77777777" w:rsidR="009B67F7" w:rsidRDefault="009B67F7">
      <w:r>
        <w:separator/>
      </w:r>
    </w:p>
  </w:endnote>
  <w:endnote w:type="continuationSeparator" w:id="0">
    <w:p w14:paraId="3491A471" w14:textId="77777777" w:rsidR="009B67F7" w:rsidRDefault="009B67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ptos">
    <w:charset w:val="00"/>
    <w:family w:val="swiss"/>
    <w:pitch w:val="variable"/>
    <w:sig w:usb0="20000287" w:usb1="00000003" w:usb2="00000000" w:usb3="00000000" w:csb0="0000019F" w:csb1="00000000"/>
    <w:embedRegular r:id="rId1" w:fontKey="{F66FF9F4-C2AC-4079-A213-3028D4685713}"/>
    <w:embedBold r:id="rId2" w:fontKey="{3E039203-2914-4B8A-BE81-DAF68E647AE4}"/>
    <w:embedItalic r:id="rId3" w:fontKey="{98E150A3-76CD-4B06-B5D1-4EC949E76D5C}"/>
    <w:embedBoldItalic r:id="rId4" w:fontKey="{09B7AFFE-2499-4A86-999F-498D571E1CA7}"/>
  </w:font>
  <w:font w:name="Aptos Display">
    <w:charset w:val="00"/>
    <w:family w:val="swiss"/>
    <w:pitch w:val="variable"/>
    <w:sig w:usb0="20000287" w:usb1="00000003" w:usb2="00000000" w:usb3="00000000" w:csb0="0000019F" w:csb1="00000000"/>
    <w:embedRegular r:id="rId5" w:fontKey="{F8FAAD62-AFE1-465B-A7C6-3001BB57178F}"/>
  </w:font>
  <w:font w:name="Helvetica Neue LT Std">
    <w:altName w:val="Arial"/>
    <w:panose1 w:val="00000000000000000000"/>
    <w:charset w:val="00"/>
    <w:family w:val="roman"/>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6F46B0" w14:textId="77777777" w:rsidR="009B67F7" w:rsidRDefault="009B67F7">
      <w:r>
        <w:separator/>
      </w:r>
    </w:p>
  </w:footnote>
  <w:footnote w:type="continuationSeparator" w:id="0">
    <w:p w14:paraId="7D598A0C" w14:textId="77777777" w:rsidR="009B67F7" w:rsidRDefault="009B67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4457E6" w14:textId="4CE078EA" w:rsidR="00D02D72" w:rsidRDefault="00AB1790">
    <w:pPr>
      <w:jc w:val="right"/>
    </w:pPr>
    <w:r>
      <w:fldChar w:fldCharType="begin"/>
    </w:r>
    <w:r>
      <w:instrText>PAGE</w:instrText>
    </w:r>
    <w:r>
      <w:fldChar w:fldCharType="separate"/>
    </w:r>
    <w:r w:rsidR="008602C4">
      <w:rPr>
        <w:noProof/>
      </w:rPr>
      <w:t>1</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06822"/>
    <w:multiLevelType w:val="multilevel"/>
    <w:tmpl w:val="70CEF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9951B5B"/>
    <w:multiLevelType w:val="multilevel"/>
    <w:tmpl w:val="3B569A6E"/>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869992531">
    <w:abstractNumId w:val="1"/>
  </w:num>
  <w:num w:numId="2" w16cid:durableId="18878352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embedTrueTypeFont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Apto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0eadd9abzszdmepps1vfvvsw0zardftavfz&quot;&gt;Lit Review Library&lt;record-ids&gt;&lt;item&gt;53&lt;/item&gt;&lt;item&gt;159&lt;/item&gt;&lt;item&gt;176&lt;/item&gt;&lt;item&gt;177&lt;/item&gt;&lt;item&gt;178&lt;/item&gt;&lt;item&gt;179&lt;/item&gt;&lt;item&gt;180&lt;/item&gt;&lt;item&gt;181&lt;/item&gt;&lt;item&gt;201&lt;/item&gt;&lt;item&gt;203&lt;/item&gt;&lt;item&gt;208&lt;/item&gt;&lt;item&gt;258&lt;/item&gt;&lt;item&gt;259&lt;/item&gt;&lt;item&gt;260&lt;/item&gt;&lt;item&gt;267&lt;/item&gt;&lt;item&gt;268&lt;/item&gt;&lt;item&gt;269&lt;/item&gt;&lt;item&gt;270&lt;/item&gt;&lt;item&gt;271&lt;/item&gt;&lt;item&gt;272&lt;/item&gt;&lt;item&gt;273&lt;/item&gt;&lt;item&gt;274&lt;/item&gt;&lt;item&gt;276&lt;/item&gt;&lt;item&gt;278&lt;/item&gt;&lt;item&gt;279&lt;/item&gt;&lt;item&gt;280&lt;/item&gt;&lt;item&gt;281&lt;/item&gt;&lt;item&gt;283&lt;/item&gt;&lt;item&gt;284&lt;/item&gt;&lt;item&gt;287&lt;/item&gt;&lt;item&gt;288&lt;/item&gt;&lt;item&gt;289&lt;/item&gt;&lt;item&gt;290&lt;/item&gt;&lt;item&gt;291&lt;/item&gt;&lt;item&gt;293&lt;/item&gt;&lt;item&gt;295&lt;/item&gt;&lt;item&gt;296&lt;/item&gt;&lt;item&gt;297&lt;/item&gt;&lt;item&gt;298&lt;/item&gt;&lt;item&gt;299&lt;/item&gt;&lt;item&gt;301&lt;/item&gt;&lt;item&gt;302&lt;/item&gt;&lt;item&gt;303&lt;/item&gt;&lt;item&gt;304&lt;/item&gt;&lt;item&gt;305&lt;/item&gt;&lt;item&gt;306&lt;/item&gt;&lt;item&gt;307&lt;/item&gt;&lt;item&gt;308&lt;/item&gt;&lt;item&gt;309&lt;/item&gt;&lt;item&gt;310&lt;/item&gt;&lt;item&gt;311&lt;/item&gt;&lt;item&gt;312&lt;/item&gt;&lt;item&gt;313&lt;/item&gt;&lt;item&gt;314&lt;/item&gt;&lt;item&gt;315&lt;/item&gt;&lt;item&gt;316&lt;/item&gt;&lt;item&gt;317&lt;/item&gt;&lt;item&gt;318&lt;/item&gt;&lt;item&gt;319&lt;/item&gt;&lt;item&gt;320&lt;/item&gt;&lt;item&gt;321&lt;/item&gt;&lt;item&gt;322&lt;/item&gt;&lt;item&gt;323&lt;/item&gt;&lt;item&gt;324&lt;/item&gt;&lt;item&gt;325&lt;/item&gt;&lt;item&gt;326&lt;/item&gt;&lt;item&gt;327&lt;/item&gt;&lt;item&gt;328&lt;/item&gt;&lt;item&gt;329&lt;/item&gt;&lt;item&gt;330&lt;/item&gt;&lt;item&gt;331&lt;/item&gt;&lt;item&gt;332&lt;/item&gt;&lt;item&gt;333&lt;/item&gt;&lt;item&gt;334&lt;/item&gt;&lt;item&gt;335&lt;/item&gt;&lt;item&gt;336&lt;/item&gt;&lt;item&gt;337&lt;/item&gt;&lt;item&gt;339&lt;/item&gt;&lt;item&gt;340&lt;/item&gt;&lt;item&gt;341&lt;/item&gt;&lt;item&gt;342&lt;/item&gt;&lt;item&gt;343&lt;/item&gt;&lt;item&gt;345&lt;/item&gt;&lt;item&gt;347&lt;/item&gt;&lt;/record-ids&gt;&lt;/item&gt;&lt;/Libraries&gt;"/>
  </w:docVars>
  <w:rsids>
    <w:rsidRoot w:val="00D02D72"/>
    <w:rsid w:val="0000119E"/>
    <w:rsid w:val="00002983"/>
    <w:rsid w:val="00010604"/>
    <w:rsid w:val="000112A6"/>
    <w:rsid w:val="00013324"/>
    <w:rsid w:val="000200A8"/>
    <w:rsid w:val="00020E13"/>
    <w:rsid w:val="0002129C"/>
    <w:rsid w:val="00021654"/>
    <w:rsid w:val="00021D4F"/>
    <w:rsid w:val="00021EB1"/>
    <w:rsid w:val="000227F7"/>
    <w:rsid w:val="00022849"/>
    <w:rsid w:val="00026B3E"/>
    <w:rsid w:val="00026D9C"/>
    <w:rsid w:val="00027E04"/>
    <w:rsid w:val="000304ED"/>
    <w:rsid w:val="0003132D"/>
    <w:rsid w:val="00031932"/>
    <w:rsid w:val="00032490"/>
    <w:rsid w:val="000329D7"/>
    <w:rsid w:val="00034099"/>
    <w:rsid w:val="0003445C"/>
    <w:rsid w:val="00035883"/>
    <w:rsid w:val="00036531"/>
    <w:rsid w:val="000411CF"/>
    <w:rsid w:val="0004208F"/>
    <w:rsid w:val="0004260D"/>
    <w:rsid w:val="0004339C"/>
    <w:rsid w:val="00043543"/>
    <w:rsid w:val="00045FE1"/>
    <w:rsid w:val="0004756B"/>
    <w:rsid w:val="000505A2"/>
    <w:rsid w:val="00050D83"/>
    <w:rsid w:val="00051C84"/>
    <w:rsid w:val="0005227D"/>
    <w:rsid w:val="00052C85"/>
    <w:rsid w:val="00055FD8"/>
    <w:rsid w:val="000575A8"/>
    <w:rsid w:val="00057FA9"/>
    <w:rsid w:val="00060EE6"/>
    <w:rsid w:val="000635A0"/>
    <w:rsid w:val="000647EF"/>
    <w:rsid w:val="00070EF6"/>
    <w:rsid w:val="00075040"/>
    <w:rsid w:val="00082750"/>
    <w:rsid w:val="00082AF0"/>
    <w:rsid w:val="00082CE3"/>
    <w:rsid w:val="00083AB2"/>
    <w:rsid w:val="00091979"/>
    <w:rsid w:val="00092218"/>
    <w:rsid w:val="00094053"/>
    <w:rsid w:val="00094BE6"/>
    <w:rsid w:val="00096248"/>
    <w:rsid w:val="000A170F"/>
    <w:rsid w:val="000A1E4C"/>
    <w:rsid w:val="000A245A"/>
    <w:rsid w:val="000A2DBF"/>
    <w:rsid w:val="000A3978"/>
    <w:rsid w:val="000A439E"/>
    <w:rsid w:val="000A62C8"/>
    <w:rsid w:val="000B1C5C"/>
    <w:rsid w:val="000B1D43"/>
    <w:rsid w:val="000B2FD2"/>
    <w:rsid w:val="000B3C0E"/>
    <w:rsid w:val="000B4EB0"/>
    <w:rsid w:val="000B5515"/>
    <w:rsid w:val="000B79D4"/>
    <w:rsid w:val="000B7F0D"/>
    <w:rsid w:val="000C2A30"/>
    <w:rsid w:val="000C4F37"/>
    <w:rsid w:val="000C6578"/>
    <w:rsid w:val="000C792E"/>
    <w:rsid w:val="000D023B"/>
    <w:rsid w:val="000D05A8"/>
    <w:rsid w:val="000D0BD4"/>
    <w:rsid w:val="000D1E12"/>
    <w:rsid w:val="000D29E3"/>
    <w:rsid w:val="000D36B9"/>
    <w:rsid w:val="000D471A"/>
    <w:rsid w:val="000D66D5"/>
    <w:rsid w:val="000D66EF"/>
    <w:rsid w:val="000D6FE6"/>
    <w:rsid w:val="000D7C99"/>
    <w:rsid w:val="000E25D1"/>
    <w:rsid w:val="000E44F9"/>
    <w:rsid w:val="000E5400"/>
    <w:rsid w:val="000E5D9F"/>
    <w:rsid w:val="000E719C"/>
    <w:rsid w:val="000F2DC4"/>
    <w:rsid w:val="00103233"/>
    <w:rsid w:val="00103D1C"/>
    <w:rsid w:val="00103D89"/>
    <w:rsid w:val="00104645"/>
    <w:rsid w:val="00104A71"/>
    <w:rsid w:val="0010557B"/>
    <w:rsid w:val="00111972"/>
    <w:rsid w:val="00112DE1"/>
    <w:rsid w:val="00113075"/>
    <w:rsid w:val="001137D8"/>
    <w:rsid w:val="001167B5"/>
    <w:rsid w:val="00120CF1"/>
    <w:rsid w:val="00121C30"/>
    <w:rsid w:val="0012661E"/>
    <w:rsid w:val="00126FB7"/>
    <w:rsid w:val="001278D5"/>
    <w:rsid w:val="001314FC"/>
    <w:rsid w:val="00131715"/>
    <w:rsid w:val="00131CB4"/>
    <w:rsid w:val="00133032"/>
    <w:rsid w:val="00135D11"/>
    <w:rsid w:val="001371E1"/>
    <w:rsid w:val="0014001D"/>
    <w:rsid w:val="001414D2"/>
    <w:rsid w:val="00141A90"/>
    <w:rsid w:val="001421A5"/>
    <w:rsid w:val="001426C8"/>
    <w:rsid w:val="00142E74"/>
    <w:rsid w:val="00143A77"/>
    <w:rsid w:val="00151C29"/>
    <w:rsid w:val="0015227F"/>
    <w:rsid w:val="00154FDE"/>
    <w:rsid w:val="00155C77"/>
    <w:rsid w:val="00156689"/>
    <w:rsid w:val="00157C54"/>
    <w:rsid w:val="00157F9A"/>
    <w:rsid w:val="00160136"/>
    <w:rsid w:val="00160FC0"/>
    <w:rsid w:val="00161950"/>
    <w:rsid w:val="00162B0B"/>
    <w:rsid w:val="001654CD"/>
    <w:rsid w:val="0017360E"/>
    <w:rsid w:val="001744E9"/>
    <w:rsid w:val="001764AD"/>
    <w:rsid w:val="00177484"/>
    <w:rsid w:val="00180624"/>
    <w:rsid w:val="001808A8"/>
    <w:rsid w:val="001830A2"/>
    <w:rsid w:val="001839A8"/>
    <w:rsid w:val="00185D1F"/>
    <w:rsid w:val="00186A6E"/>
    <w:rsid w:val="00187BF2"/>
    <w:rsid w:val="00191246"/>
    <w:rsid w:val="00191B9B"/>
    <w:rsid w:val="0019449B"/>
    <w:rsid w:val="001945ED"/>
    <w:rsid w:val="00194D41"/>
    <w:rsid w:val="001953E1"/>
    <w:rsid w:val="00196556"/>
    <w:rsid w:val="00196B26"/>
    <w:rsid w:val="001A088D"/>
    <w:rsid w:val="001A1AA6"/>
    <w:rsid w:val="001A1F94"/>
    <w:rsid w:val="001A1FA5"/>
    <w:rsid w:val="001A3189"/>
    <w:rsid w:val="001A33A7"/>
    <w:rsid w:val="001A59AE"/>
    <w:rsid w:val="001A5A30"/>
    <w:rsid w:val="001A5AAE"/>
    <w:rsid w:val="001A6994"/>
    <w:rsid w:val="001B1BB4"/>
    <w:rsid w:val="001B2EBD"/>
    <w:rsid w:val="001B371F"/>
    <w:rsid w:val="001B3C31"/>
    <w:rsid w:val="001C5139"/>
    <w:rsid w:val="001D496A"/>
    <w:rsid w:val="001D5464"/>
    <w:rsid w:val="001D7EA2"/>
    <w:rsid w:val="001E1778"/>
    <w:rsid w:val="001E249D"/>
    <w:rsid w:val="001E2CD4"/>
    <w:rsid w:val="001E3721"/>
    <w:rsid w:val="001E37E7"/>
    <w:rsid w:val="001E3DE2"/>
    <w:rsid w:val="001E3F25"/>
    <w:rsid w:val="001E55F3"/>
    <w:rsid w:val="001E58EC"/>
    <w:rsid w:val="001E6F24"/>
    <w:rsid w:val="001E7696"/>
    <w:rsid w:val="001F09FA"/>
    <w:rsid w:val="001F169E"/>
    <w:rsid w:val="001F5DBC"/>
    <w:rsid w:val="001F7139"/>
    <w:rsid w:val="00200FE7"/>
    <w:rsid w:val="00201577"/>
    <w:rsid w:val="00203CC1"/>
    <w:rsid w:val="00204FCE"/>
    <w:rsid w:val="0020653A"/>
    <w:rsid w:val="00206BC0"/>
    <w:rsid w:val="00206C7E"/>
    <w:rsid w:val="0020780F"/>
    <w:rsid w:val="00207E30"/>
    <w:rsid w:val="00210D53"/>
    <w:rsid w:val="00213E17"/>
    <w:rsid w:val="00214686"/>
    <w:rsid w:val="00215F43"/>
    <w:rsid w:val="00216D41"/>
    <w:rsid w:val="002206DB"/>
    <w:rsid w:val="0022173A"/>
    <w:rsid w:val="00222C9B"/>
    <w:rsid w:val="002235FF"/>
    <w:rsid w:val="00224FE0"/>
    <w:rsid w:val="00225270"/>
    <w:rsid w:val="00225726"/>
    <w:rsid w:val="00225F9F"/>
    <w:rsid w:val="00230A3F"/>
    <w:rsid w:val="00231833"/>
    <w:rsid w:val="002332DA"/>
    <w:rsid w:val="00234B70"/>
    <w:rsid w:val="00236096"/>
    <w:rsid w:val="002369B2"/>
    <w:rsid w:val="00237FC8"/>
    <w:rsid w:val="00242699"/>
    <w:rsid w:val="0024352E"/>
    <w:rsid w:val="00243C34"/>
    <w:rsid w:val="002447AF"/>
    <w:rsid w:val="0024777F"/>
    <w:rsid w:val="002504C3"/>
    <w:rsid w:val="00250C94"/>
    <w:rsid w:val="00250DA1"/>
    <w:rsid w:val="002510D1"/>
    <w:rsid w:val="00251E84"/>
    <w:rsid w:val="002535E2"/>
    <w:rsid w:val="00253F4C"/>
    <w:rsid w:val="002553A6"/>
    <w:rsid w:val="002556C8"/>
    <w:rsid w:val="00256160"/>
    <w:rsid w:val="00260C39"/>
    <w:rsid w:val="00262014"/>
    <w:rsid w:val="00264CE3"/>
    <w:rsid w:val="00264DBD"/>
    <w:rsid w:val="00265FF5"/>
    <w:rsid w:val="0026633A"/>
    <w:rsid w:val="002672B3"/>
    <w:rsid w:val="00267425"/>
    <w:rsid w:val="002679DB"/>
    <w:rsid w:val="00267DB5"/>
    <w:rsid w:val="002703E4"/>
    <w:rsid w:val="00271457"/>
    <w:rsid w:val="0027240D"/>
    <w:rsid w:val="00275BCD"/>
    <w:rsid w:val="002776AF"/>
    <w:rsid w:val="002832B6"/>
    <w:rsid w:val="002940E9"/>
    <w:rsid w:val="002944CE"/>
    <w:rsid w:val="002947D7"/>
    <w:rsid w:val="00295B36"/>
    <w:rsid w:val="0029678C"/>
    <w:rsid w:val="002A0111"/>
    <w:rsid w:val="002A0617"/>
    <w:rsid w:val="002A0C6A"/>
    <w:rsid w:val="002A31D0"/>
    <w:rsid w:val="002A35E8"/>
    <w:rsid w:val="002A3758"/>
    <w:rsid w:val="002A37FD"/>
    <w:rsid w:val="002A388B"/>
    <w:rsid w:val="002A474A"/>
    <w:rsid w:val="002A5AEA"/>
    <w:rsid w:val="002B35A6"/>
    <w:rsid w:val="002B456E"/>
    <w:rsid w:val="002B4800"/>
    <w:rsid w:val="002C19E7"/>
    <w:rsid w:val="002C2F94"/>
    <w:rsid w:val="002C33F8"/>
    <w:rsid w:val="002C3E0B"/>
    <w:rsid w:val="002C6DC7"/>
    <w:rsid w:val="002D0496"/>
    <w:rsid w:val="002D1731"/>
    <w:rsid w:val="002D194F"/>
    <w:rsid w:val="002D79B6"/>
    <w:rsid w:val="002E2A94"/>
    <w:rsid w:val="002E7269"/>
    <w:rsid w:val="002F0E0E"/>
    <w:rsid w:val="002F17A7"/>
    <w:rsid w:val="002F39B2"/>
    <w:rsid w:val="002F5192"/>
    <w:rsid w:val="002F64CF"/>
    <w:rsid w:val="002F7996"/>
    <w:rsid w:val="00301992"/>
    <w:rsid w:val="00301E9C"/>
    <w:rsid w:val="0030249B"/>
    <w:rsid w:val="0030255E"/>
    <w:rsid w:val="0030349A"/>
    <w:rsid w:val="0030396E"/>
    <w:rsid w:val="00307417"/>
    <w:rsid w:val="00310841"/>
    <w:rsid w:val="003108E1"/>
    <w:rsid w:val="00310ED9"/>
    <w:rsid w:val="00313E82"/>
    <w:rsid w:val="00315ED6"/>
    <w:rsid w:val="00315FE0"/>
    <w:rsid w:val="003222F9"/>
    <w:rsid w:val="003235E9"/>
    <w:rsid w:val="00324A99"/>
    <w:rsid w:val="00325FCB"/>
    <w:rsid w:val="003307E4"/>
    <w:rsid w:val="00332C04"/>
    <w:rsid w:val="00332D1C"/>
    <w:rsid w:val="003334A6"/>
    <w:rsid w:val="00333DEB"/>
    <w:rsid w:val="003354B5"/>
    <w:rsid w:val="00337CE7"/>
    <w:rsid w:val="003402CC"/>
    <w:rsid w:val="00340754"/>
    <w:rsid w:val="003410BB"/>
    <w:rsid w:val="00342F20"/>
    <w:rsid w:val="003432FA"/>
    <w:rsid w:val="003442D6"/>
    <w:rsid w:val="003443AB"/>
    <w:rsid w:val="00350F4B"/>
    <w:rsid w:val="00354EC0"/>
    <w:rsid w:val="00356106"/>
    <w:rsid w:val="00356213"/>
    <w:rsid w:val="00357A1D"/>
    <w:rsid w:val="0036373B"/>
    <w:rsid w:val="003644FB"/>
    <w:rsid w:val="00364A6D"/>
    <w:rsid w:val="003653F2"/>
    <w:rsid w:val="00365663"/>
    <w:rsid w:val="00366210"/>
    <w:rsid w:val="00370459"/>
    <w:rsid w:val="003705C3"/>
    <w:rsid w:val="0037249B"/>
    <w:rsid w:val="00373E11"/>
    <w:rsid w:val="003773DF"/>
    <w:rsid w:val="00377D01"/>
    <w:rsid w:val="0038160F"/>
    <w:rsid w:val="0038279D"/>
    <w:rsid w:val="003840DC"/>
    <w:rsid w:val="0038483C"/>
    <w:rsid w:val="003856AE"/>
    <w:rsid w:val="00385D36"/>
    <w:rsid w:val="003865F7"/>
    <w:rsid w:val="00386BEA"/>
    <w:rsid w:val="003871B3"/>
    <w:rsid w:val="0039101B"/>
    <w:rsid w:val="003928F3"/>
    <w:rsid w:val="003A1339"/>
    <w:rsid w:val="003A1B46"/>
    <w:rsid w:val="003A25B4"/>
    <w:rsid w:val="003A26F8"/>
    <w:rsid w:val="003A501A"/>
    <w:rsid w:val="003B0064"/>
    <w:rsid w:val="003B0ABF"/>
    <w:rsid w:val="003B1047"/>
    <w:rsid w:val="003B24D9"/>
    <w:rsid w:val="003B3130"/>
    <w:rsid w:val="003B3523"/>
    <w:rsid w:val="003B62A5"/>
    <w:rsid w:val="003B64D1"/>
    <w:rsid w:val="003B694C"/>
    <w:rsid w:val="003B6BD2"/>
    <w:rsid w:val="003C10C7"/>
    <w:rsid w:val="003C1A48"/>
    <w:rsid w:val="003C25EA"/>
    <w:rsid w:val="003C4216"/>
    <w:rsid w:val="003C4302"/>
    <w:rsid w:val="003C4E24"/>
    <w:rsid w:val="003C53BA"/>
    <w:rsid w:val="003C65EF"/>
    <w:rsid w:val="003D0ACC"/>
    <w:rsid w:val="003D0D6D"/>
    <w:rsid w:val="003D2822"/>
    <w:rsid w:val="003D63B9"/>
    <w:rsid w:val="003D7265"/>
    <w:rsid w:val="003E00EA"/>
    <w:rsid w:val="003E1AE0"/>
    <w:rsid w:val="003E269C"/>
    <w:rsid w:val="003E2ECC"/>
    <w:rsid w:val="003E3ED2"/>
    <w:rsid w:val="003E5F2A"/>
    <w:rsid w:val="003E632C"/>
    <w:rsid w:val="003E6412"/>
    <w:rsid w:val="003E6522"/>
    <w:rsid w:val="003F21DF"/>
    <w:rsid w:val="003F27E9"/>
    <w:rsid w:val="003F3095"/>
    <w:rsid w:val="003F3D55"/>
    <w:rsid w:val="003F4AB2"/>
    <w:rsid w:val="003F646E"/>
    <w:rsid w:val="003F6CA3"/>
    <w:rsid w:val="003F75C7"/>
    <w:rsid w:val="004008B1"/>
    <w:rsid w:val="004038C2"/>
    <w:rsid w:val="0040393C"/>
    <w:rsid w:val="00404A2F"/>
    <w:rsid w:val="00406D8E"/>
    <w:rsid w:val="0040701B"/>
    <w:rsid w:val="00410446"/>
    <w:rsid w:val="004113AC"/>
    <w:rsid w:val="00413A03"/>
    <w:rsid w:val="00414639"/>
    <w:rsid w:val="004157D4"/>
    <w:rsid w:val="00416B62"/>
    <w:rsid w:val="004174D7"/>
    <w:rsid w:val="0042330C"/>
    <w:rsid w:val="00423D1F"/>
    <w:rsid w:val="00424840"/>
    <w:rsid w:val="00425E95"/>
    <w:rsid w:val="00425FFA"/>
    <w:rsid w:val="00426071"/>
    <w:rsid w:val="0042722B"/>
    <w:rsid w:val="00427689"/>
    <w:rsid w:val="00430B4C"/>
    <w:rsid w:val="00431CEE"/>
    <w:rsid w:val="0043264F"/>
    <w:rsid w:val="004337FA"/>
    <w:rsid w:val="00443D82"/>
    <w:rsid w:val="00443DA4"/>
    <w:rsid w:val="00444A53"/>
    <w:rsid w:val="0044554C"/>
    <w:rsid w:val="00452315"/>
    <w:rsid w:val="004539B2"/>
    <w:rsid w:val="0045419C"/>
    <w:rsid w:val="00461E60"/>
    <w:rsid w:val="004640DC"/>
    <w:rsid w:val="00464A7C"/>
    <w:rsid w:val="00464F60"/>
    <w:rsid w:val="004662BA"/>
    <w:rsid w:val="004700D3"/>
    <w:rsid w:val="0047195E"/>
    <w:rsid w:val="00472AE4"/>
    <w:rsid w:val="00474608"/>
    <w:rsid w:val="00475655"/>
    <w:rsid w:val="00475B21"/>
    <w:rsid w:val="00481F69"/>
    <w:rsid w:val="00482082"/>
    <w:rsid w:val="00482301"/>
    <w:rsid w:val="00482A41"/>
    <w:rsid w:val="00482D61"/>
    <w:rsid w:val="004833F9"/>
    <w:rsid w:val="00483557"/>
    <w:rsid w:val="0048377F"/>
    <w:rsid w:val="0048380D"/>
    <w:rsid w:val="004841C4"/>
    <w:rsid w:val="00487109"/>
    <w:rsid w:val="004930AB"/>
    <w:rsid w:val="004930E9"/>
    <w:rsid w:val="00493E94"/>
    <w:rsid w:val="00497E31"/>
    <w:rsid w:val="004A2042"/>
    <w:rsid w:val="004A3393"/>
    <w:rsid w:val="004B0978"/>
    <w:rsid w:val="004B1A2D"/>
    <w:rsid w:val="004B3E67"/>
    <w:rsid w:val="004B48A2"/>
    <w:rsid w:val="004B4AC5"/>
    <w:rsid w:val="004B54AC"/>
    <w:rsid w:val="004C12F9"/>
    <w:rsid w:val="004C1C26"/>
    <w:rsid w:val="004C3955"/>
    <w:rsid w:val="004C3F5A"/>
    <w:rsid w:val="004C4231"/>
    <w:rsid w:val="004C7D0E"/>
    <w:rsid w:val="004D09E8"/>
    <w:rsid w:val="004D0C9B"/>
    <w:rsid w:val="004D4933"/>
    <w:rsid w:val="004D5C17"/>
    <w:rsid w:val="004D6334"/>
    <w:rsid w:val="004D72A3"/>
    <w:rsid w:val="004D7B2D"/>
    <w:rsid w:val="004E09EF"/>
    <w:rsid w:val="004E262B"/>
    <w:rsid w:val="004E3B33"/>
    <w:rsid w:val="004E4413"/>
    <w:rsid w:val="004F130A"/>
    <w:rsid w:val="004F3E6F"/>
    <w:rsid w:val="004F7956"/>
    <w:rsid w:val="00505925"/>
    <w:rsid w:val="00506D3E"/>
    <w:rsid w:val="00507192"/>
    <w:rsid w:val="005100CB"/>
    <w:rsid w:val="00511150"/>
    <w:rsid w:val="00511594"/>
    <w:rsid w:val="00511638"/>
    <w:rsid w:val="00511723"/>
    <w:rsid w:val="00512413"/>
    <w:rsid w:val="005127B1"/>
    <w:rsid w:val="00513643"/>
    <w:rsid w:val="00513CB0"/>
    <w:rsid w:val="00515432"/>
    <w:rsid w:val="0051597A"/>
    <w:rsid w:val="00516640"/>
    <w:rsid w:val="00525DA3"/>
    <w:rsid w:val="0052675C"/>
    <w:rsid w:val="00527A30"/>
    <w:rsid w:val="00527A6C"/>
    <w:rsid w:val="0053350E"/>
    <w:rsid w:val="0053602B"/>
    <w:rsid w:val="00537F8B"/>
    <w:rsid w:val="0054075B"/>
    <w:rsid w:val="00540A2B"/>
    <w:rsid w:val="005410CF"/>
    <w:rsid w:val="005422F7"/>
    <w:rsid w:val="00542C82"/>
    <w:rsid w:val="00543EEF"/>
    <w:rsid w:val="00544B85"/>
    <w:rsid w:val="00546164"/>
    <w:rsid w:val="0054724E"/>
    <w:rsid w:val="005474EC"/>
    <w:rsid w:val="00547A28"/>
    <w:rsid w:val="00547CEA"/>
    <w:rsid w:val="00551CF3"/>
    <w:rsid w:val="00552550"/>
    <w:rsid w:val="00553555"/>
    <w:rsid w:val="00554DE5"/>
    <w:rsid w:val="00556CFC"/>
    <w:rsid w:val="00557405"/>
    <w:rsid w:val="0055754A"/>
    <w:rsid w:val="00557E30"/>
    <w:rsid w:val="00561C92"/>
    <w:rsid w:val="00565784"/>
    <w:rsid w:val="00566A3C"/>
    <w:rsid w:val="00570141"/>
    <w:rsid w:val="00570325"/>
    <w:rsid w:val="0057172E"/>
    <w:rsid w:val="00571E26"/>
    <w:rsid w:val="00572F08"/>
    <w:rsid w:val="005749EC"/>
    <w:rsid w:val="005753EF"/>
    <w:rsid w:val="0057729C"/>
    <w:rsid w:val="00581862"/>
    <w:rsid w:val="00582FD6"/>
    <w:rsid w:val="00583D0C"/>
    <w:rsid w:val="005842DE"/>
    <w:rsid w:val="005854D0"/>
    <w:rsid w:val="00585A57"/>
    <w:rsid w:val="00586852"/>
    <w:rsid w:val="0058734E"/>
    <w:rsid w:val="00591AC3"/>
    <w:rsid w:val="00592362"/>
    <w:rsid w:val="0059381C"/>
    <w:rsid w:val="00593A24"/>
    <w:rsid w:val="0059677B"/>
    <w:rsid w:val="005A2F47"/>
    <w:rsid w:val="005A2F85"/>
    <w:rsid w:val="005A34D1"/>
    <w:rsid w:val="005A5A4A"/>
    <w:rsid w:val="005A5ABF"/>
    <w:rsid w:val="005B01DD"/>
    <w:rsid w:val="005B0CFD"/>
    <w:rsid w:val="005B1CBE"/>
    <w:rsid w:val="005B2904"/>
    <w:rsid w:val="005B45DB"/>
    <w:rsid w:val="005B4E23"/>
    <w:rsid w:val="005B6886"/>
    <w:rsid w:val="005C0B92"/>
    <w:rsid w:val="005C1551"/>
    <w:rsid w:val="005C1801"/>
    <w:rsid w:val="005C2AAC"/>
    <w:rsid w:val="005C303F"/>
    <w:rsid w:val="005C478B"/>
    <w:rsid w:val="005C5948"/>
    <w:rsid w:val="005C738F"/>
    <w:rsid w:val="005C7BCC"/>
    <w:rsid w:val="005D09D5"/>
    <w:rsid w:val="005D11E7"/>
    <w:rsid w:val="005D2116"/>
    <w:rsid w:val="005D5458"/>
    <w:rsid w:val="005E0533"/>
    <w:rsid w:val="005E127C"/>
    <w:rsid w:val="005E3CF8"/>
    <w:rsid w:val="005E5919"/>
    <w:rsid w:val="005E6D8C"/>
    <w:rsid w:val="005F1C33"/>
    <w:rsid w:val="005F285D"/>
    <w:rsid w:val="005F2F62"/>
    <w:rsid w:val="005F392A"/>
    <w:rsid w:val="005F4DCD"/>
    <w:rsid w:val="005F5443"/>
    <w:rsid w:val="005F699F"/>
    <w:rsid w:val="005F7A36"/>
    <w:rsid w:val="005F7D6A"/>
    <w:rsid w:val="006007FB"/>
    <w:rsid w:val="006008E5"/>
    <w:rsid w:val="00601C29"/>
    <w:rsid w:val="00602767"/>
    <w:rsid w:val="00604284"/>
    <w:rsid w:val="00604E77"/>
    <w:rsid w:val="006124A8"/>
    <w:rsid w:val="00612A13"/>
    <w:rsid w:val="00617946"/>
    <w:rsid w:val="00620626"/>
    <w:rsid w:val="006220F0"/>
    <w:rsid w:val="0062411D"/>
    <w:rsid w:val="0062455B"/>
    <w:rsid w:val="00626B2C"/>
    <w:rsid w:val="00626B6B"/>
    <w:rsid w:val="0062746D"/>
    <w:rsid w:val="00630BE4"/>
    <w:rsid w:val="00633CE0"/>
    <w:rsid w:val="006346D2"/>
    <w:rsid w:val="006376CA"/>
    <w:rsid w:val="00640391"/>
    <w:rsid w:val="0064389F"/>
    <w:rsid w:val="00644EC9"/>
    <w:rsid w:val="006457FA"/>
    <w:rsid w:val="00646019"/>
    <w:rsid w:val="00646FF1"/>
    <w:rsid w:val="006501FB"/>
    <w:rsid w:val="0065152C"/>
    <w:rsid w:val="0065172B"/>
    <w:rsid w:val="00651DDB"/>
    <w:rsid w:val="00651F91"/>
    <w:rsid w:val="006521C2"/>
    <w:rsid w:val="00653059"/>
    <w:rsid w:val="00654424"/>
    <w:rsid w:val="00655477"/>
    <w:rsid w:val="00656839"/>
    <w:rsid w:val="006628AB"/>
    <w:rsid w:val="00663F11"/>
    <w:rsid w:val="006647D6"/>
    <w:rsid w:val="00665087"/>
    <w:rsid w:val="00665B68"/>
    <w:rsid w:val="00665F4F"/>
    <w:rsid w:val="00671C6E"/>
    <w:rsid w:val="00671FB6"/>
    <w:rsid w:val="00672FB9"/>
    <w:rsid w:val="00673A09"/>
    <w:rsid w:val="0067696F"/>
    <w:rsid w:val="00676DBB"/>
    <w:rsid w:val="00677785"/>
    <w:rsid w:val="00677E74"/>
    <w:rsid w:val="0068015D"/>
    <w:rsid w:val="00680B1C"/>
    <w:rsid w:val="00681AAD"/>
    <w:rsid w:val="00684844"/>
    <w:rsid w:val="00685045"/>
    <w:rsid w:val="00686A5A"/>
    <w:rsid w:val="00687196"/>
    <w:rsid w:val="00687884"/>
    <w:rsid w:val="00687D75"/>
    <w:rsid w:val="00692425"/>
    <w:rsid w:val="006942A2"/>
    <w:rsid w:val="00696739"/>
    <w:rsid w:val="00697A7E"/>
    <w:rsid w:val="006A3119"/>
    <w:rsid w:val="006A3693"/>
    <w:rsid w:val="006A397E"/>
    <w:rsid w:val="006A47F4"/>
    <w:rsid w:val="006A5183"/>
    <w:rsid w:val="006A5BB4"/>
    <w:rsid w:val="006B01A6"/>
    <w:rsid w:val="006B0239"/>
    <w:rsid w:val="006B0710"/>
    <w:rsid w:val="006B120A"/>
    <w:rsid w:val="006B1271"/>
    <w:rsid w:val="006B16A8"/>
    <w:rsid w:val="006B19E1"/>
    <w:rsid w:val="006B406B"/>
    <w:rsid w:val="006B55BC"/>
    <w:rsid w:val="006C0AA7"/>
    <w:rsid w:val="006C494E"/>
    <w:rsid w:val="006C4BA7"/>
    <w:rsid w:val="006C578F"/>
    <w:rsid w:val="006C73C6"/>
    <w:rsid w:val="006C7470"/>
    <w:rsid w:val="006C7B1E"/>
    <w:rsid w:val="006D05A7"/>
    <w:rsid w:val="006D2BC9"/>
    <w:rsid w:val="006D3260"/>
    <w:rsid w:val="006D4861"/>
    <w:rsid w:val="006D56F7"/>
    <w:rsid w:val="006D7201"/>
    <w:rsid w:val="006E091C"/>
    <w:rsid w:val="006E2D3D"/>
    <w:rsid w:val="006E34B1"/>
    <w:rsid w:val="006E3A00"/>
    <w:rsid w:val="006E4220"/>
    <w:rsid w:val="006E4956"/>
    <w:rsid w:val="006E704A"/>
    <w:rsid w:val="006E7BA3"/>
    <w:rsid w:val="006F0487"/>
    <w:rsid w:val="006F0895"/>
    <w:rsid w:val="006F33C6"/>
    <w:rsid w:val="006F561D"/>
    <w:rsid w:val="006F6158"/>
    <w:rsid w:val="00705731"/>
    <w:rsid w:val="00705B39"/>
    <w:rsid w:val="00705FAE"/>
    <w:rsid w:val="00707C14"/>
    <w:rsid w:val="00711CA6"/>
    <w:rsid w:val="007126B9"/>
    <w:rsid w:val="00714064"/>
    <w:rsid w:val="00720172"/>
    <w:rsid w:val="007203E9"/>
    <w:rsid w:val="00722527"/>
    <w:rsid w:val="00722A62"/>
    <w:rsid w:val="00723F19"/>
    <w:rsid w:val="00730B35"/>
    <w:rsid w:val="0073258D"/>
    <w:rsid w:val="00732887"/>
    <w:rsid w:val="007355F7"/>
    <w:rsid w:val="00735D13"/>
    <w:rsid w:val="00741A97"/>
    <w:rsid w:val="00742330"/>
    <w:rsid w:val="007431A4"/>
    <w:rsid w:val="00745035"/>
    <w:rsid w:val="00750902"/>
    <w:rsid w:val="0075141F"/>
    <w:rsid w:val="00751BF4"/>
    <w:rsid w:val="00751CF5"/>
    <w:rsid w:val="007527AB"/>
    <w:rsid w:val="00755733"/>
    <w:rsid w:val="00757200"/>
    <w:rsid w:val="00757661"/>
    <w:rsid w:val="00760735"/>
    <w:rsid w:val="007608E4"/>
    <w:rsid w:val="00761CAF"/>
    <w:rsid w:val="00763879"/>
    <w:rsid w:val="00764252"/>
    <w:rsid w:val="0076515B"/>
    <w:rsid w:val="007662DA"/>
    <w:rsid w:val="0076692A"/>
    <w:rsid w:val="00766D96"/>
    <w:rsid w:val="00772006"/>
    <w:rsid w:val="00775057"/>
    <w:rsid w:val="00775352"/>
    <w:rsid w:val="00776075"/>
    <w:rsid w:val="0077655A"/>
    <w:rsid w:val="007769F1"/>
    <w:rsid w:val="00776DB2"/>
    <w:rsid w:val="00776E39"/>
    <w:rsid w:val="00780BD2"/>
    <w:rsid w:val="0078145D"/>
    <w:rsid w:val="00782B7B"/>
    <w:rsid w:val="00785CEB"/>
    <w:rsid w:val="0078647C"/>
    <w:rsid w:val="007868AD"/>
    <w:rsid w:val="007875ED"/>
    <w:rsid w:val="00790999"/>
    <w:rsid w:val="0079232F"/>
    <w:rsid w:val="00792E91"/>
    <w:rsid w:val="007937F5"/>
    <w:rsid w:val="0079648E"/>
    <w:rsid w:val="007A09B2"/>
    <w:rsid w:val="007A0B96"/>
    <w:rsid w:val="007A12CA"/>
    <w:rsid w:val="007A23AE"/>
    <w:rsid w:val="007A2CBC"/>
    <w:rsid w:val="007A3551"/>
    <w:rsid w:val="007A371F"/>
    <w:rsid w:val="007A43FE"/>
    <w:rsid w:val="007A727A"/>
    <w:rsid w:val="007B0234"/>
    <w:rsid w:val="007B1DE5"/>
    <w:rsid w:val="007B2033"/>
    <w:rsid w:val="007B29CE"/>
    <w:rsid w:val="007B307F"/>
    <w:rsid w:val="007B4265"/>
    <w:rsid w:val="007B66B8"/>
    <w:rsid w:val="007B675F"/>
    <w:rsid w:val="007B7C64"/>
    <w:rsid w:val="007C013B"/>
    <w:rsid w:val="007C027C"/>
    <w:rsid w:val="007C11AF"/>
    <w:rsid w:val="007C4027"/>
    <w:rsid w:val="007C6402"/>
    <w:rsid w:val="007D0643"/>
    <w:rsid w:val="007D0730"/>
    <w:rsid w:val="007D13B2"/>
    <w:rsid w:val="007D1581"/>
    <w:rsid w:val="007D2CF5"/>
    <w:rsid w:val="007D3B06"/>
    <w:rsid w:val="007D7FCC"/>
    <w:rsid w:val="007E036A"/>
    <w:rsid w:val="007E095A"/>
    <w:rsid w:val="007E16CD"/>
    <w:rsid w:val="007E2AD8"/>
    <w:rsid w:val="007E38F7"/>
    <w:rsid w:val="007E4D2D"/>
    <w:rsid w:val="007E5910"/>
    <w:rsid w:val="007F328D"/>
    <w:rsid w:val="007F33A6"/>
    <w:rsid w:val="007F462F"/>
    <w:rsid w:val="007F5068"/>
    <w:rsid w:val="007F541D"/>
    <w:rsid w:val="007F6FB5"/>
    <w:rsid w:val="00800138"/>
    <w:rsid w:val="008058D3"/>
    <w:rsid w:val="008067FE"/>
    <w:rsid w:val="008111DA"/>
    <w:rsid w:val="00811530"/>
    <w:rsid w:val="008119A1"/>
    <w:rsid w:val="00811F32"/>
    <w:rsid w:val="00812B6C"/>
    <w:rsid w:val="00813B9F"/>
    <w:rsid w:val="00815663"/>
    <w:rsid w:val="00815D73"/>
    <w:rsid w:val="008161E5"/>
    <w:rsid w:val="008164AB"/>
    <w:rsid w:val="00822F54"/>
    <w:rsid w:val="008234C8"/>
    <w:rsid w:val="00825972"/>
    <w:rsid w:val="00830B16"/>
    <w:rsid w:val="0083137E"/>
    <w:rsid w:val="00832FE4"/>
    <w:rsid w:val="008331AC"/>
    <w:rsid w:val="00835789"/>
    <w:rsid w:val="0083584D"/>
    <w:rsid w:val="00836FF5"/>
    <w:rsid w:val="0083781C"/>
    <w:rsid w:val="00840920"/>
    <w:rsid w:val="008411F4"/>
    <w:rsid w:val="00843EA0"/>
    <w:rsid w:val="00843FC4"/>
    <w:rsid w:val="00844B86"/>
    <w:rsid w:val="00844F54"/>
    <w:rsid w:val="00844F72"/>
    <w:rsid w:val="008462D3"/>
    <w:rsid w:val="00851783"/>
    <w:rsid w:val="00852020"/>
    <w:rsid w:val="008522FF"/>
    <w:rsid w:val="00854038"/>
    <w:rsid w:val="00855E5C"/>
    <w:rsid w:val="008562F7"/>
    <w:rsid w:val="00856D21"/>
    <w:rsid w:val="00857840"/>
    <w:rsid w:val="008602C4"/>
    <w:rsid w:val="008604CB"/>
    <w:rsid w:val="00860C4F"/>
    <w:rsid w:val="00860E82"/>
    <w:rsid w:val="0086202E"/>
    <w:rsid w:val="00863199"/>
    <w:rsid w:val="00863669"/>
    <w:rsid w:val="00863D43"/>
    <w:rsid w:val="00863ECC"/>
    <w:rsid w:val="008647B1"/>
    <w:rsid w:val="0086601D"/>
    <w:rsid w:val="00866140"/>
    <w:rsid w:val="0086626F"/>
    <w:rsid w:val="008667C8"/>
    <w:rsid w:val="0087142C"/>
    <w:rsid w:val="00876C9D"/>
    <w:rsid w:val="00876DC8"/>
    <w:rsid w:val="00877555"/>
    <w:rsid w:val="008804E5"/>
    <w:rsid w:val="00880ED4"/>
    <w:rsid w:val="00883F6E"/>
    <w:rsid w:val="00884190"/>
    <w:rsid w:val="00884441"/>
    <w:rsid w:val="008846CF"/>
    <w:rsid w:val="00885DD7"/>
    <w:rsid w:val="00887651"/>
    <w:rsid w:val="00897011"/>
    <w:rsid w:val="00897311"/>
    <w:rsid w:val="008976F1"/>
    <w:rsid w:val="008A0548"/>
    <w:rsid w:val="008A19EE"/>
    <w:rsid w:val="008A1D9F"/>
    <w:rsid w:val="008A31B2"/>
    <w:rsid w:val="008A467B"/>
    <w:rsid w:val="008A6397"/>
    <w:rsid w:val="008A7B93"/>
    <w:rsid w:val="008B0E18"/>
    <w:rsid w:val="008B1F71"/>
    <w:rsid w:val="008B247E"/>
    <w:rsid w:val="008B48A7"/>
    <w:rsid w:val="008B689D"/>
    <w:rsid w:val="008C1EEE"/>
    <w:rsid w:val="008C68A6"/>
    <w:rsid w:val="008C70D0"/>
    <w:rsid w:val="008D091C"/>
    <w:rsid w:val="008D0B57"/>
    <w:rsid w:val="008D1FEC"/>
    <w:rsid w:val="008D4B01"/>
    <w:rsid w:val="008D5138"/>
    <w:rsid w:val="008D5796"/>
    <w:rsid w:val="008D5931"/>
    <w:rsid w:val="008D60C8"/>
    <w:rsid w:val="008D784E"/>
    <w:rsid w:val="008D7BCE"/>
    <w:rsid w:val="008E019A"/>
    <w:rsid w:val="008E019D"/>
    <w:rsid w:val="008E1D83"/>
    <w:rsid w:val="008E2A1E"/>
    <w:rsid w:val="008E3621"/>
    <w:rsid w:val="008E3A62"/>
    <w:rsid w:val="008E4313"/>
    <w:rsid w:val="008E61D9"/>
    <w:rsid w:val="008F1764"/>
    <w:rsid w:val="008F1986"/>
    <w:rsid w:val="008F3169"/>
    <w:rsid w:val="008F43D3"/>
    <w:rsid w:val="008F4AF2"/>
    <w:rsid w:val="008F67B2"/>
    <w:rsid w:val="008F688F"/>
    <w:rsid w:val="008F7BB0"/>
    <w:rsid w:val="009012F2"/>
    <w:rsid w:val="00902635"/>
    <w:rsid w:val="009034EA"/>
    <w:rsid w:val="00910517"/>
    <w:rsid w:val="009107E9"/>
    <w:rsid w:val="0091135E"/>
    <w:rsid w:val="0091171E"/>
    <w:rsid w:val="009131A7"/>
    <w:rsid w:val="00913600"/>
    <w:rsid w:val="00916EBA"/>
    <w:rsid w:val="009179B2"/>
    <w:rsid w:val="0092280D"/>
    <w:rsid w:val="009234B4"/>
    <w:rsid w:val="00923795"/>
    <w:rsid w:val="00923BF0"/>
    <w:rsid w:val="009307F8"/>
    <w:rsid w:val="00930EA7"/>
    <w:rsid w:val="00931B75"/>
    <w:rsid w:val="00931D41"/>
    <w:rsid w:val="009321F0"/>
    <w:rsid w:val="00932D59"/>
    <w:rsid w:val="0093353D"/>
    <w:rsid w:val="0093378B"/>
    <w:rsid w:val="00940F5F"/>
    <w:rsid w:val="00941046"/>
    <w:rsid w:val="009425EF"/>
    <w:rsid w:val="00942A1C"/>
    <w:rsid w:val="00943344"/>
    <w:rsid w:val="00943681"/>
    <w:rsid w:val="00944155"/>
    <w:rsid w:val="00945A07"/>
    <w:rsid w:val="00946680"/>
    <w:rsid w:val="00950200"/>
    <w:rsid w:val="009513FE"/>
    <w:rsid w:val="00951899"/>
    <w:rsid w:val="00951F45"/>
    <w:rsid w:val="009546DF"/>
    <w:rsid w:val="0095704F"/>
    <w:rsid w:val="009604ED"/>
    <w:rsid w:val="00961FF7"/>
    <w:rsid w:val="00962E94"/>
    <w:rsid w:val="009644F4"/>
    <w:rsid w:val="009667F7"/>
    <w:rsid w:val="00966819"/>
    <w:rsid w:val="009706AB"/>
    <w:rsid w:val="009716A8"/>
    <w:rsid w:val="0097233E"/>
    <w:rsid w:val="009725F8"/>
    <w:rsid w:val="009739C0"/>
    <w:rsid w:val="00974A4C"/>
    <w:rsid w:val="009768DC"/>
    <w:rsid w:val="009871AD"/>
    <w:rsid w:val="00990705"/>
    <w:rsid w:val="00991F32"/>
    <w:rsid w:val="00991F6A"/>
    <w:rsid w:val="0099584F"/>
    <w:rsid w:val="0099653D"/>
    <w:rsid w:val="00996883"/>
    <w:rsid w:val="00996EA7"/>
    <w:rsid w:val="00997A7E"/>
    <w:rsid w:val="009A008F"/>
    <w:rsid w:val="009A20C6"/>
    <w:rsid w:val="009A30BE"/>
    <w:rsid w:val="009A30DF"/>
    <w:rsid w:val="009A39AA"/>
    <w:rsid w:val="009A706D"/>
    <w:rsid w:val="009A7E89"/>
    <w:rsid w:val="009B367E"/>
    <w:rsid w:val="009B4843"/>
    <w:rsid w:val="009B67F7"/>
    <w:rsid w:val="009B6C25"/>
    <w:rsid w:val="009B7B07"/>
    <w:rsid w:val="009C005E"/>
    <w:rsid w:val="009C0203"/>
    <w:rsid w:val="009C052C"/>
    <w:rsid w:val="009C5A20"/>
    <w:rsid w:val="009C625D"/>
    <w:rsid w:val="009D00A8"/>
    <w:rsid w:val="009D0BC8"/>
    <w:rsid w:val="009D0BFC"/>
    <w:rsid w:val="009D0EF4"/>
    <w:rsid w:val="009D1F37"/>
    <w:rsid w:val="009D244B"/>
    <w:rsid w:val="009D2B04"/>
    <w:rsid w:val="009D67C8"/>
    <w:rsid w:val="009E096B"/>
    <w:rsid w:val="009E0CDE"/>
    <w:rsid w:val="009E0DA7"/>
    <w:rsid w:val="009E3438"/>
    <w:rsid w:val="009E3EA6"/>
    <w:rsid w:val="009E50FA"/>
    <w:rsid w:val="009E58DD"/>
    <w:rsid w:val="009E5DAA"/>
    <w:rsid w:val="009E7971"/>
    <w:rsid w:val="009E7A79"/>
    <w:rsid w:val="009E7CDE"/>
    <w:rsid w:val="009F3B94"/>
    <w:rsid w:val="009F3EA3"/>
    <w:rsid w:val="009F4D7B"/>
    <w:rsid w:val="009F5D6F"/>
    <w:rsid w:val="009F624C"/>
    <w:rsid w:val="00A001B9"/>
    <w:rsid w:val="00A037F4"/>
    <w:rsid w:val="00A048E4"/>
    <w:rsid w:val="00A06D8D"/>
    <w:rsid w:val="00A07E83"/>
    <w:rsid w:val="00A1083E"/>
    <w:rsid w:val="00A11642"/>
    <w:rsid w:val="00A12B02"/>
    <w:rsid w:val="00A14355"/>
    <w:rsid w:val="00A14B0F"/>
    <w:rsid w:val="00A14FD9"/>
    <w:rsid w:val="00A15309"/>
    <w:rsid w:val="00A15A3E"/>
    <w:rsid w:val="00A20107"/>
    <w:rsid w:val="00A209ED"/>
    <w:rsid w:val="00A20F26"/>
    <w:rsid w:val="00A25559"/>
    <w:rsid w:val="00A257FD"/>
    <w:rsid w:val="00A25CDD"/>
    <w:rsid w:val="00A26BBD"/>
    <w:rsid w:val="00A2752C"/>
    <w:rsid w:val="00A2790B"/>
    <w:rsid w:val="00A27C1E"/>
    <w:rsid w:val="00A30515"/>
    <w:rsid w:val="00A35F22"/>
    <w:rsid w:val="00A373D4"/>
    <w:rsid w:val="00A37884"/>
    <w:rsid w:val="00A37E64"/>
    <w:rsid w:val="00A4056F"/>
    <w:rsid w:val="00A40A66"/>
    <w:rsid w:val="00A434F8"/>
    <w:rsid w:val="00A4548B"/>
    <w:rsid w:val="00A46218"/>
    <w:rsid w:val="00A46BE0"/>
    <w:rsid w:val="00A501C6"/>
    <w:rsid w:val="00A53CD6"/>
    <w:rsid w:val="00A54DA1"/>
    <w:rsid w:val="00A57D82"/>
    <w:rsid w:val="00A608DA"/>
    <w:rsid w:val="00A618A9"/>
    <w:rsid w:val="00A63299"/>
    <w:rsid w:val="00A63779"/>
    <w:rsid w:val="00A65874"/>
    <w:rsid w:val="00A658CB"/>
    <w:rsid w:val="00A66059"/>
    <w:rsid w:val="00A661B4"/>
    <w:rsid w:val="00A70157"/>
    <w:rsid w:val="00A7174D"/>
    <w:rsid w:val="00A71E19"/>
    <w:rsid w:val="00A73A0A"/>
    <w:rsid w:val="00A73B2E"/>
    <w:rsid w:val="00A73CC4"/>
    <w:rsid w:val="00A752BE"/>
    <w:rsid w:val="00A76C14"/>
    <w:rsid w:val="00A76D7A"/>
    <w:rsid w:val="00A82B39"/>
    <w:rsid w:val="00A84270"/>
    <w:rsid w:val="00A84E68"/>
    <w:rsid w:val="00A86520"/>
    <w:rsid w:val="00A906B1"/>
    <w:rsid w:val="00A911CC"/>
    <w:rsid w:val="00A91FAB"/>
    <w:rsid w:val="00A947BE"/>
    <w:rsid w:val="00A95270"/>
    <w:rsid w:val="00A95946"/>
    <w:rsid w:val="00A967AD"/>
    <w:rsid w:val="00AA2C81"/>
    <w:rsid w:val="00AA3037"/>
    <w:rsid w:val="00AA3333"/>
    <w:rsid w:val="00AA3FA4"/>
    <w:rsid w:val="00AA4301"/>
    <w:rsid w:val="00AA47C0"/>
    <w:rsid w:val="00AA49E2"/>
    <w:rsid w:val="00AA5147"/>
    <w:rsid w:val="00AA5305"/>
    <w:rsid w:val="00AA6A0C"/>
    <w:rsid w:val="00AA6FA1"/>
    <w:rsid w:val="00AA702C"/>
    <w:rsid w:val="00AB1238"/>
    <w:rsid w:val="00AB1790"/>
    <w:rsid w:val="00AB3D3B"/>
    <w:rsid w:val="00AB4B95"/>
    <w:rsid w:val="00AB633C"/>
    <w:rsid w:val="00AB7AD0"/>
    <w:rsid w:val="00AC0911"/>
    <w:rsid w:val="00AC0BBB"/>
    <w:rsid w:val="00AC2C68"/>
    <w:rsid w:val="00AC6C90"/>
    <w:rsid w:val="00AD0FA1"/>
    <w:rsid w:val="00AD18F8"/>
    <w:rsid w:val="00AD1D16"/>
    <w:rsid w:val="00AD1D4E"/>
    <w:rsid w:val="00AD2C87"/>
    <w:rsid w:val="00AD3945"/>
    <w:rsid w:val="00AD469A"/>
    <w:rsid w:val="00AD53DA"/>
    <w:rsid w:val="00AD598A"/>
    <w:rsid w:val="00AD5CDB"/>
    <w:rsid w:val="00AD79C5"/>
    <w:rsid w:val="00AE0CD2"/>
    <w:rsid w:val="00AE0D68"/>
    <w:rsid w:val="00AE1647"/>
    <w:rsid w:val="00AE2F50"/>
    <w:rsid w:val="00AE3613"/>
    <w:rsid w:val="00AE43C8"/>
    <w:rsid w:val="00AE5B3E"/>
    <w:rsid w:val="00AE722B"/>
    <w:rsid w:val="00AF0FE5"/>
    <w:rsid w:val="00AF101C"/>
    <w:rsid w:val="00AF3C7D"/>
    <w:rsid w:val="00AF72F0"/>
    <w:rsid w:val="00AF7D33"/>
    <w:rsid w:val="00B03859"/>
    <w:rsid w:val="00B03A4F"/>
    <w:rsid w:val="00B068BC"/>
    <w:rsid w:val="00B07977"/>
    <w:rsid w:val="00B07A95"/>
    <w:rsid w:val="00B12975"/>
    <w:rsid w:val="00B12BF7"/>
    <w:rsid w:val="00B1318A"/>
    <w:rsid w:val="00B1318D"/>
    <w:rsid w:val="00B13439"/>
    <w:rsid w:val="00B1346E"/>
    <w:rsid w:val="00B149D1"/>
    <w:rsid w:val="00B16E46"/>
    <w:rsid w:val="00B174E1"/>
    <w:rsid w:val="00B17AD2"/>
    <w:rsid w:val="00B2062D"/>
    <w:rsid w:val="00B20E65"/>
    <w:rsid w:val="00B225D5"/>
    <w:rsid w:val="00B23840"/>
    <w:rsid w:val="00B23F0C"/>
    <w:rsid w:val="00B2426A"/>
    <w:rsid w:val="00B24D6B"/>
    <w:rsid w:val="00B26F3F"/>
    <w:rsid w:val="00B27825"/>
    <w:rsid w:val="00B27F55"/>
    <w:rsid w:val="00B33C13"/>
    <w:rsid w:val="00B33CFF"/>
    <w:rsid w:val="00B3553C"/>
    <w:rsid w:val="00B35D93"/>
    <w:rsid w:val="00B36284"/>
    <w:rsid w:val="00B40D80"/>
    <w:rsid w:val="00B420EA"/>
    <w:rsid w:val="00B50748"/>
    <w:rsid w:val="00B56356"/>
    <w:rsid w:val="00B57138"/>
    <w:rsid w:val="00B57882"/>
    <w:rsid w:val="00B60D49"/>
    <w:rsid w:val="00B61B20"/>
    <w:rsid w:val="00B64F4F"/>
    <w:rsid w:val="00B6645D"/>
    <w:rsid w:val="00B674E1"/>
    <w:rsid w:val="00B70047"/>
    <w:rsid w:val="00B702F7"/>
    <w:rsid w:val="00B72308"/>
    <w:rsid w:val="00B743D7"/>
    <w:rsid w:val="00B74CAC"/>
    <w:rsid w:val="00B754A6"/>
    <w:rsid w:val="00B755ED"/>
    <w:rsid w:val="00B75F1F"/>
    <w:rsid w:val="00B762AA"/>
    <w:rsid w:val="00B771E4"/>
    <w:rsid w:val="00B77674"/>
    <w:rsid w:val="00B77C96"/>
    <w:rsid w:val="00B80201"/>
    <w:rsid w:val="00B8043C"/>
    <w:rsid w:val="00B81899"/>
    <w:rsid w:val="00B823B1"/>
    <w:rsid w:val="00B82FF1"/>
    <w:rsid w:val="00B83B63"/>
    <w:rsid w:val="00B85AFA"/>
    <w:rsid w:val="00B87CC0"/>
    <w:rsid w:val="00B87FDA"/>
    <w:rsid w:val="00B91703"/>
    <w:rsid w:val="00B9170D"/>
    <w:rsid w:val="00B92D22"/>
    <w:rsid w:val="00B96898"/>
    <w:rsid w:val="00B96FC2"/>
    <w:rsid w:val="00B9793F"/>
    <w:rsid w:val="00BA1FEA"/>
    <w:rsid w:val="00BA4B4C"/>
    <w:rsid w:val="00BA51A2"/>
    <w:rsid w:val="00BA74A5"/>
    <w:rsid w:val="00BA7B0D"/>
    <w:rsid w:val="00BA7E7F"/>
    <w:rsid w:val="00BB02E7"/>
    <w:rsid w:val="00BB0E91"/>
    <w:rsid w:val="00BB19FE"/>
    <w:rsid w:val="00BB428B"/>
    <w:rsid w:val="00BB4509"/>
    <w:rsid w:val="00BB670F"/>
    <w:rsid w:val="00BB7B92"/>
    <w:rsid w:val="00BC2323"/>
    <w:rsid w:val="00BC4CFB"/>
    <w:rsid w:val="00BC5A9F"/>
    <w:rsid w:val="00BC7CFF"/>
    <w:rsid w:val="00BD415F"/>
    <w:rsid w:val="00BE0FB1"/>
    <w:rsid w:val="00BE10E1"/>
    <w:rsid w:val="00BE1941"/>
    <w:rsid w:val="00BE2F3B"/>
    <w:rsid w:val="00BE2F76"/>
    <w:rsid w:val="00BE39D1"/>
    <w:rsid w:val="00BE53C8"/>
    <w:rsid w:val="00BE62C9"/>
    <w:rsid w:val="00BF0252"/>
    <w:rsid w:val="00BF0B7A"/>
    <w:rsid w:val="00BF1075"/>
    <w:rsid w:val="00BF1DA3"/>
    <w:rsid w:val="00BF21C1"/>
    <w:rsid w:val="00BF2ADE"/>
    <w:rsid w:val="00BF43C7"/>
    <w:rsid w:val="00BF4B7D"/>
    <w:rsid w:val="00BF4DA8"/>
    <w:rsid w:val="00BF5662"/>
    <w:rsid w:val="00BF6D01"/>
    <w:rsid w:val="00BF6DF6"/>
    <w:rsid w:val="00BF7ED8"/>
    <w:rsid w:val="00C0082C"/>
    <w:rsid w:val="00C03207"/>
    <w:rsid w:val="00C03BF1"/>
    <w:rsid w:val="00C041EF"/>
    <w:rsid w:val="00C056FD"/>
    <w:rsid w:val="00C05EF7"/>
    <w:rsid w:val="00C07386"/>
    <w:rsid w:val="00C107AB"/>
    <w:rsid w:val="00C123E7"/>
    <w:rsid w:val="00C141B7"/>
    <w:rsid w:val="00C21537"/>
    <w:rsid w:val="00C21F2A"/>
    <w:rsid w:val="00C21F79"/>
    <w:rsid w:val="00C235D1"/>
    <w:rsid w:val="00C25A9A"/>
    <w:rsid w:val="00C26703"/>
    <w:rsid w:val="00C31E1D"/>
    <w:rsid w:val="00C3292A"/>
    <w:rsid w:val="00C3456E"/>
    <w:rsid w:val="00C348AF"/>
    <w:rsid w:val="00C377DD"/>
    <w:rsid w:val="00C37FA7"/>
    <w:rsid w:val="00C41764"/>
    <w:rsid w:val="00C41B77"/>
    <w:rsid w:val="00C425A0"/>
    <w:rsid w:val="00C463EE"/>
    <w:rsid w:val="00C50648"/>
    <w:rsid w:val="00C50EC2"/>
    <w:rsid w:val="00C56D6C"/>
    <w:rsid w:val="00C62341"/>
    <w:rsid w:val="00C62710"/>
    <w:rsid w:val="00C661FB"/>
    <w:rsid w:val="00C66427"/>
    <w:rsid w:val="00C664EB"/>
    <w:rsid w:val="00C701BC"/>
    <w:rsid w:val="00C704B2"/>
    <w:rsid w:val="00C70A64"/>
    <w:rsid w:val="00C72167"/>
    <w:rsid w:val="00C731AD"/>
    <w:rsid w:val="00C756DD"/>
    <w:rsid w:val="00C76032"/>
    <w:rsid w:val="00C80DCD"/>
    <w:rsid w:val="00C81482"/>
    <w:rsid w:val="00C81F59"/>
    <w:rsid w:val="00C850F2"/>
    <w:rsid w:val="00C8598F"/>
    <w:rsid w:val="00C85C84"/>
    <w:rsid w:val="00C91384"/>
    <w:rsid w:val="00C92D57"/>
    <w:rsid w:val="00C93096"/>
    <w:rsid w:val="00C9415F"/>
    <w:rsid w:val="00C9641D"/>
    <w:rsid w:val="00C97957"/>
    <w:rsid w:val="00C97BCD"/>
    <w:rsid w:val="00C97BE4"/>
    <w:rsid w:val="00CA08AE"/>
    <w:rsid w:val="00CA0FEE"/>
    <w:rsid w:val="00CA102B"/>
    <w:rsid w:val="00CA3D04"/>
    <w:rsid w:val="00CA414B"/>
    <w:rsid w:val="00CA618B"/>
    <w:rsid w:val="00CA75D3"/>
    <w:rsid w:val="00CB0BD9"/>
    <w:rsid w:val="00CB51E1"/>
    <w:rsid w:val="00CB583B"/>
    <w:rsid w:val="00CB66E1"/>
    <w:rsid w:val="00CB695A"/>
    <w:rsid w:val="00CB73F5"/>
    <w:rsid w:val="00CB74EA"/>
    <w:rsid w:val="00CC0DD9"/>
    <w:rsid w:val="00CC223A"/>
    <w:rsid w:val="00CC3411"/>
    <w:rsid w:val="00CC6D62"/>
    <w:rsid w:val="00CD0506"/>
    <w:rsid w:val="00CD07E9"/>
    <w:rsid w:val="00CD0841"/>
    <w:rsid w:val="00CD08C7"/>
    <w:rsid w:val="00CD0A67"/>
    <w:rsid w:val="00CD11B3"/>
    <w:rsid w:val="00CD313C"/>
    <w:rsid w:val="00CD3202"/>
    <w:rsid w:val="00CD3F9B"/>
    <w:rsid w:val="00CD5637"/>
    <w:rsid w:val="00CD5EA4"/>
    <w:rsid w:val="00CE252E"/>
    <w:rsid w:val="00CE461B"/>
    <w:rsid w:val="00CE47FB"/>
    <w:rsid w:val="00CE5C19"/>
    <w:rsid w:val="00CF6873"/>
    <w:rsid w:val="00CF7077"/>
    <w:rsid w:val="00D02D72"/>
    <w:rsid w:val="00D04A85"/>
    <w:rsid w:val="00D05079"/>
    <w:rsid w:val="00D072EE"/>
    <w:rsid w:val="00D1198E"/>
    <w:rsid w:val="00D11EEE"/>
    <w:rsid w:val="00D11F3A"/>
    <w:rsid w:val="00D1274F"/>
    <w:rsid w:val="00D12B67"/>
    <w:rsid w:val="00D12C58"/>
    <w:rsid w:val="00D14202"/>
    <w:rsid w:val="00D14453"/>
    <w:rsid w:val="00D2088A"/>
    <w:rsid w:val="00D25215"/>
    <w:rsid w:val="00D26161"/>
    <w:rsid w:val="00D268E8"/>
    <w:rsid w:val="00D32534"/>
    <w:rsid w:val="00D329A1"/>
    <w:rsid w:val="00D33FAA"/>
    <w:rsid w:val="00D34FA6"/>
    <w:rsid w:val="00D360CE"/>
    <w:rsid w:val="00D401E2"/>
    <w:rsid w:val="00D4032C"/>
    <w:rsid w:val="00D4096E"/>
    <w:rsid w:val="00D40CA6"/>
    <w:rsid w:val="00D441D6"/>
    <w:rsid w:val="00D4436E"/>
    <w:rsid w:val="00D4460C"/>
    <w:rsid w:val="00D44FA6"/>
    <w:rsid w:val="00D45DD5"/>
    <w:rsid w:val="00D47122"/>
    <w:rsid w:val="00D47AF4"/>
    <w:rsid w:val="00D509BB"/>
    <w:rsid w:val="00D5361A"/>
    <w:rsid w:val="00D55674"/>
    <w:rsid w:val="00D5778D"/>
    <w:rsid w:val="00D57BB6"/>
    <w:rsid w:val="00D601B2"/>
    <w:rsid w:val="00D6351E"/>
    <w:rsid w:val="00D63D42"/>
    <w:rsid w:val="00D640AD"/>
    <w:rsid w:val="00D64C1D"/>
    <w:rsid w:val="00D653D6"/>
    <w:rsid w:val="00D714B9"/>
    <w:rsid w:val="00D741FB"/>
    <w:rsid w:val="00D74760"/>
    <w:rsid w:val="00D768EC"/>
    <w:rsid w:val="00D77DF6"/>
    <w:rsid w:val="00D81391"/>
    <w:rsid w:val="00D8144C"/>
    <w:rsid w:val="00D82CA2"/>
    <w:rsid w:val="00D83542"/>
    <w:rsid w:val="00D85587"/>
    <w:rsid w:val="00D8597B"/>
    <w:rsid w:val="00D867F0"/>
    <w:rsid w:val="00D8755B"/>
    <w:rsid w:val="00D879EB"/>
    <w:rsid w:val="00D92D19"/>
    <w:rsid w:val="00D95564"/>
    <w:rsid w:val="00D95B6B"/>
    <w:rsid w:val="00D96174"/>
    <w:rsid w:val="00DA10DA"/>
    <w:rsid w:val="00DA2CA1"/>
    <w:rsid w:val="00DA3CC5"/>
    <w:rsid w:val="00DA404F"/>
    <w:rsid w:val="00DA4AD7"/>
    <w:rsid w:val="00DB157A"/>
    <w:rsid w:val="00DB1722"/>
    <w:rsid w:val="00DB41C3"/>
    <w:rsid w:val="00DB5FB1"/>
    <w:rsid w:val="00DB7A47"/>
    <w:rsid w:val="00DB7EF7"/>
    <w:rsid w:val="00DC185C"/>
    <w:rsid w:val="00DC303D"/>
    <w:rsid w:val="00DC6D78"/>
    <w:rsid w:val="00DD0B8C"/>
    <w:rsid w:val="00DD11C1"/>
    <w:rsid w:val="00DD207F"/>
    <w:rsid w:val="00DD24CC"/>
    <w:rsid w:val="00DD5A25"/>
    <w:rsid w:val="00DD71AA"/>
    <w:rsid w:val="00DE1783"/>
    <w:rsid w:val="00DE1D36"/>
    <w:rsid w:val="00DE24C4"/>
    <w:rsid w:val="00DE49E1"/>
    <w:rsid w:val="00DE4DDD"/>
    <w:rsid w:val="00DE50E9"/>
    <w:rsid w:val="00DE5158"/>
    <w:rsid w:val="00DE5239"/>
    <w:rsid w:val="00DE5B56"/>
    <w:rsid w:val="00DF0768"/>
    <w:rsid w:val="00DF1FB5"/>
    <w:rsid w:val="00DF3A15"/>
    <w:rsid w:val="00DF5B6A"/>
    <w:rsid w:val="00DF7A9C"/>
    <w:rsid w:val="00DF7D0B"/>
    <w:rsid w:val="00E00096"/>
    <w:rsid w:val="00E00A3C"/>
    <w:rsid w:val="00E01DCD"/>
    <w:rsid w:val="00E022CD"/>
    <w:rsid w:val="00E02A01"/>
    <w:rsid w:val="00E04E0B"/>
    <w:rsid w:val="00E10F68"/>
    <w:rsid w:val="00E121CB"/>
    <w:rsid w:val="00E12C40"/>
    <w:rsid w:val="00E12D04"/>
    <w:rsid w:val="00E13768"/>
    <w:rsid w:val="00E140E2"/>
    <w:rsid w:val="00E158A6"/>
    <w:rsid w:val="00E158A9"/>
    <w:rsid w:val="00E160ED"/>
    <w:rsid w:val="00E16579"/>
    <w:rsid w:val="00E17F2A"/>
    <w:rsid w:val="00E2043F"/>
    <w:rsid w:val="00E207CF"/>
    <w:rsid w:val="00E20E62"/>
    <w:rsid w:val="00E20F7B"/>
    <w:rsid w:val="00E2187C"/>
    <w:rsid w:val="00E234AA"/>
    <w:rsid w:val="00E23B77"/>
    <w:rsid w:val="00E2525D"/>
    <w:rsid w:val="00E261F1"/>
    <w:rsid w:val="00E315ED"/>
    <w:rsid w:val="00E336C7"/>
    <w:rsid w:val="00E33888"/>
    <w:rsid w:val="00E338E2"/>
    <w:rsid w:val="00E3451B"/>
    <w:rsid w:val="00E34832"/>
    <w:rsid w:val="00E357A9"/>
    <w:rsid w:val="00E40730"/>
    <w:rsid w:val="00E421AC"/>
    <w:rsid w:val="00E42597"/>
    <w:rsid w:val="00E43048"/>
    <w:rsid w:val="00E52B00"/>
    <w:rsid w:val="00E537A6"/>
    <w:rsid w:val="00E54295"/>
    <w:rsid w:val="00E54C91"/>
    <w:rsid w:val="00E54F85"/>
    <w:rsid w:val="00E55938"/>
    <w:rsid w:val="00E55985"/>
    <w:rsid w:val="00E5655E"/>
    <w:rsid w:val="00E565CB"/>
    <w:rsid w:val="00E5676E"/>
    <w:rsid w:val="00E57BFD"/>
    <w:rsid w:val="00E6155B"/>
    <w:rsid w:val="00E649A9"/>
    <w:rsid w:val="00E64F1E"/>
    <w:rsid w:val="00E65F29"/>
    <w:rsid w:val="00E6654F"/>
    <w:rsid w:val="00E670C1"/>
    <w:rsid w:val="00E70121"/>
    <w:rsid w:val="00E7066F"/>
    <w:rsid w:val="00E71743"/>
    <w:rsid w:val="00E724B5"/>
    <w:rsid w:val="00E7450B"/>
    <w:rsid w:val="00E7471C"/>
    <w:rsid w:val="00E75F5A"/>
    <w:rsid w:val="00E82A17"/>
    <w:rsid w:val="00E82F26"/>
    <w:rsid w:val="00E83AF5"/>
    <w:rsid w:val="00E846DD"/>
    <w:rsid w:val="00E854CC"/>
    <w:rsid w:val="00E87319"/>
    <w:rsid w:val="00E905B3"/>
    <w:rsid w:val="00E926BB"/>
    <w:rsid w:val="00E92A52"/>
    <w:rsid w:val="00E96AFD"/>
    <w:rsid w:val="00EA1A4C"/>
    <w:rsid w:val="00EA1AEB"/>
    <w:rsid w:val="00EA3662"/>
    <w:rsid w:val="00EA4230"/>
    <w:rsid w:val="00EB0BB0"/>
    <w:rsid w:val="00EB1EA6"/>
    <w:rsid w:val="00EB20A6"/>
    <w:rsid w:val="00EB2BF9"/>
    <w:rsid w:val="00EB4556"/>
    <w:rsid w:val="00EB5A91"/>
    <w:rsid w:val="00EB6088"/>
    <w:rsid w:val="00EC3526"/>
    <w:rsid w:val="00EC4FA9"/>
    <w:rsid w:val="00EC5175"/>
    <w:rsid w:val="00EC57C2"/>
    <w:rsid w:val="00EC5F89"/>
    <w:rsid w:val="00EC6819"/>
    <w:rsid w:val="00ED53B7"/>
    <w:rsid w:val="00ED6743"/>
    <w:rsid w:val="00EE0496"/>
    <w:rsid w:val="00EE0ECD"/>
    <w:rsid w:val="00EE15D3"/>
    <w:rsid w:val="00EE15EA"/>
    <w:rsid w:val="00EE248C"/>
    <w:rsid w:val="00EE2F5F"/>
    <w:rsid w:val="00EE2FF8"/>
    <w:rsid w:val="00EE3B08"/>
    <w:rsid w:val="00EE7F0A"/>
    <w:rsid w:val="00EF0D80"/>
    <w:rsid w:val="00EF0E79"/>
    <w:rsid w:val="00EF17DF"/>
    <w:rsid w:val="00EF28B1"/>
    <w:rsid w:val="00EF295D"/>
    <w:rsid w:val="00EF3A00"/>
    <w:rsid w:val="00EF68D4"/>
    <w:rsid w:val="00F016AB"/>
    <w:rsid w:val="00F04BDF"/>
    <w:rsid w:val="00F04E51"/>
    <w:rsid w:val="00F05972"/>
    <w:rsid w:val="00F0695C"/>
    <w:rsid w:val="00F06B6C"/>
    <w:rsid w:val="00F07180"/>
    <w:rsid w:val="00F11358"/>
    <w:rsid w:val="00F124FF"/>
    <w:rsid w:val="00F12AC7"/>
    <w:rsid w:val="00F12C02"/>
    <w:rsid w:val="00F13A4C"/>
    <w:rsid w:val="00F13F35"/>
    <w:rsid w:val="00F1407B"/>
    <w:rsid w:val="00F1448C"/>
    <w:rsid w:val="00F15176"/>
    <w:rsid w:val="00F158C8"/>
    <w:rsid w:val="00F204BB"/>
    <w:rsid w:val="00F20D8A"/>
    <w:rsid w:val="00F241A3"/>
    <w:rsid w:val="00F26D72"/>
    <w:rsid w:val="00F32FFD"/>
    <w:rsid w:val="00F33996"/>
    <w:rsid w:val="00F33A09"/>
    <w:rsid w:val="00F4151C"/>
    <w:rsid w:val="00F4178E"/>
    <w:rsid w:val="00F41D6B"/>
    <w:rsid w:val="00F4369B"/>
    <w:rsid w:val="00F439A1"/>
    <w:rsid w:val="00F44E14"/>
    <w:rsid w:val="00F4523F"/>
    <w:rsid w:val="00F46B76"/>
    <w:rsid w:val="00F46DE9"/>
    <w:rsid w:val="00F47F69"/>
    <w:rsid w:val="00F506B8"/>
    <w:rsid w:val="00F508EA"/>
    <w:rsid w:val="00F508FB"/>
    <w:rsid w:val="00F512DA"/>
    <w:rsid w:val="00F51EDD"/>
    <w:rsid w:val="00F5428B"/>
    <w:rsid w:val="00F54A86"/>
    <w:rsid w:val="00F54B54"/>
    <w:rsid w:val="00F55A29"/>
    <w:rsid w:val="00F619D0"/>
    <w:rsid w:val="00F61D66"/>
    <w:rsid w:val="00F62B09"/>
    <w:rsid w:val="00F636F3"/>
    <w:rsid w:val="00F6632C"/>
    <w:rsid w:val="00F674B2"/>
    <w:rsid w:val="00F70E6E"/>
    <w:rsid w:val="00F713A1"/>
    <w:rsid w:val="00F727AA"/>
    <w:rsid w:val="00F72857"/>
    <w:rsid w:val="00F731B6"/>
    <w:rsid w:val="00F73E04"/>
    <w:rsid w:val="00F76D11"/>
    <w:rsid w:val="00F8104D"/>
    <w:rsid w:val="00F82339"/>
    <w:rsid w:val="00F85218"/>
    <w:rsid w:val="00F86F9B"/>
    <w:rsid w:val="00F904C7"/>
    <w:rsid w:val="00F93CE4"/>
    <w:rsid w:val="00F946FE"/>
    <w:rsid w:val="00F94CF6"/>
    <w:rsid w:val="00F9552E"/>
    <w:rsid w:val="00F95C21"/>
    <w:rsid w:val="00FA0101"/>
    <w:rsid w:val="00FA453B"/>
    <w:rsid w:val="00FA6B4E"/>
    <w:rsid w:val="00FA7491"/>
    <w:rsid w:val="00FB118A"/>
    <w:rsid w:val="00FB156B"/>
    <w:rsid w:val="00FB1628"/>
    <w:rsid w:val="00FB3242"/>
    <w:rsid w:val="00FB3A6F"/>
    <w:rsid w:val="00FB3D89"/>
    <w:rsid w:val="00FB4B22"/>
    <w:rsid w:val="00FB4DF8"/>
    <w:rsid w:val="00FB4EFD"/>
    <w:rsid w:val="00FB58D0"/>
    <w:rsid w:val="00FB6719"/>
    <w:rsid w:val="00FB68F2"/>
    <w:rsid w:val="00FB6E80"/>
    <w:rsid w:val="00FC00A6"/>
    <w:rsid w:val="00FC01C8"/>
    <w:rsid w:val="00FC237D"/>
    <w:rsid w:val="00FC2C2B"/>
    <w:rsid w:val="00FC4E12"/>
    <w:rsid w:val="00FC524B"/>
    <w:rsid w:val="00FC746B"/>
    <w:rsid w:val="00FD0F22"/>
    <w:rsid w:val="00FD3374"/>
    <w:rsid w:val="00FD353D"/>
    <w:rsid w:val="00FD42FC"/>
    <w:rsid w:val="00FD45A4"/>
    <w:rsid w:val="00FD5287"/>
    <w:rsid w:val="00FD739D"/>
    <w:rsid w:val="00FD7B84"/>
    <w:rsid w:val="00FE13D7"/>
    <w:rsid w:val="00FE2B03"/>
    <w:rsid w:val="00FE2E9B"/>
    <w:rsid w:val="00FE4876"/>
    <w:rsid w:val="00FE4C4E"/>
    <w:rsid w:val="00FE4CB1"/>
    <w:rsid w:val="00FE4F25"/>
    <w:rsid w:val="00FE4F8D"/>
    <w:rsid w:val="00FE6A48"/>
    <w:rsid w:val="00FE706B"/>
    <w:rsid w:val="00FE713F"/>
    <w:rsid w:val="00FE7171"/>
    <w:rsid w:val="00FF1F83"/>
    <w:rsid w:val="00FF30B1"/>
    <w:rsid w:val="00FF7A0D"/>
    <w:rsid w:val="00FF7C1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4455A3"/>
  <w15:docId w15:val="{D5EE9EC2-F629-BE4C-B717-F3BB98AA4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GB"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44A9"/>
  </w:style>
  <w:style w:type="paragraph" w:styleId="Heading1">
    <w:name w:val="heading 1"/>
    <w:basedOn w:val="Normal"/>
    <w:next w:val="Normal"/>
    <w:link w:val="Heading1Char"/>
    <w:uiPriority w:val="9"/>
    <w:qFormat/>
    <w:rsid w:val="000E44A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E44A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0E44A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E44A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E44A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E44A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E44A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E44A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E44A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0E44A9"/>
    <w:pPr>
      <w:spacing w:after="80"/>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0E44A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E44A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0E44A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E44A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E44A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E44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E44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E44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E44A9"/>
    <w:rPr>
      <w:rFonts w:eastAsiaTheme="majorEastAsia" w:cstheme="majorBidi"/>
      <w:color w:val="272727" w:themeColor="text1" w:themeTint="D8"/>
    </w:rPr>
  </w:style>
  <w:style w:type="character" w:customStyle="1" w:styleId="TitleChar">
    <w:name w:val="Title Char"/>
    <w:basedOn w:val="DefaultParagraphFont"/>
    <w:link w:val="Title"/>
    <w:uiPriority w:val="10"/>
    <w:rsid w:val="000E44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0E44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E44A9"/>
    <w:pPr>
      <w:spacing w:before="160"/>
      <w:jc w:val="center"/>
    </w:pPr>
    <w:rPr>
      <w:i/>
      <w:iCs/>
      <w:color w:val="404040" w:themeColor="text1" w:themeTint="BF"/>
    </w:rPr>
  </w:style>
  <w:style w:type="character" w:customStyle="1" w:styleId="QuoteChar">
    <w:name w:val="Quote Char"/>
    <w:basedOn w:val="DefaultParagraphFont"/>
    <w:link w:val="Quote"/>
    <w:uiPriority w:val="29"/>
    <w:rsid w:val="000E44A9"/>
    <w:rPr>
      <w:i/>
      <w:iCs/>
      <w:color w:val="404040" w:themeColor="text1" w:themeTint="BF"/>
    </w:rPr>
  </w:style>
  <w:style w:type="paragraph" w:styleId="ListParagraph">
    <w:name w:val="List Paragraph"/>
    <w:basedOn w:val="Normal"/>
    <w:uiPriority w:val="34"/>
    <w:qFormat/>
    <w:rsid w:val="000E44A9"/>
    <w:pPr>
      <w:ind w:left="720"/>
      <w:contextualSpacing/>
    </w:pPr>
  </w:style>
  <w:style w:type="character" w:styleId="IntenseEmphasis">
    <w:name w:val="Intense Emphasis"/>
    <w:basedOn w:val="DefaultParagraphFont"/>
    <w:uiPriority w:val="21"/>
    <w:qFormat/>
    <w:rsid w:val="000E44A9"/>
    <w:rPr>
      <w:i/>
      <w:iCs/>
      <w:color w:val="0F4761" w:themeColor="accent1" w:themeShade="BF"/>
    </w:rPr>
  </w:style>
  <w:style w:type="paragraph" w:styleId="IntenseQuote">
    <w:name w:val="Intense Quote"/>
    <w:basedOn w:val="Normal"/>
    <w:next w:val="Normal"/>
    <w:link w:val="IntenseQuoteChar"/>
    <w:uiPriority w:val="30"/>
    <w:qFormat/>
    <w:rsid w:val="000E44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E44A9"/>
    <w:rPr>
      <w:i/>
      <w:iCs/>
      <w:color w:val="0F4761" w:themeColor="accent1" w:themeShade="BF"/>
    </w:rPr>
  </w:style>
  <w:style w:type="character" w:styleId="IntenseReference">
    <w:name w:val="Intense Reference"/>
    <w:basedOn w:val="DefaultParagraphFont"/>
    <w:uiPriority w:val="32"/>
    <w:qFormat/>
    <w:rsid w:val="000E44A9"/>
    <w:rPr>
      <w:b/>
      <w:bCs/>
      <w:smallCaps/>
      <w:color w:val="0F4761" w:themeColor="accent1" w:themeShade="BF"/>
      <w:spacing w:val="5"/>
    </w:rPr>
  </w:style>
  <w:style w:type="character" w:styleId="Emphasis">
    <w:name w:val="Emphasis"/>
    <w:basedOn w:val="DefaultParagraphFont"/>
    <w:uiPriority w:val="20"/>
    <w:qFormat/>
    <w:rsid w:val="00B606FA"/>
    <w:rPr>
      <w:i/>
      <w:iCs/>
    </w:rPr>
  </w:style>
  <w:style w:type="character" w:styleId="Hyperlink">
    <w:name w:val="Hyperlink"/>
    <w:basedOn w:val="DefaultParagraphFont"/>
    <w:uiPriority w:val="99"/>
    <w:unhideWhenUsed/>
    <w:rsid w:val="00DB636E"/>
    <w:rPr>
      <w:color w:val="0000FF"/>
      <w:u w:val="single"/>
    </w:rPr>
  </w:style>
  <w:style w:type="character" w:customStyle="1" w:styleId="figpopup-sensitive-area">
    <w:name w:val="figpopup-sensitive-area"/>
    <w:basedOn w:val="DefaultParagraphFont"/>
    <w:rsid w:val="0022481C"/>
  </w:style>
  <w:style w:type="character" w:styleId="UnresolvedMention">
    <w:name w:val="Unresolved Mention"/>
    <w:basedOn w:val="DefaultParagraphFont"/>
    <w:uiPriority w:val="99"/>
    <w:semiHidden/>
    <w:unhideWhenUsed/>
    <w:rsid w:val="00EE395C"/>
    <w:rPr>
      <w:color w:val="605E5C"/>
      <w:shd w:val="clear" w:color="auto" w:fill="E1DFDD"/>
    </w:rPr>
  </w:style>
  <w:style w:type="character" w:customStyle="1" w:styleId="hgkelc">
    <w:name w:val="hgkelc"/>
    <w:basedOn w:val="DefaultParagraphFont"/>
    <w:rsid w:val="005004CE"/>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table" w:styleId="TableGrid">
    <w:name w:val="Table Grid"/>
    <w:basedOn w:val="TableNormal"/>
    <w:uiPriority w:val="39"/>
    <w:rsid w:val="00F00C46"/>
    <w:rPr>
      <w:rFonts w:asciiTheme="minorHAnsi" w:eastAsiaTheme="minorHAnsi" w:hAnsiTheme="minorHAnsi" w:cstheme="minorBidi"/>
      <w:sz w:val="22"/>
      <w:szCs w:val="22"/>
      <w:lang w:val="en-A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3408F"/>
    <w:pPr>
      <w:autoSpaceDE w:val="0"/>
      <w:autoSpaceDN w:val="0"/>
      <w:adjustRightInd w:val="0"/>
    </w:pPr>
    <w:rPr>
      <w:rFonts w:ascii="Helvetica Neue LT Std" w:eastAsiaTheme="minorHAnsi" w:hAnsi="Helvetica Neue LT Std" w:cs="Helvetica Neue LT Std"/>
      <w:color w:val="000000"/>
      <w:lang w:val="en-AU" w:eastAsia="en-US"/>
    </w:rPr>
  </w:style>
  <w:style w:type="paragraph" w:customStyle="1" w:styleId="EndNoteBibliographyTitle">
    <w:name w:val="EndNote Bibliography Title"/>
    <w:basedOn w:val="Normal"/>
    <w:link w:val="EndNoteBibliographyTitleChar"/>
    <w:rsid w:val="00766104"/>
    <w:pPr>
      <w:jc w:val="center"/>
    </w:pPr>
    <w:rPr>
      <w:noProof/>
      <w:lang w:val="en-AU"/>
    </w:rPr>
  </w:style>
  <w:style w:type="character" w:customStyle="1" w:styleId="EndNoteBibliographyTitleChar">
    <w:name w:val="EndNote Bibliography Title Char"/>
    <w:basedOn w:val="DefaultParagraphFont"/>
    <w:link w:val="EndNoteBibliographyTitle"/>
    <w:rsid w:val="00766104"/>
    <w:rPr>
      <w:noProof/>
      <w:lang w:val="en-AU"/>
    </w:rPr>
  </w:style>
  <w:style w:type="paragraph" w:customStyle="1" w:styleId="EndNoteBibliography">
    <w:name w:val="EndNote Bibliography"/>
    <w:basedOn w:val="Normal"/>
    <w:link w:val="EndNoteBibliographyChar"/>
    <w:rsid w:val="00766104"/>
    <w:pPr>
      <w:jc w:val="both"/>
    </w:pPr>
    <w:rPr>
      <w:noProof/>
      <w:lang w:val="en-AU"/>
    </w:rPr>
  </w:style>
  <w:style w:type="character" w:customStyle="1" w:styleId="EndNoteBibliographyChar">
    <w:name w:val="EndNote Bibliography Char"/>
    <w:basedOn w:val="DefaultParagraphFont"/>
    <w:link w:val="EndNoteBibliography"/>
    <w:rsid w:val="00766104"/>
    <w:rPr>
      <w:noProof/>
      <w:lang w:val="en-AU"/>
    </w:rPr>
  </w:style>
  <w:style w:type="table" w:customStyle="1" w:styleId="3">
    <w:name w:val="3"/>
    <w:basedOn w:val="TableNormal"/>
    <w:tblPr>
      <w:tblStyleRowBandSize w:val="1"/>
      <w:tblStyleColBandSize w:val="1"/>
      <w:tblCellMar>
        <w:left w:w="115" w:type="dxa"/>
        <w:right w:w="115" w:type="dxa"/>
      </w:tblCellMar>
    </w:tblPr>
  </w:style>
  <w:style w:type="table" w:customStyle="1" w:styleId="2">
    <w:name w:val="2"/>
    <w:basedOn w:val="TableNormal"/>
    <w:tblPr>
      <w:tblStyleRowBandSize w:val="1"/>
      <w:tblStyleColBandSize w:val="1"/>
      <w:tblCellMar>
        <w:left w:w="115" w:type="dxa"/>
        <w:right w:w="115" w:type="dxa"/>
      </w:tblCellMar>
    </w:tblPr>
  </w:style>
  <w:style w:type="table" w:customStyle="1" w:styleId="1">
    <w:name w:val="1"/>
    <w:basedOn w:val="TableNormal"/>
    <w:rPr>
      <w:sz w:val="22"/>
      <w:szCs w:val="22"/>
    </w:rPr>
    <w:tblPr>
      <w:tblStyleRowBandSize w:val="1"/>
      <w:tblStyleColBandSize w:val="1"/>
    </w:tblPr>
  </w:style>
  <w:style w:type="paragraph" w:styleId="NormalWeb">
    <w:name w:val="Normal (Web)"/>
    <w:basedOn w:val="Normal"/>
    <w:uiPriority w:val="99"/>
    <w:unhideWhenUsed/>
    <w:rsid w:val="00AC6C90"/>
    <w:pPr>
      <w:spacing w:before="100" w:beforeAutospacing="1" w:after="100" w:afterAutospacing="1"/>
    </w:pPr>
    <w:rPr>
      <w:rFonts w:ascii="Times New Roman" w:eastAsia="Times New Roman" w:hAnsi="Times New Roman" w:cs="Times New Roman"/>
      <w:lang w:val="en-AU"/>
    </w:rPr>
  </w:style>
  <w:style w:type="paragraph" w:styleId="CommentSubject">
    <w:name w:val="annotation subject"/>
    <w:basedOn w:val="CommentText"/>
    <w:next w:val="CommentText"/>
    <w:link w:val="CommentSubjectChar"/>
    <w:uiPriority w:val="99"/>
    <w:semiHidden/>
    <w:unhideWhenUsed/>
    <w:rsid w:val="007E16CD"/>
    <w:rPr>
      <w:b/>
      <w:bCs/>
    </w:rPr>
  </w:style>
  <w:style w:type="character" w:customStyle="1" w:styleId="CommentSubjectChar">
    <w:name w:val="Comment Subject Char"/>
    <w:basedOn w:val="CommentTextChar"/>
    <w:link w:val="CommentSubject"/>
    <w:uiPriority w:val="99"/>
    <w:semiHidden/>
    <w:rsid w:val="007E16CD"/>
    <w:rPr>
      <w:b/>
      <w:bCs/>
      <w:sz w:val="20"/>
      <w:szCs w:val="20"/>
    </w:rPr>
  </w:style>
  <w:style w:type="paragraph" w:styleId="Revision">
    <w:name w:val="Revision"/>
    <w:hidden/>
    <w:uiPriority w:val="99"/>
    <w:semiHidden/>
    <w:rsid w:val="007E16CD"/>
  </w:style>
  <w:style w:type="character" w:styleId="LineNumber">
    <w:name w:val="line number"/>
    <w:basedOn w:val="DefaultParagraphFont"/>
    <w:uiPriority w:val="99"/>
    <w:semiHidden/>
    <w:unhideWhenUsed/>
    <w:rsid w:val="001736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6518745">
      <w:bodyDiv w:val="1"/>
      <w:marLeft w:val="0"/>
      <w:marRight w:val="0"/>
      <w:marTop w:val="0"/>
      <w:marBottom w:val="0"/>
      <w:divBdr>
        <w:top w:val="none" w:sz="0" w:space="0" w:color="auto"/>
        <w:left w:val="none" w:sz="0" w:space="0" w:color="auto"/>
        <w:bottom w:val="none" w:sz="0" w:space="0" w:color="auto"/>
        <w:right w:val="none" w:sz="0" w:space="0" w:color="auto"/>
      </w:divBdr>
    </w:div>
    <w:div w:id="424618004">
      <w:bodyDiv w:val="1"/>
      <w:marLeft w:val="0"/>
      <w:marRight w:val="0"/>
      <w:marTop w:val="0"/>
      <w:marBottom w:val="0"/>
      <w:divBdr>
        <w:top w:val="none" w:sz="0" w:space="0" w:color="auto"/>
        <w:left w:val="none" w:sz="0" w:space="0" w:color="auto"/>
        <w:bottom w:val="none" w:sz="0" w:space="0" w:color="auto"/>
        <w:right w:val="none" w:sz="0" w:space="0" w:color="auto"/>
      </w:divBdr>
    </w:div>
    <w:div w:id="528419600">
      <w:bodyDiv w:val="1"/>
      <w:marLeft w:val="0"/>
      <w:marRight w:val="0"/>
      <w:marTop w:val="0"/>
      <w:marBottom w:val="0"/>
      <w:divBdr>
        <w:top w:val="none" w:sz="0" w:space="0" w:color="auto"/>
        <w:left w:val="none" w:sz="0" w:space="0" w:color="auto"/>
        <w:bottom w:val="none" w:sz="0" w:space="0" w:color="auto"/>
        <w:right w:val="none" w:sz="0" w:space="0" w:color="auto"/>
      </w:divBdr>
    </w:div>
    <w:div w:id="587542069">
      <w:bodyDiv w:val="1"/>
      <w:marLeft w:val="0"/>
      <w:marRight w:val="0"/>
      <w:marTop w:val="0"/>
      <w:marBottom w:val="0"/>
      <w:divBdr>
        <w:top w:val="none" w:sz="0" w:space="0" w:color="auto"/>
        <w:left w:val="none" w:sz="0" w:space="0" w:color="auto"/>
        <w:bottom w:val="none" w:sz="0" w:space="0" w:color="auto"/>
        <w:right w:val="none" w:sz="0" w:space="0" w:color="auto"/>
      </w:divBdr>
    </w:div>
    <w:div w:id="676617094">
      <w:bodyDiv w:val="1"/>
      <w:marLeft w:val="0"/>
      <w:marRight w:val="0"/>
      <w:marTop w:val="0"/>
      <w:marBottom w:val="0"/>
      <w:divBdr>
        <w:top w:val="none" w:sz="0" w:space="0" w:color="auto"/>
        <w:left w:val="none" w:sz="0" w:space="0" w:color="auto"/>
        <w:bottom w:val="none" w:sz="0" w:space="0" w:color="auto"/>
        <w:right w:val="none" w:sz="0" w:space="0" w:color="auto"/>
      </w:divBdr>
    </w:div>
    <w:div w:id="781150182">
      <w:bodyDiv w:val="1"/>
      <w:marLeft w:val="0"/>
      <w:marRight w:val="0"/>
      <w:marTop w:val="0"/>
      <w:marBottom w:val="0"/>
      <w:divBdr>
        <w:top w:val="none" w:sz="0" w:space="0" w:color="auto"/>
        <w:left w:val="none" w:sz="0" w:space="0" w:color="auto"/>
        <w:bottom w:val="none" w:sz="0" w:space="0" w:color="auto"/>
        <w:right w:val="none" w:sz="0" w:space="0" w:color="auto"/>
      </w:divBdr>
    </w:div>
    <w:div w:id="1144355390">
      <w:bodyDiv w:val="1"/>
      <w:marLeft w:val="0"/>
      <w:marRight w:val="0"/>
      <w:marTop w:val="0"/>
      <w:marBottom w:val="0"/>
      <w:divBdr>
        <w:top w:val="none" w:sz="0" w:space="0" w:color="auto"/>
        <w:left w:val="none" w:sz="0" w:space="0" w:color="auto"/>
        <w:bottom w:val="none" w:sz="0" w:space="0" w:color="auto"/>
        <w:right w:val="none" w:sz="0" w:space="0" w:color="auto"/>
      </w:divBdr>
    </w:div>
    <w:div w:id="1166439664">
      <w:bodyDiv w:val="1"/>
      <w:marLeft w:val="0"/>
      <w:marRight w:val="0"/>
      <w:marTop w:val="0"/>
      <w:marBottom w:val="0"/>
      <w:divBdr>
        <w:top w:val="none" w:sz="0" w:space="0" w:color="auto"/>
        <w:left w:val="none" w:sz="0" w:space="0" w:color="auto"/>
        <w:bottom w:val="none" w:sz="0" w:space="0" w:color="auto"/>
        <w:right w:val="none" w:sz="0" w:space="0" w:color="auto"/>
      </w:divBdr>
    </w:div>
    <w:div w:id="1243025367">
      <w:bodyDiv w:val="1"/>
      <w:marLeft w:val="0"/>
      <w:marRight w:val="0"/>
      <w:marTop w:val="0"/>
      <w:marBottom w:val="0"/>
      <w:divBdr>
        <w:top w:val="none" w:sz="0" w:space="0" w:color="auto"/>
        <w:left w:val="none" w:sz="0" w:space="0" w:color="auto"/>
        <w:bottom w:val="none" w:sz="0" w:space="0" w:color="auto"/>
        <w:right w:val="none" w:sz="0" w:space="0" w:color="auto"/>
      </w:divBdr>
    </w:div>
    <w:div w:id="1426879372">
      <w:bodyDiv w:val="1"/>
      <w:marLeft w:val="0"/>
      <w:marRight w:val="0"/>
      <w:marTop w:val="0"/>
      <w:marBottom w:val="0"/>
      <w:divBdr>
        <w:top w:val="none" w:sz="0" w:space="0" w:color="auto"/>
        <w:left w:val="none" w:sz="0" w:space="0" w:color="auto"/>
        <w:bottom w:val="none" w:sz="0" w:space="0" w:color="auto"/>
        <w:right w:val="none" w:sz="0" w:space="0" w:color="auto"/>
      </w:divBdr>
    </w:div>
    <w:div w:id="1449472827">
      <w:bodyDiv w:val="1"/>
      <w:marLeft w:val="0"/>
      <w:marRight w:val="0"/>
      <w:marTop w:val="0"/>
      <w:marBottom w:val="0"/>
      <w:divBdr>
        <w:top w:val="none" w:sz="0" w:space="0" w:color="auto"/>
        <w:left w:val="none" w:sz="0" w:space="0" w:color="auto"/>
        <w:bottom w:val="none" w:sz="0" w:space="0" w:color="auto"/>
        <w:right w:val="none" w:sz="0" w:space="0" w:color="auto"/>
      </w:divBdr>
    </w:div>
    <w:div w:id="1498766220">
      <w:bodyDiv w:val="1"/>
      <w:marLeft w:val="0"/>
      <w:marRight w:val="0"/>
      <w:marTop w:val="0"/>
      <w:marBottom w:val="0"/>
      <w:divBdr>
        <w:top w:val="none" w:sz="0" w:space="0" w:color="auto"/>
        <w:left w:val="none" w:sz="0" w:space="0" w:color="auto"/>
        <w:bottom w:val="none" w:sz="0" w:space="0" w:color="auto"/>
        <w:right w:val="none" w:sz="0" w:space="0" w:color="auto"/>
      </w:divBdr>
    </w:div>
    <w:div w:id="1531988915">
      <w:bodyDiv w:val="1"/>
      <w:marLeft w:val="0"/>
      <w:marRight w:val="0"/>
      <w:marTop w:val="0"/>
      <w:marBottom w:val="0"/>
      <w:divBdr>
        <w:top w:val="none" w:sz="0" w:space="0" w:color="auto"/>
        <w:left w:val="none" w:sz="0" w:space="0" w:color="auto"/>
        <w:bottom w:val="none" w:sz="0" w:space="0" w:color="auto"/>
        <w:right w:val="none" w:sz="0" w:space="0" w:color="auto"/>
      </w:divBdr>
    </w:div>
    <w:div w:id="20594769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ms4wzKDxSTiQ4Xr8lCrv78XLPvw==">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</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EB866625-670A-4437-AC16-11E3BA7748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326</Words>
  <Characters>1859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Mihiri Goonetilleke</dc:creator>
  <cp:keywords/>
  <dc:description/>
  <cp:lastModifiedBy>Trupti Sudge</cp:lastModifiedBy>
  <cp:revision>2</cp:revision>
  <dcterms:created xsi:type="dcterms:W3CDTF">2025-01-28T16:22:00Z</dcterms:created>
  <dcterms:modified xsi:type="dcterms:W3CDTF">2025-01-28T16:22:00Z</dcterms:modified>
</cp:coreProperties>
</file>