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070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textAlignment w:val="auto"/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nformation</w:t>
      </w:r>
    </w:p>
    <w:p w14:paraId="5A264B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textAlignment w:val="auto"/>
        <w:rPr>
          <w:rFonts w:hint="eastAsia" w:ascii="Times New Roman" w:hAnsi="Times New Roman" w:cs="Times New Roman" w:eastAsiaTheme="minorEastAsia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269230" cy="6239510"/>
            <wp:effectExtent l="0" t="0" r="7620" b="8890"/>
            <wp:docPr id="1" name="图片 1" descr="Fig.S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S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2B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highlight w:val="none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S1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Screening of RNA-binding proteins interacting with AC145207.5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related to Fig.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Identification of four RNA-binding proteins (FMR1, ELAVL1, HNRNPC, IGF2BP2) with the highest binding affinity for AC145207.5 through the ENCORI database. 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b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)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The expression of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FMR1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ELAVL1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HNRNPC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, and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IGF2BP2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was individually knocked down in HCT116 cells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and t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he expression level of AC145207.5 was subsequently quantified by RT-qPCR to evaluate the impact of each RNA-binding protein on AC145207.5 expression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.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Statistical analyses were performed using the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One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-way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ANOVA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-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test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and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Student’s t-test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) </w:t>
      </w:r>
      <w:r>
        <w:rPr>
          <w:rFonts w:hint="eastAsia" w:ascii="Times New Roman" w:hAnsi="Times New Roman" w:cs="Times New Roman"/>
          <w:color w:val="auto"/>
          <w:sz w:val="24"/>
          <w:highlight w:val="none"/>
        </w:rPr>
        <w:t xml:space="preserve">Heat map representation illustrating the correlation between AC145207.5 and </w:t>
      </w:r>
      <w:r>
        <w:rPr>
          <w:rFonts w:hint="eastAsia" w:ascii="Times New Roman" w:hAnsi="Times New Roman" w:cs="Times New Roman"/>
          <w:color w:val="auto"/>
          <w:sz w:val="24"/>
          <w:highlight w:val="none"/>
          <w:lang w:val="en-US" w:eastAsia="zh-CN"/>
        </w:rPr>
        <w:t xml:space="preserve">top </w:t>
      </w:r>
      <w:r>
        <w:rPr>
          <w:rFonts w:hint="eastAsia" w:ascii="Times New Roman" w:hAnsi="Times New Roman" w:cs="Times New Roman"/>
          <w:color w:val="auto"/>
          <w:sz w:val="24"/>
          <w:highlight w:val="none"/>
        </w:rPr>
        <w:t>10 significantly RNA-binding proteins, derived from TCGA data.</w:t>
      </w:r>
    </w:p>
    <w:p w14:paraId="4C22EF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center"/>
        <w:textAlignment w:val="auto"/>
        <w:rPr>
          <w:rFonts w:hint="eastAsia" w:ascii="Times New Roman" w:hAnsi="Times New Roman" w:cs="Times New Roman" w:eastAsiaTheme="minorEastAsia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inorEastAsia"/>
          <w:color w:val="auto"/>
          <w:sz w:val="24"/>
          <w:highlight w:val="none"/>
          <w:lang w:val="en-US" w:eastAsia="zh-CN"/>
        </w:rPr>
        <w:drawing>
          <wp:inline distT="0" distB="0" distL="114300" distR="114300">
            <wp:extent cx="5268595" cy="6896100"/>
            <wp:effectExtent l="0" t="0" r="8255" b="0"/>
            <wp:docPr id="2" name="图片 2" descr="Fig.S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F99F">
      <w:pPr>
        <w:spacing w:before="312" w:beforeLines="100" w:after="312" w:afterLines="100" w:line="360" w:lineRule="auto"/>
        <w:rPr>
          <w:rFonts w:hint="default" w:ascii="Times New Roman" w:hAnsi="Times New Roman" w:cs="Times New Roman"/>
          <w:color w:val="auto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S2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4"/>
        </w:rPr>
        <w:t xml:space="preserve">The RNA-binding protein HNRNPC interacts with AC145207.5 via the 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m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eastAsia="zh-CN"/>
        </w:rPr>
        <w:t>6A</w:t>
      </w:r>
      <w:r>
        <w:rPr>
          <w:rFonts w:hint="eastAsia" w:ascii="Times New Roman" w:hAnsi="Times New Roman" w:cs="Times New Roman"/>
          <w:b/>
          <w:bCs/>
          <w:color w:val="auto"/>
          <w:sz w:val="24"/>
        </w:rPr>
        <w:t xml:space="preserve"> modification site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related to Fig.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a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 xml:space="preserve">Secondary structure analysis of AC145207.5 from the Cuilab database to identify putative </w:t>
      </w:r>
      <w:r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  <w:t>m</w:t>
      </w:r>
      <w:r>
        <w:rPr>
          <w:rFonts w:hint="eastAsia" w:ascii="Times New Roman" w:hAnsi="Times New Roman" w:cs="Times New Roman"/>
          <w:color w:val="auto"/>
          <w:sz w:val="24"/>
          <w:szCs w:val="32"/>
          <w:lang w:eastAsia="zh-CN"/>
        </w:rPr>
        <w:t>6A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 xml:space="preserve"> modification sites. </w:t>
      </w:r>
      <w:r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b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>Protein-RNA (C</w:t>
      </w:r>
      <w:r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  <w:t>LIP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>-</w:t>
      </w:r>
      <w:r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  <w:t>s</w:t>
      </w:r>
      <w:r>
        <w:rPr>
          <w:rFonts w:hint="eastAsia" w:ascii="Times New Roman" w:hAnsi="Times New Roman" w:cs="Times New Roman"/>
          <w:color w:val="auto"/>
          <w:sz w:val="24"/>
          <w:szCs w:val="32"/>
        </w:rPr>
        <w:t>eq) analysis illustrates HNRNPC binding peaks on AC145207.5 in CRC cell lines, as determined using the UCSC Genome Browser on Human (GRCh38/hg38)</w:t>
      </w:r>
      <w:r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  <w:t>.</w:t>
      </w:r>
      <w:bookmarkStart w:id="0" w:name="_GoBack"/>
      <w:bookmarkEnd w:id="0"/>
    </w:p>
    <w:p w14:paraId="2110A083">
      <w:pPr>
        <w:spacing w:before="312" w:beforeLines="100" w:after="312" w:afterLines="100" w:line="360" w:lineRule="auto"/>
        <w:jc w:val="center"/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32"/>
          <w:lang w:val="en-US" w:eastAsia="zh-CN"/>
        </w:rPr>
        <w:drawing>
          <wp:inline distT="0" distB="0" distL="114300" distR="114300">
            <wp:extent cx="5274310" cy="4526915"/>
            <wp:effectExtent l="0" t="0" r="2540" b="6985"/>
            <wp:docPr id="3" name="图片 3" descr="Fig.S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S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F41B">
      <w:pPr>
        <w:spacing w:line="360" w:lineRule="auto"/>
        <w:rPr>
          <w:rFonts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3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24"/>
          <w:szCs w:val="24"/>
        </w:rPr>
        <w:t>HNRNPC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 xml:space="preserve"> knockdown impairs the proliferation and invasion of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CRC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 xml:space="preserve"> cells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24"/>
          <w:szCs w:val="24"/>
        </w:rPr>
        <w:t>in vitro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related to Fig.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a and b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MT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S</w:t>
      </w:r>
      <w:r>
        <w:rPr>
          <w:rFonts w:hint="eastAsia" w:ascii="Times New Roman" w:hAnsi="Times New Roman" w:cs="Times New Roman"/>
          <w:color w:val="auto"/>
          <w:sz w:val="24"/>
        </w:rPr>
        <w:t xml:space="preserve"> assay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demonstrating</w:t>
      </w:r>
      <w:r>
        <w:rPr>
          <w:rFonts w:ascii="Times New Roman" w:hAnsi="Times New Roman" w:cs="Times New Roman"/>
          <w:color w:val="auto"/>
          <w:sz w:val="24"/>
        </w:rPr>
        <w:t xml:space="preserve"> t</w:t>
      </w:r>
      <w:r>
        <w:rPr>
          <w:rFonts w:hint="eastAsia" w:ascii="Times New Roman" w:hAnsi="Times New Roman" w:cs="Times New Roman"/>
          <w:color w:val="auto"/>
          <w:sz w:val="24"/>
        </w:rPr>
        <w:t xml:space="preserve">he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impact</w:t>
      </w:r>
      <w:r>
        <w:rPr>
          <w:rFonts w:hint="eastAsia" w:ascii="Times New Roman" w:hAnsi="Times New Roman" w:cs="Times New Roman"/>
          <w:color w:val="auto"/>
          <w:sz w:val="24"/>
        </w:rPr>
        <w:t xml:space="preserve"> of </w:t>
      </w:r>
      <w:r>
        <w:rPr>
          <w:rFonts w:hint="eastAsia" w:ascii="Times New Roman" w:hAnsi="Times New Roman" w:eastAsia="宋体" w:cs="Times New Roman"/>
          <w:i/>
          <w:iCs/>
          <w:color w:val="auto"/>
          <w:kern w:val="0"/>
          <w:sz w:val="24"/>
          <w:szCs w:val="24"/>
          <w:lang w:val="en-US" w:eastAsia="zh-CN" w:bidi="ar"/>
        </w:rPr>
        <w:t>HNRNPC</w:t>
      </w:r>
      <w:r>
        <w:rPr>
          <w:rFonts w:hint="eastAsia" w:ascii="Times New Roman" w:hAnsi="Times New Roman" w:cs="Times New Roman"/>
          <w:color w:val="auto"/>
          <w:sz w:val="24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knockdown</w:t>
      </w:r>
      <w:r>
        <w:rPr>
          <w:rFonts w:hint="eastAsia" w:ascii="Times New Roman" w:hAnsi="Times New Roman" w:cs="Times New Roman"/>
          <w:color w:val="auto"/>
          <w:sz w:val="24"/>
        </w:rPr>
        <w:t xml:space="preserve"> on c</w:t>
      </w:r>
      <w:r>
        <w:rPr>
          <w:rFonts w:ascii="Times New Roman" w:hAnsi="Times New Roman" w:cs="Times New Roman"/>
          <w:color w:val="auto"/>
          <w:sz w:val="24"/>
        </w:rPr>
        <w:t>ell viability</w:t>
      </w:r>
      <w:r>
        <w:rPr>
          <w:rFonts w:hint="eastAsia" w:ascii="Times New Roman" w:hAnsi="Times New Roman" w:cs="Times New Roman"/>
          <w:color w:val="auto"/>
          <w:sz w:val="24"/>
        </w:rPr>
        <w:t xml:space="preserve"> in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SW480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and HCT116 cell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lines</w:t>
      </w:r>
      <w:r>
        <w:rPr>
          <w:rFonts w:hint="default" w:ascii="Times New Roman" w:hAnsi="Times New Roman" w:cs="Times New Roman"/>
          <w:color w:val="auto"/>
          <w:kern w:val="0"/>
          <w:sz w:val="24"/>
          <w:szCs w:val="24"/>
          <w:lang w:bidi="ar"/>
        </w:rPr>
        <w:t>.</w:t>
      </w:r>
      <w:r>
        <w:rPr>
          <w:rFonts w:hint="eastAsia" w:ascii="Times New Roman" w:hAnsi="Times New Roma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Statistical analyses were performed using the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Two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-way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ANOVA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-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test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.</w:t>
      </w:r>
      <w:r>
        <w:rPr>
          <w:rFonts w:hint="eastAsia" w:ascii="Times New Roman" w:hAnsi="Times New Roman" w:cs="Times New Roman"/>
          <w:color w:val="auto"/>
          <w:kern w:val="0"/>
          <w:sz w:val="24"/>
          <w:szCs w:val="24"/>
          <w:lang w:val="en-US" w:eastAsia="zh-CN" w:bidi="ar"/>
        </w:rPr>
        <w:t xml:space="preserve"> (</w:t>
      </w:r>
      <w:r>
        <w:rPr>
          <w:rFonts w:hint="eastAsia" w:ascii="Times New Roman" w:hAnsi="Times New Roman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c</w:t>
      </w:r>
      <w:r>
        <w:rPr>
          <w:rFonts w:hint="eastAsia" w:ascii="Times New Roman" w:hAnsi="Times New Roma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)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Wound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h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ealing assays were employed to assess the impact of </w:t>
      </w:r>
      <w:r>
        <w:rPr>
          <w:rFonts w:hint="eastAsia" w:ascii="Times New Roman" w:hAnsi="Times New Roman" w:eastAsia="宋体" w:cs="Times New Roman"/>
          <w:i/>
          <w:iCs/>
          <w:color w:val="auto"/>
          <w:kern w:val="0"/>
          <w:sz w:val="24"/>
          <w:szCs w:val="24"/>
          <w:lang w:val="en-US" w:eastAsia="zh-CN" w:bidi="ar"/>
        </w:rPr>
        <w:t>HNRNPC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 knockdown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on the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h</w:t>
      </w:r>
      <w:r>
        <w:rPr>
          <w:rFonts w:hint="default" w:ascii="Times New Roman" w:hAnsi="Times New Roman" w:eastAsia="MyriadPro-Light" w:cs="Times New Roman"/>
          <w:b w:val="0"/>
          <w:bCs w:val="0"/>
          <w:color w:val="auto"/>
          <w:kern w:val="0"/>
          <w:sz w:val="24"/>
          <w:szCs w:val="24"/>
          <w:lang w:bidi="ar"/>
        </w:rPr>
        <w:t>orizontal migration capabilities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 of SW480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and HCT116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cells. Statistical analyses were performed using the Student’s t-test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.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kern w:val="0"/>
          <w:sz w:val="24"/>
          <w:szCs w:val="24"/>
          <w:lang w:val="en-US" w:eastAsia="zh-CN" w:bidi="ar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kern w:val="0"/>
          <w:sz w:val="24"/>
          <w:szCs w:val="24"/>
          <w:lang w:val="en-US" w:eastAsia="zh-CN" w:bidi="ar"/>
        </w:rPr>
        <w:t>d</w:t>
      </w:r>
      <w:r>
        <w:rPr>
          <w:rFonts w:hint="eastAsia" w:ascii="Times New Roman" w:hAnsi="Times New Roma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)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Transwell assays were employed to assess the impact of </w:t>
      </w:r>
      <w:r>
        <w:rPr>
          <w:rFonts w:hint="eastAsia" w:ascii="Times New Roman" w:hAnsi="Times New Roman" w:eastAsia="宋体" w:cs="Times New Roman"/>
          <w:i/>
          <w:iCs/>
          <w:color w:val="auto"/>
          <w:kern w:val="0"/>
          <w:sz w:val="24"/>
          <w:szCs w:val="24"/>
          <w:lang w:val="en-US" w:eastAsia="zh-CN" w:bidi="ar"/>
        </w:rPr>
        <w:t>HNRNPC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 knockdown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 xml:space="preserve">on the invasive capabilities of SW480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 xml:space="preserve">and HCT116 </w:t>
      </w:r>
      <w:r>
        <w:rPr>
          <w:rFonts w:hint="default" w:ascii="Times New Roman" w:hAnsi="Times New Roman" w:eastAsia="MyriadPro-Light" w:cs="Times New Roman"/>
          <w:color w:val="auto"/>
          <w:kern w:val="0"/>
          <w:sz w:val="24"/>
          <w:szCs w:val="24"/>
          <w:lang w:bidi="ar"/>
        </w:rPr>
        <w:t>cells. Statistical analyses were performed using the Student’s t-test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.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 xml:space="preserve">Each bar represents the mean values </w:t>
      </w:r>
      <w:r>
        <w:rPr>
          <w:rFonts w:hint="default" w:ascii="Times New Roman" w:hAnsi="Times New Roman" w:cs="Times New Roman"/>
          <w:color w:val="auto"/>
          <w:sz w:val="24"/>
        </w:rPr>
        <w:t>±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</w:rPr>
        <w:t>SD</w:t>
      </w:r>
      <w:r>
        <w:rPr>
          <w:rFonts w:ascii="Times New Roman" w:hAnsi="Times New Roman" w:cs="Times New Roman"/>
          <w:color w:val="auto"/>
          <w:sz w:val="24"/>
        </w:rPr>
        <w:t>.</w:t>
      </w:r>
    </w:p>
    <w:p w14:paraId="19A29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jc w:val="both"/>
        <w:textAlignment w:val="auto"/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Supplementary Table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 w:bidi="ar"/>
        </w:rPr>
        <w:t>1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.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>The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sequence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 of p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t xml:space="preserve">rimers used in </w:t>
      </w: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lang w:val="en-US" w:eastAsia="zh-CN" w:bidi="ar"/>
        </w:rPr>
        <w:t>RT-qPCR analysis.</w:t>
      </w:r>
    </w:p>
    <w:tbl>
      <w:tblPr>
        <w:tblStyle w:val="2"/>
        <w:tblW w:w="11148" w:type="dxa"/>
        <w:tblInd w:w="-12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4716"/>
        <w:gridCol w:w="4872"/>
      </w:tblGrid>
      <w:tr w14:paraId="53915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01DDF571"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kern w:val="44"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  <w:lang w:val="en-US" w:eastAsia="zh-CN" w:bidi="ar"/>
              </w:rPr>
              <w:t>Gene n</w:t>
            </w:r>
            <w:r>
              <w:rPr>
                <w:rFonts w:hint="eastAsia" w:ascii="Times New Roman" w:hAnsi="Times New Roman"/>
                <w:b/>
                <w:bCs/>
                <w:sz w:val="24"/>
                <w:szCs w:val="24"/>
                <w:lang w:bidi="ar"/>
              </w:rPr>
              <w:t>ame</w:t>
            </w:r>
          </w:p>
        </w:tc>
        <w:tc>
          <w:tcPr>
            <w:tcW w:w="4716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5D3C073"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Forward primer (5’-3’)</w:t>
            </w:r>
          </w:p>
        </w:tc>
        <w:tc>
          <w:tcPr>
            <w:tcW w:w="487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63B0F44"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bCs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Reverse primer (5’-3’)</w:t>
            </w:r>
          </w:p>
        </w:tc>
      </w:tr>
      <w:tr w14:paraId="2C04A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</w:tcBorders>
            <w:noWrap w:val="0"/>
            <w:vAlign w:val="center"/>
          </w:tcPr>
          <w:p w14:paraId="42572C63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AC145207.5</w:t>
            </w:r>
          </w:p>
        </w:tc>
        <w:tc>
          <w:tcPr>
            <w:tcW w:w="4716" w:type="dxa"/>
            <w:tcBorders>
              <w:top w:val="single" w:color="auto" w:sz="4" w:space="0"/>
            </w:tcBorders>
            <w:noWrap w:val="0"/>
            <w:vAlign w:val="center"/>
          </w:tcPr>
          <w:p w14:paraId="32C92566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TTAATTTCAGCATCCACTGGTG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tcBorders>
              <w:top w:val="single" w:color="auto" w:sz="4" w:space="0"/>
            </w:tcBorders>
            <w:noWrap w:val="0"/>
            <w:vAlign w:val="center"/>
          </w:tcPr>
          <w:p w14:paraId="771480BC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GAAGGGACTGCTCTTTCTTAGAGA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54476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560" w:type="dxa"/>
            <w:noWrap w:val="0"/>
            <w:vAlign w:val="center"/>
          </w:tcPr>
          <w:p w14:paraId="46AD6688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HNRNPC</w:t>
            </w:r>
          </w:p>
        </w:tc>
        <w:tc>
          <w:tcPr>
            <w:tcW w:w="4716" w:type="dxa"/>
            <w:noWrap w:val="0"/>
            <w:vAlign w:val="center"/>
          </w:tcPr>
          <w:p w14:paraId="2CD4FF49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GGCTTTGTGAGAAACCTTACCAT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noWrap w:val="0"/>
            <w:vAlign w:val="center"/>
          </w:tcPr>
          <w:p w14:paraId="3A0030F8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TTCATGGAGCGAGGATCTGTC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44D59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560" w:type="dxa"/>
            <w:noWrap w:val="0"/>
            <w:vAlign w:val="center"/>
          </w:tcPr>
          <w:p w14:paraId="56756B07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IGF2BP2</w:t>
            </w:r>
          </w:p>
        </w:tc>
        <w:tc>
          <w:tcPr>
            <w:tcW w:w="4716" w:type="dxa"/>
            <w:noWrap w:val="0"/>
            <w:vAlign w:val="center"/>
          </w:tcPr>
          <w:p w14:paraId="0745578B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CAGATGAGACCAAACTAGCCGAA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noWrap w:val="0"/>
            <w:vAlign w:val="center"/>
          </w:tcPr>
          <w:p w14:paraId="221227B3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TCAGTCTTCCAACCAAGCCATT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212140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noWrap w:val="0"/>
            <w:vAlign w:val="center"/>
          </w:tcPr>
          <w:p w14:paraId="53850404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ELAVL1</w:t>
            </w:r>
          </w:p>
        </w:tc>
        <w:tc>
          <w:tcPr>
            <w:tcW w:w="4716" w:type="dxa"/>
            <w:noWrap w:val="0"/>
            <w:vAlign w:val="center"/>
          </w:tcPr>
          <w:p w14:paraId="0BB684E3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ACAGCTTGGGCTATGGCTTT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noWrap w:val="0"/>
            <w:vAlign w:val="center"/>
          </w:tcPr>
          <w:p w14:paraId="23657279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TTCAGCGTGTTGATCGCTCT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338B8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noWrap w:val="0"/>
            <w:vAlign w:val="center"/>
          </w:tcPr>
          <w:p w14:paraId="2CD39798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FMR1</w:t>
            </w:r>
          </w:p>
        </w:tc>
        <w:tc>
          <w:tcPr>
            <w:tcW w:w="4716" w:type="dxa"/>
            <w:noWrap w:val="0"/>
            <w:vAlign w:val="center"/>
          </w:tcPr>
          <w:p w14:paraId="78ABA545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ATACCTCCAGTGAAGGTAGTCGG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noWrap w:val="0"/>
            <w:vAlign w:val="center"/>
          </w:tcPr>
          <w:p w14:paraId="774F2CB5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GGTACTCCATTCACGAGTGGTTG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0B00B3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bottom w:val="nil"/>
            </w:tcBorders>
            <w:noWrap w:val="0"/>
            <w:vAlign w:val="center"/>
          </w:tcPr>
          <w:p w14:paraId="3C5906B6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GPX4</w:t>
            </w:r>
          </w:p>
        </w:tc>
        <w:tc>
          <w:tcPr>
            <w:tcW w:w="4716" w:type="dxa"/>
            <w:tcBorders>
              <w:bottom w:val="nil"/>
            </w:tcBorders>
            <w:noWrap w:val="0"/>
            <w:vAlign w:val="center"/>
          </w:tcPr>
          <w:p w14:paraId="3B879A6D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TTCCCGTGTAACCAGTTCGG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tcBorders>
              <w:bottom w:val="nil"/>
            </w:tcBorders>
            <w:noWrap w:val="0"/>
            <w:vAlign w:val="center"/>
          </w:tcPr>
          <w:p w14:paraId="15395D51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GTGGAGAGACGGTGTCCAAA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74EC1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vAlign w:val="center"/>
          </w:tcPr>
          <w:p w14:paraId="03230CC4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GAPDH</w:t>
            </w:r>
          </w:p>
        </w:tc>
        <w:tc>
          <w:tcPr>
            <w:tcW w:w="4716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vAlign w:val="center"/>
          </w:tcPr>
          <w:p w14:paraId="02BA3597">
            <w:pPr>
              <w:spacing w:line="240" w:lineRule="auto"/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GGAAATCCCATCACCATCTTC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  <w:tc>
          <w:tcPr>
            <w:tcW w:w="487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vAlign w:val="center"/>
          </w:tcPr>
          <w:p w14:paraId="61CDD086">
            <w:pPr>
              <w:jc w:val="center"/>
              <w:rPr>
                <w:rFonts w:hint="eastAsia"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TGGACTCCACGACGTACTCAG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</w:tbl>
    <w:p w14:paraId="1D89C3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jc w:val="both"/>
        <w:textAlignment w:val="auto"/>
        <w:rPr>
          <w:rFonts w:hint="default" w:ascii="Times New Roman" w:hAnsi="Times New Roman"/>
          <w:b/>
          <w:bCs/>
          <w:sz w:val="24"/>
          <w:szCs w:val="28"/>
          <w:lang w:val="en-US" w:eastAsia="zh-CN" w:bidi="ar"/>
        </w:rPr>
      </w:pPr>
      <w:r>
        <w:rPr>
          <w:rFonts w:hint="default" w:ascii="Times New Roman" w:hAnsi="Times New Roman"/>
          <w:b/>
          <w:bCs/>
          <w:sz w:val="24"/>
          <w:szCs w:val="28"/>
          <w:lang w:val="en-US" w:eastAsia="zh-CN" w:bidi="ar"/>
        </w:rPr>
        <w:t>Supplementary Table 2</w:t>
      </w:r>
      <w:r>
        <w:rPr>
          <w:rFonts w:hint="eastAsia" w:ascii="Times New Roman" w:hAnsi="Times New Roman"/>
          <w:b/>
          <w:bCs/>
          <w:sz w:val="24"/>
          <w:szCs w:val="28"/>
          <w:lang w:val="en-US" w:eastAsia="zh-CN" w:bidi="ar"/>
        </w:rPr>
        <w:t>. The t</w:t>
      </w:r>
      <w:r>
        <w:rPr>
          <w:rFonts w:hint="default" w:ascii="Times New Roman" w:hAnsi="Times New Roman"/>
          <w:b/>
          <w:bCs/>
          <w:sz w:val="24"/>
          <w:szCs w:val="28"/>
          <w:lang w:val="en-US" w:eastAsia="zh-CN" w:bidi="ar"/>
        </w:rPr>
        <w:t xml:space="preserve">argeted </w:t>
      </w:r>
      <w:r>
        <w:rPr>
          <w:rFonts w:hint="eastAsia" w:ascii="Times New Roman" w:hAnsi="Times New Roman"/>
          <w:b/>
          <w:bCs/>
          <w:sz w:val="24"/>
          <w:szCs w:val="28"/>
          <w:lang w:val="en-US" w:eastAsia="zh-CN" w:bidi="ar"/>
        </w:rPr>
        <w:t>s</w:t>
      </w:r>
      <w:r>
        <w:rPr>
          <w:rFonts w:hint="default" w:ascii="Times New Roman" w:hAnsi="Times New Roman"/>
          <w:b/>
          <w:bCs/>
          <w:sz w:val="24"/>
          <w:szCs w:val="28"/>
          <w:lang w:val="en-US" w:eastAsia="zh-CN" w:bidi="ar"/>
        </w:rPr>
        <w:t>equences of siRNAs and shRNA</w:t>
      </w:r>
      <w:r>
        <w:rPr>
          <w:rFonts w:hint="eastAsia" w:ascii="Times New Roman" w:hAnsi="Times New Roman"/>
          <w:b/>
          <w:bCs/>
          <w:sz w:val="24"/>
          <w:szCs w:val="28"/>
          <w:lang w:val="en-US" w:eastAsia="zh-CN" w:bidi="ar"/>
        </w:rPr>
        <w:t>s</w:t>
      </w:r>
      <w:r>
        <w:rPr>
          <w:rFonts w:hint="default" w:ascii="Times New Roman" w:hAnsi="Times New Roman"/>
          <w:b/>
          <w:bCs/>
          <w:sz w:val="24"/>
          <w:szCs w:val="28"/>
          <w:lang w:val="en-US" w:eastAsia="zh-CN" w:bidi="ar"/>
        </w:rPr>
        <w:t>.</w:t>
      </w:r>
    </w:p>
    <w:tbl>
      <w:tblPr>
        <w:tblStyle w:val="2"/>
        <w:tblW w:w="11173" w:type="dxa"/>
        <w:tblInd w:w="-124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4"/>
        <w:gridCol w:w="6439"/>
      </w:tblGrid>
      <w:tr w14:paraId="25CB5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3C83E112">
            <w:pPr>
              <w:jc w:val="center"/>
              <w:rPr>
                <w:rFonts w:ascii="Times New Roman" w:hAnsi="Times New Roman" w:eastAsia="宋体"/>
                <w:b/>
                <w:bCs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Gene names</w:t>
            </w:r>
          </w:p>
        </w:tc>
        <w:tc>
          <w:tcPr>
            <w:tcW w:w="643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2AE2051C">
            <w:pPr>
              <w:jc w:val="center"/>
              <w:rPr>
                <w:rFonts w:ascii="Times New Roman" w:hAnsi="Times New Roman" w:eastAsia="宋体"/>
                <w:b/>
                <w:bCs/>
                <w:kern w:val="44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Targeted sequences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lang w:bidi="ar"/>
              </w:rPr>
              <w:t>(5′-3′)</w:t>
            </w:r>
          </w:p>
        </w:tc>
      </w:tr>
      <w:tr w14:paraId="2B656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tcBorders>
              <w:top w:val="single" w:color="auto" w:sz="4" w:space="0"/>
            </w:tcBorders>
            <w:noWrap w:val="0"/>
            <w:vAlign w:val="center"/>
          </w:tcPr>
          <w:p w14:paraId="1F9495C6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-AC145207.5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#1</w:t>
            </w:r>
          </w:p>
        </w:tc>
        <w:tc>
          <w:tcPr>
            <w:tcW w:w="6439" w:type="dxa"/>
            <w:tcBorders>
              <w:top w:val="single" w:color="auto" w:sz="4" w:space="0"/>
            </w:tcBorders>
            <w:noWrap w:val="0"/>
            <w:vAlign w:val="center"/>
          </w:tcPr>
          <w:p w14:paraId="1B1BD7FC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CCCTTTGTCATCCATAAAT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0E151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noWrap w:val="0"/>
            <w:vAlign w:val="center"/>
          </w:tcPr>
          <w:p w14:paraId="7CE4F985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-AC145207.5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#2</w:t>
            </w:r>
          </w:p>
        </w:tc>
        <w:tc>
          <w:tcPr>
            <w:tcW w:w="6439" w:type="dxa"/>
            <w:noWrap w:val="0"/>
            <w:vAlign w:val="center"/>
          </w:tcPr>
          <w:p w14:paraId="2ADB73DD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TCTGTTTCACTTCCAAGTT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5FA11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noWrap w:val="0"/>
            <w:vAlign w:val="center"/>
          </w:tcPr>
          <w:p w14:paraId="0BB818BD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-AC145207.5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#3</w:t>
            </w:r>
          </w:p>
        </w:tc>
        <w:tc>
          <w:tcPr>
            <w:tcW w:w="6439" w:type="dxa"/>
            <w:noWrap w:val="0"/>
            <w:vAlign w:val="center"/>
          </w:tcPr>
          <w:p w14:paraId="17041FFA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GACCTACGATTTCTTTCTT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2214B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34" w:type="dxa"/>
            <w:noWrap w:val="0"/>
            <w:vAlign w:val="center"/>
          </w:tcPr>
          <w:p w14:paraId="6FD4DEEF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sh-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HNRNPC#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6439" w:type="dxa"/>
            <w:noWrap w:val="0"/>
            <w:vAlign w:val="center"/>
          </w:tcPr>
          <w:p w14:paraId="328EEC24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ab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CAGCAACGUUGCCGACAAGA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53919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34" w:type="dxa"/>
            <w:noWrap w:val="0"/>
            <w:vAlign w:val="center"/>
          </w:tcPr>
          <w:p w14:paraId="02FAE460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sh-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HNRNPC#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6439" w:type="dxa"/>
            <w:noWrap w:val="0"/>
            <w:vAlign w:val="center"/>
          </w:tcPr>
          <w:p w14:paraId="5AAE2707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ab/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GCUCCAGAAAUCUGAUGUGG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36330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noWrap w:val="0"/>
            <w:vAlign w:val="center"/>
          </w:tcPr>
          <w:p w14:paraId="5B7E1605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IGF2BP2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#1</w:t>
            </w:r>
          </w:p>
        </w:tc>
        <w:tc>
          <w:tcPr>
            <w:tcW w:w="6439" w:type="dxa"/>
            <w:noWrap w:val="0"/>
            <w:vAlign w:val="center"/>
          </w:tcPr>
          <w:p w14:paraId="0EA0C262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CATGCCGCATGATTCTTGA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358CB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noWrap w:val="0"/>
            <w:vAlign w:val="center"/>
          </w:tcPr>
          <w:p w14:paraId="3EE2179D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IGF2BP2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#2</w:t>
            </w:r>
          </w:p>
        </w:tc>
        <w:tc>
          <w:tcPr>
            <w:tcW w:w="6439" w:type="dxa"/>
            <w:noWrap w:val="0"/>
            <w:vAlign w:val="center"/>
          </w:tcPr>
          <w:p w14:paraId="49219757"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CATATAGGTGACGTTGACAA</w:t>
            </w:r>
          </w:p>
        </w:tc>
      </w:tr>
      <w:tr w14:paraId="2E290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noWrap w:val="0"/>
            <w:vAlign w:val="center"/>
          </w:tcPr>
          <w:p w14:paraId="2C8827F1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ELAVL1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#1</w:t>
            </w:r>
          </w:p>
        </w:tc>
        <w:tc>
          <w:tcPr>
            <w:tcW w:w="6439" w:type="dxa"/>
            <w:noWrap w:val="0"/>
            <w:vAlign w:val="center"/>
          </w:tcPr>
          <w:p w14:paraId="2B703E04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GACCCAGGATGAGTTACGA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1093F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noWrap w:val="0"/>
            <w:vAlign w:val="center"/>
          </w:tcPr>
          <w:p w14:paraId="65188EC2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ELAVL1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#2</w:t>
            </w:r>
          </w:p>
        </w:tc>
        <w:tc>
          <w:tcPr>
            <w:tcW w:w="6439" w:type="dxa"/>
            <w:noWrap w:val="0"/>
            <w:vAlign w:val="center"/>
          </w:tcPr>
          <w:p w14:paraId="2501E473"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GACGCCAACTTGTACATCAG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69DFC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tcBorders>
              <w:bottom w:val="nil"/>
            </w:tcBorders>
            <w:noWrap w:val="0"/>
            <w:vAlign w:val="center"/>
          </w:tcPr>
          <w:p w14:paraId="6159CD2E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FMR1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#1</w:t>
            </w:r>
          </w:p>
        </w:tc>
        <w:tc>
          <w:tcPr>
            <w:tcW w:w="6439" w:type="dxa"/>
            <w:tcBorders>
              <w:bottom w:val="nil"/>
            </w:tcBorders>
            <w:noWrap w:val="0"/>
            <w:vAlign w:val="center"/>
          </w:tcPr>
          <w:p w14:paraId="6A4AB549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GCAGCCTGATAGGCAGATT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51BD88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tcBorders>
              <w:bottom w:val="nil"/>
            </w:tcBorders>
            <w:noWrap w:val="0"/>
            <w:vAlign w:val="center"/>
          </w:tcPr>
          <w:p w14:paraId="6CC1A9B9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FMR1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#2</w:t>
            </w:r>
          </w:p>
        </w:tc>
        <w:tc>
          <w:tcPr>
            <w:tcW w:w="6439" w:type="dxa"/>
            <w:tcBorders>
              <w:bottom w:val="nil"/>
            </w:tcBorders>
            <w:noWrap w:val="0"/>
            <w:vAlign w:val="center"/>
          </w:tcPr>
          <w:p w14:paraId="1F8B81C6"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ATGCGGTTAACACGTTTCTG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07F63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7C5FD7">
            <w:pPr>
              <w:jc w:val="center"/>
              <w:rPr>
                <w:rFonts w:hint="default" w:ascii="Times New Roman" w:hAnsi="Times New Roman" w:eastAsia="宋体"/>
                <w:kern w:val="44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si-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GPX4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#1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6B06BC">
            <w:pPr>
              <w:jc w:val="center"/>
              <w:rPr>
                <w:rFonts w:ascii="Times New Roman" w:hAnsi="Times New Roman" w:eastAsia="宋体"/>
                <w:kern w:val="4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GCTACAACGTCAAATTCGA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  <w:tr w14:paraId="4D69F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4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vAlign w:val="center"/>
          </w:tcPr>
          <w:p w14:paraId="50CEDB62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si-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lang w:val="en-US" w:eastAsia="zh-CN" w:bidi="ar"/>
              </w:rPr>
              <w:t>GPX4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#2</w:t>
            </w:r>
          </w:p>
        </w:tc>
        <w:tc>
          <w:tcPr>
            <w:tcW w:w="6439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vAlign w:val="center"/>
          </w:tcPr>
          <w:p w14:paraId="0F147C0B"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5′-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TTTCCGCCAAGGACATCGAC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-3′</w:t>
            </w:r>
          </w:p>
        </w:tc>
      </w:tr>
    </w:tbl>
    <w:p w14:paraId="5A82918D">
      <w:pPr>
        <w:jc w:val="center"/>
        <w:rPr>
          <w:rFonts w:hint="eastAsia" w:ascii="Times New Roman" w:hAnsi="Times New Roman"/>
          <w:b/>
          <w:bCs/>
          <w:lang w:val="en-US" w:eastAsia="zh-CN" w:bidi="ar"/>
        </w:rPr>
      </w:pPr>
    </w:p>
    <w:p w14:paraId="0BFAEA38">
      <w:pPr>
        <w:spacing w:line="360" w:lineRule="auto"/>
        <w:rPr>
          <w:rFonts w:ascii="Times New Roman" w:hAnsi="Times New Roman" w:cs="Times New Roman"/>
          <w:color w:val="auto"/>
          <w:sz w:val="24"/>
        </w:rPr>
      </w:pPr>
    </w:p>
    <w:p w14:paraId="3CAA33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yriadPro-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7E6A78"/>
    <w:rsid w:val="00E30FAC"/>
    <w:rsid w:val="03456DD9"/>
    <w:rsid w:val="0A1D7EA8"/>
    <w:rsid w:val="11F56D91"/>
    <w:rsid w:val="20A83953"/>
    <w:rsid w:val="23F50442"/>
    <w:rsid w:val="2E391AD3"/>
    <w:rsid w:val="336E4AEE"/>
    <w:rsid w:val="3801798E"/>
    <w:rsid w:val="3C39515C"/>
    <w:rsid w:val="44A75419"/>
    <w:rsid w:val="46095E69"/>
    <w:rsid w:val="48B12184"/>
    <w:rsid w:val="517E6A78"/>
    <w:rsid w:val="5C5306E7"/>
    <w:rsid w:val="61047A23"/>
    <w:rsid w:val="706C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351</Words>
  <Characters>2735</Characters>
  <Lines>0</Lines>
  <Paragraphs>0</Paragraphs>
  <TotalTime>0</TotalTime>
  <ScaleCrop>false</ScaleCrop>
  <LinksUpToDate>false</LinksUpToDate>
  <CharactersWithSpaces>3030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2024-12-12T13:05:00Z</dcterms:created>
  <dc:creator>DreAn丶</dc:creator>
  <cp:lastModifiedBy>DreAn丶</cp:lastModifiedBy>
  <dcterms:modified xsi:type="dcterms:W3CDTF">2024-12-19T10:47:33Z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8D6DE4325F314A8F856A8E4B1DB406F0_13</vt:lpwstr>
  </property>
</Properties>
</file>