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1D9805" w14:textId="77777777" w:rsidR="00776A52" w:rsidRDefault="00776A52" w:rsidP="00776A52">
      <w:pPr>
        <w:jc w:val="center"/>
        <w:rPr>
          <w:rFonts w:ascii="Times New Roman" w:hAnsi="Times New Roman" w:cs="Times New Roman"/>
          <w:b/>
          <w:bCs/>
          <w:sz w:val="36"/>
          <w:szCs w:val="32"/>
        </w:rPr>
      </w:pPr>
      <w:r w:rsidRPr="00225BCE">
        <w:rPr>
          <w:rFonts w:ascii="Times New Roman" w:hAnsi="Times New Roman" w:cs="Times New Roman"/>
          <w:b/>
          <w:bCs/>
          <w:sz w:val="36"/>
          <w:szCs w:val="32"/>
        </w:rPr>
        <w:t xml:space="preserve">Supplementary Information </w:t>
      </w:r>
    </w:p>
    <w:p w14:paraId="2D5DFE50" w14:textId="77777777" w:rsidR="00776A52" w:rsidRDefault="00776A52" w:rsidP="00776A52">
      <w:pPr>
        <w:jc w:val="both"/>
        <w:rPr>
          <w:rFonts w:ascii="Times New Roman" w:hAnsi="Times New Roman" w:cs="Times New Roman"/>
          <w:szCs w:val="22"/>
        </w:rPr>
      </w:pPr>
      <w:r w:rsidRPr="00AE3CC1">
        <w:rPr>
          <w:rFonts w:ascii="Times New Roman" w:hAnsi="Times New Roman" w:cs="Times New Roman"/>
          <w:szCs w:val="22"/>
        </w:rPr>
        <w:t>Fig. S1. Relative abundance (RA) in the (</w:t>
      </w:r>
      <w:r>
        <w:rPr>
          <w:rFonts w:ascii="Times New Roman" w:hAnsi="Times New Roman" w:cs="Times New Roman"/>
          <w:szCs w:val="22"/>
        </w:rPr>
        <w:t>a</w:t>
      </w:r>
      <w:r w:rsidRPr="00AE3CC1">
        <w:rPr>
          <w:rFonts w:ascii="Times New Roman" w:hAnsi="Times New Roman" w:cs="Times New Roman"/>
          <w:szCs w:val="22"/>
        </w:rPr>
        <w:t>) phylum, (</w:t>
      </w:r>
      <w:r>
        <w:rPr>
          <w:rFonts w:ascii="Times New Roman" w:hAnsi="Times New Roman" w:cs="Times New Roman"/>
          <w:szCs w:val="22"/>
        </w:rPr>
        <w:t>b</w:t>
      </w:r>
      <w:r w:rsidRPr="00AE3CC1">
        <w:rPr>
          <w:rFonts w:ascii="Times New Roman" w:hAnsi="Times New Roman" w:cs="Times New Roman"/>
          <w:szCs w:val="22"/>
        </w:rPr>
        <w:t>) class, (</w:t>
      </w:r>
      <w:r>
        <w:rPr>
          <w:rFonts w:ascii="Times New Roman" w:hAnsi="Times New Roman" w:cs="Times New Roman"/>
          <w:szCs w:val="22"/>
        </w:rPr>
        <w:t>c</w:t>
      </w:r>
      <w:r w:rsidRPr="00AE3CC1">
        <w:rPr>
          <w:rFonts w:ascii="Times New Roman" w:hAnsi="Times New Roman" w:cs="Times New Roman"/>
          <w:szCs w:val="22"/>
        </w:rPr>
        <w:t>) family, and (</w:t>
      </w:r>
      <w:r>
        <w:rPr>
          <w:rFonts w:ascii="Times New Roman" w:hAnsi="Times New Roman" w:cs="Times New Roman"/>
          <w:szCs w:val="22"/>
        </w:rPr>
        <w:t>d</w:t>
      </w:r>
      <w:r w:rsidRPr="00AE3CC1">
        <w:rPr>
          <w:rFonts w:ascii="Times New Roman" w:hAnsi="Times New Roman" w:cs="Times New Roman"/>
          <w:szCs w:val="22"/>
        </w:rPr>
        <w:t>) genus levels of bacterial taxa in the AP (</w:t>
      </w:r>
      <w:r w:rsidRPr="00656B22">
        <w:rPr>
          <w:rFonts w:ascii="Times New Roman" w:hAnsi="Times New Roman" w:cs="Times New Roman"/>
          <w:i/>
          <w:iCs/>
          <w:szCs w:val="22"/>
        </w:rPr>
        <w:t xml:space="preserve">Astragalus </w:t>
      </w:r>
      <w:proofErr w:type="spellStart"/>
      <w:r w:rsidRPr="00656B22">
        <w:rPr>
          <w:rFonts w:ascii="Times New Roman" w:hAnsi="Times New Roman" w:cs="Times New Roman"/>
          <w:i/>
          <w:iCs/>
          <w:szCs w:val="22"/>
        </w:rPr>
        <w:t>propinquus</w:t>
      </w:r>
      <w:proofErr w:type="spellEnd"/>
      <w:r w:rsidRPr="00AE3CC1">
        <w:rPr>
          <w:rFonts w:ascii="Times New Roman" w:hAnsi="Times New Roman" w:cs="Times New Roman"/>
          <w:szCs w:val="22"/>
        </w:rPr>
        <w:t>), and GU (</w:t>
      </w:r>
      <w:r w:rsidRPr="00656B22">
        <w:rPr>
          <w:rFonts w:ascii="Times New Roman" w:hAnsi="Times New Roman" w:cs="Times New Roman"/>
          <w:i/>
          <w:iCs/>
          <w:szCs w:val="22"/>
        </w:rPr>
        <w:t xml:space="preserve">Glycyrrhiza </w:t>
      </w:r>
      <w:proofErr w:type="spellStart"/>
      <w:r w:rsidRPr="00656B22">
        <w:rPr>
          <w:rFonts w:ascii="Times New Roman" w:hAnsi="Times New Roman" w:cs="Times New Roman"/>
          <w:i/>
          <w:iCs/>
          <w:szCs w:val="22"/>
        </w:rPr>
        <w:t>uralensis</w:t>
      </w:r>
      <w:proofErr w:type="spellEnd"/>
      <w:r w:rsidRPr="00AE3CC1">
        <w:rPr>
          <w:rFonts w:ascii="Times New Roman" w:hAnsi="Times New Roman" w:cs="Times New Roman"/>
          <w:szCs w:val="22"/>
        </w:rPr>
        <w:t xml:space="preserve">). Low abundance taxonomic groups with less than 5 ‰ (permille) of each sample are highlighted in </w:t>
      </w:r>
      <w:proofErr w:type="spellStart"/>
      <w:r w:rsidRPr="00AE3CC1">
        <w:rPr>
          <w:rFonts w:ascii="Times New Roman" w:hAnsi="Times New Roman" w:cs="Times New Roman"/>
          <w:szCs w:val="22"/>
        </w:rPr>
        <w:t>gray</w:t>
      </w:r>
      <w:proofErr w:type="spellEnd"/>
      <w:r w:rsidRPr="00AE3CC1">
        <w:rPr>
          <w:rFonts w:ascii="Times New Roman" w:hAnsi="Times New Roman" w:cs="Times New Roman"/>
          <w:szCs w:val="22"/>
        </w:rPr>
        <w:t>. Unidentified taxonomic groups are indicated in black. Each plant forms eight biological replicates.</w:t>
      </w:r>
    </w:p>
    <w:p w14:paraId="09F21EB4" w14:textId="77777777" w:rsidR="00776A52" w:rsidRDefault="00776A52" w:rsidP="00776A52">
      <w:pPr>
        <w:ind w:firstLineChars="50" w:firstLine="120"/>
        <w:jc w:val="both"/>
        <w:rPr>
          <w:rFonts w:ascii="Times New Roman" w:hAnsi="Times New Roman" w:cs="Times New Roman"/>
          <w:szCs w:val="22"/>
        </w:rPr>
      </w:pPr>
      <w:r>
        <w:rPr>
          <w:noProof/>
        </w:rPr>
        <w:drawing>
          <wp:inline distT="0" distB="0" distL="0" distR="0" wp14:anchorId="4E36B69F" wp14:editId="2408C8FB">
            <wp:extent cx="5452281" cy="6833093"/>
            <wp:effectExtent l="0" t="0" r="0" b="6350"/>
            <wp:docPr id="3" name="Picture 2" descr="A group of colorful bars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940E7FA1-7DD2-766A-1E15-3277F1ACABC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A group of colorful bars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940E7FA1-7DD2-766A-1E15-3277F1ACABC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7130" cy="6839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Cs w:val="22"/>
        </w:rPr>
        <w:br w:type="page"/>
      </w:r>
    </w:p>
    <w:p w14:paraId="2890987D" w14:textId="77777777" w:rsidR="00776A52" w:rsidRDefault="00776A52" w:rsidP="00776A52">
      <w:pPr>
        <w:jc w:val="both"/>
        <w:rPr>
          <w:rFonts w:ascii="Times New Roman" w:hAnsi="Times New Roman" w:cs="Times New Roman"/>
          <w:szCs w:val="22"/>
        </w:rPr>
      </w:pPr>
      <w:r w:rsidRPr="00AE3CC1">
        <w:rPr>
          <w:rFonts w:ascii="Times New Roman" w:hAnsi="Times New Roman" w:cs="Times New Roman"/>
          <w:szCs w:val="22"/>
        </w:rPr>
        <w:lastRenderedPageBreak/>
        <w:t>Fig. S2. Relative abundance (RA) in the (</w:t>
      </w:r>
      <w:r>
        <w:rPr>
          <w:rFonts w:ascii="Times New Roman" w:hAnsi="Times New Roman" w:cs="Times New Roman"/>
          <w:szCs w:val="22"/>
        </w:rPr>
        <w:t>a</w:t>
      </w:r>
      <w:r w:rsidRPr="00AE3CC1">
        <w:rPr>
          <w:rFonts w:ascii="Times New Roman" w:hAnsi="Times New Roman" w:cs="Times New Roman"/>
          <w:szCs w:val="22"/>
        </w:rPr>
        <w:t>) phylum, (</w:t>
      </w:r>
      <w:r>
        <w:rPr>
          <w:rFonts w:ascii="Times New Roman" w:hAnsi="Times New Roman" w:cs="Times New Roman"/>
          <w:szCs w:val="22"/>
        </w:rPr>
        <w:t>b</w:t>
      </w:r>
      <w:r w:rsidRPr="00AE3CC1">
        <w:rPr>
          <w:rFonts w:ascii="Times New Roman" w:hAnsi="Times New Roman" w:cs="Times New Roman"/>
          <w:szCs w:val="22"/>
        </w:rPr>
        <w:t>) class, (</w:t>
      </w:r>
      <w:r>
        <w:rPr>
          <w:rFonts w:ascii="Times New Roman" w:hAnsi="Times New Roman" w:cs="Times New Roman"/>
          <w:szCs w:val="22"/>
        </w:rPr>
        <w:t>c</w:t>
      </w:r>
      <w:r w:rsidRPr="00AE3CC1">
        <w:rPr>
          <w:rFonts w:ascii="Times New Roman" w:hAnsi="Times New Roman" w:cs="Times New Roman"/>
          <w:szCs w:val="22"/>
        </w:rPr>
        <w:t>) family, and (</w:t>
      </w:r>
      <w:r>
        <w:rPr>
          <w:rFonts w:ascii="Times New Roman" w:hAnsi="Times New Roman" w:cs="Times New Roman"/>
          <w:szCs w:val="22"/>
        </w:rPr>
        <w:t>d</w:t>
      </w:r>
      <w:r w:rsidRPr="00AE3CC1">
        <w:rPr>
          <w:rFonts w:ascii="Times New Roman" w:hAnsi="Times New Roman" w:cs="Times New Roman"/>
          <w:szCs w:val="22"/>
        </w:rPr>
        <w:t>) genus levels of bacterial taxa in the AP (</w:t>
      </w:r>
      <w:r w:rsidRPr="00656B22">
        <w:rPr>
          <w:rFonts w:ascii="Times New Roman" w:hAnsi="Times New Roman" w:cs="Times New Roman"/>
          <w:i/>
          <w:iCs/>
          <w:szCs w:val="22"/>
        </w:rPr>
        <w:t xml:space="preserve">Astragalus </w:t>
      </w:r>
      <w:proofErr w:type="spellStart"/>
      <w:r w:rsidRPr="00656B22">
        <w:rPr>
          <w:rFonts w:ascii="Times New Roman" w:hAnsi="Times New Roman" w:cs="Times New Roman"/>
          <w:i/>
          <w:iCs/>
          <w:szCs w:val="22"/>
        </w:rPr>
        <w:t>propinquus</w:t>
      </w:r>
      <w:proofErr w:type="spellEnd"/>
      <w:r w:rsidRPr="00AE3CC1">
        <w:rPr>
          <w:rFonts w:ascii="Times New Roman" w:hAnsi="Times New Roman" w:cs="Times New Roman"/>
          <w:szCs w:val="22"/>
        </w:rPr>
        <w:t>), and GU (</w:t>
      </w:r>
      <w:r w:rsidRPr="00656B22">
        <w:rPr>
          <w:rFonts w:ascii="Times New Roman" w:hAnsi="Times New Roman" w:cs="Times New Roman"/>
          <w:i/>
          <w:iCs/>
          <w:szCs w:val="22"/>
        </w:rPr>
        <w:t xml:space="preserve">Glycyrrhiza </w:t>
      </w:r>
      <w:proofErr w:type="spellStart"/>
      <w:r w:rsidRPr="00656B22">
        <w:rPr>
          <w:rFonts w:ascii="Times New Roman" w:hAnsi="Times New Roman" w:cs="Times New Roman"/>
          <w:i/>
          <w:iCs/>
          <w:szCs w:val="22"/>
        </w:rPr>
        <w:t>uralensis</w:t>
      </w:r>
      <w:proofErr w:type="spellEnd"/>
      <w:r w:rsidRPr="00AE3CC1">
        <w:rPr>
          <w:rFonts w:ascii="Times New Roman" w:hAnsi="Times New Roman" w:cs="Times New Roman"/>
          <w:szCs w:val="22"/>
        </w:rPr>
        <w:t xml:space="preserve">). Low abundance taxonomic groups with less than 5 ‰ (permille) of each sample are highlighted in </w:t>
      </w:r>
      <w:proofErr w:type="spellStart"/>
      <w:r w:rsidRPr="00AE3CC1">
        <w:rPr>
          <w:rFonts w:ascii="Times New Roman" w:hAnsi="Times New Roman" w:cs="Times New Roman"/>
          <w:szCs w:val="22"/>
        </w:rPr>
        <w:t>gray</w:t>
      </w:r>
      <w:proofErr w:type="spellEnd"/>
      <w:r w:rsidRPr="00AE3CC1">
        <w:rPr>
          <w:rFonts w:ascii="Times New Roman" w:hAnsi="Times New Roman" w:cs="Times New Roman"/>
          <w:szCs w:val="22"/>
        </w:rPr>
        <w:t>. Unidentified taxonomic groups are indicated in black. Each plant forms eight biological replicates.</w:t>
      </w:r>
    </w:p>
    <w:p w14:paraId="52EAB196" w14:textId="55A056BD" w:rsidR="005A6718" w:rsidRPr="00776A52" w:rsidRDefault="00776A52">
      <w:r>
        <w:rPr>
          <w:noProof/>
        </w:rPr>
        <w:drawing>
          <wp:inline distT="0" distB="0" distL="0" distR="0" wp14:anchorId="032C81BB" wp14:editId="5D799A14">
            <wp:extent cx="4906722" cy="7068710"/>
            <wp:effectExtent l="0" t="0" r="8255" b="0"/>
            <wp:docPr id="4" name="Picture 3" descr="A screenshot of a graph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48F6C750-1549-1768-00C6-9B4CC4224E8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A screenshot of a graph&#10;&#10;Description automatically generated">
                      <a:extLst>
                        <a:ext uri="{FF2B5EF4-FFF2-40B4-BE49-F238E27FC236}">
                          <a16:creationId xmlns:a16="http://schemas.microsoft.com/office/drawing/2014/main" id="{48F6C750-1549-1768-00C6-9B4CC4224E8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8185" cy="7099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A6718" w:rsidRPr="00776A5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2DD"/>
    <w:rsid w:val="0011485D"/>
    <w:rsid w:val="002F08AF"/>
    <w:rsid w:val="005A6718"/>
    <w:rsid w:val="005B1496"/>
    <w:rsid w:val="00656B22"/>
    <w:rsid w:val="00776A52"/>
    <w:rsid w:val="00AB22DD"/>
    <w:rsid w:val="00B60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05792FB"/>
  <w15:chartTrackingRefBased/>
  <w15:docId w15:val="{78EF11F5-5FD6-4BC4-8F0B-E831C4676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6A52"/>
    <w:pPr>
      <w:spacing w:line="278" w:lineRule="auto"/>
    </w:pPr>
    <w:rPr>
      <w:rFonts w:asciiTheme="minorHAnsi" w:eastAsiaTheme="minorHAnsi"/>
      <w:sz w:val="24"/>
      <w:lang w:val="en-IN" w:eastAsia="en-US" w:bidi="ta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22DD"/>
    <w:pPr>
      <w:keepNext/>
      <w:keepLines/>
      <w:widowControl w:val="0"/>
      <w:wordWrap w:val="0"/>
      <w:autoSpaceDE w:val="0"/>
      <w:autoSpaceDN w:val="0"/>
      <w:spacing w:before="280" w:after="80" w:line="240" w:lineRule="auto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:lang w:val="en-US" w:eastAsia="ko-KR"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22DD"/>
    <w:pPr>
      <w:keepNext/>
      <w:keepLines/>
      <w:widowControl w:val="0"/>
      <w:wordWrap w:val="0"/>
      <w:autoSpaceDE w:val="0"/>
      <w:autoSpaceDN w:val="0"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:lang w:val="en-US" w:eastAsia="ko-KR"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22DD"/>
    <w:pPr>
      <w:keepNext/>
      <w:keepLines/>
      <w:widowControl w:val="0"/>
      <w:wordWrap w:val="0"/>
      <w:autoSpaceDE w:val="0"/>
      <w:autoSpaceDN w:val="0"/>
      <w:spacing w:before="160" w:after="80" w:line="240" w:lineRule="auto"/>
      <w:outlineLvl w:val="2"/>
    </w:pPr>
    <w:rPr>
      <w:rFonts w:asciiTheme="majorHAnsi" w:eastAsiaTheme="majorEastAsia" w:hAnsiTheme="majorHAnsi" w:cstheme="majorBidi"/>
      <w:color w:val="000000" w:themeColor="text1"/>
      <w:lang w:val="en-US" w:eastAsia="ko-KR"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22DD"/>
    <w:pPr>
      <w:keepNext/>
      <w:keepLines/>
      <w:widowControl w:val="0"/>
      <w:wordWrap w:val="0"/>
      <w:autoSpaceDE w:val="0"/>
      <w:autoSpaceDN w:val="0"/>
      <w:spacing w:before="80" w:after="40" w:line="240" w:lineRule="auto"/>
      <w:outlineLvl w:val="3"/>
    </w:pPr>
    <w:rPr>
      <w:rFonts w:asciiTheme="majorHAnsi" w:eastAsiaTheme="majorEastAsia" w:hAnsiTheme="majorHAnsi" w:cstheme="majorBidi"/>
      <w:color w:val="000000" w:themeColor="text1"/>
      <w:sz w:val="22"/>
      <w:lang w:val="en-US" w:eastAsia="ko-KR"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22DD"/>
    <w:pPr>
      <w:keepNext/>
      <w:keepLines/>
      <w:widowControl w:val="0"/>
      <w:wordWrap w:val="0"/>
      <w:autoSpaceDE w:val="0"/>
      <w:autoSpaceDN w:val="0"/>
      <w:spacing w:before="80" w:after="40" w:line="240" w:lineRule="auto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  <w:sz w:val="22"/>
      <w:lang w:val="en-US" w:eastAsia="ko-KR"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22DD"/>
    <w:pPr>
      <w:keepNext/>
      <w:keepLines/>
      <w:widowControl w:val="0"/>
      <w:wordWrap w:val="0"/>
      <w:autoSpaceDE w:val="0"/>
      <w:autoSpaceDN w:val="0"/>
      <w:spacing w:before="80" w:after="40" w:line="240" w:lineRule="auto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  <w:sz w:val="22"/>
      <w:lang w:val="en-US" w:eastAsia="ko-KR"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22DD"/>
    <w:pPr>
      <w:keepNext/>
      <w:keepLines/>
      <w:widowControl w:val="0"/>
      <w:wordWrap w:val="0"/>
      <w:autoSpaceDE w:val="0"/>
      <w:autoSpaceDN w:val="0"/>
      <w:spacing w:before="80" w:after="40" w:line="240" w:lineRule="auto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  <w:sz w:val="22"/>
      <w:lang w:val="en-US" w:eastAsia="ko-KR"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22DD"/>
    <w:pPr>
      <w:keepNext/>
      <w:keepLines/>
      <w:widowControl w:val="0"/>
      <w:wordWrap w:val="0"/>
      <w:autoSpaceDE w:val="0"/>
      <w:autoSpaceDN w:val="0"/>
      <w:spacing w:before="80" w:after="40" w:line="240" w:lineRule="auto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  <w:sz w:val="22"/>
      <w:lang w:val="en-US" w:eastAsia="ko-KR"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22DD"/>
    <w:pPr>
      <w:keepNext/>
      <w:keepLines/>
      <w:widowControl w:val="0"/>
      <w:wordWrap w:val="0"/>
      <w:autoSpaceDE w:val="0"/>
      <w:autoSpaceDN w:val="0"/>
      <w:spacing w:before="80" w:after="40" w:line="240" w:lineRule="auto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  <w:sz w:val="22"/>
      <w:lang w:val="en-US" w:eastAsia="ko-KR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22DD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22DD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22DD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22DD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22DD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22DD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22DD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22DD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22DD"/>
    <w:rPr>
      <w:rFonts w:asciiTheme="majorHAnsi" w:eastAsiaTheme="majorEastAsia" w:hAnsiTheme="majorHAnsi" w:cstheme="majorBidi"/>
      <w:color w:val="000000" w:themeColor="text1"/>
    </w:rPr>
  </w:style>
  <w:style w:type="paragraph" w:styleId="Title">
    <w:name w:val="Title"/>
    <w:basedOn w:val="Normal"/>
    <w:next w:val="Normal"/>
    <w:link w:val="TitleChar"/>
    <w:uiPriority w:val="10"/>
    <w:qFormat/>
    <w:rsid w:val="00AB22DD"/>
    <w:pPr>
      <w:widowControl w:val="0"/>
      <w:wordWrap w:val="0"/>
      <w:autoSpaceDE w:val="0"/>
      <w:autoSpaceDN w:val="0"/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ko-KR" w:bidi="ar-SA"/>
    </w:rPr>
  </w:style>
  <w:style w:type="character" w:customStyle="1" w:styleId="TitleChar">
    <w:name w:val="Title Char"/>
    <w:basedOn w:val="DefaultParagraphFont"/>
    <w:link w:val="Title"/>
    <w:uiPriority w:val="10"/>
    <w:rsid w:val="00AB22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22DD"/>
    <w:pPr>
      <w:widowControl w:val="0"/>
      <w:numPr>
        <w:ilvl w:val="1"/>
      </w:numPr>
      <w:wordWrap w:val="0"/>
      <w:autoSpaceDE w:val="0"/>
      <w:autoSpaceDN w:val="0"/>
      <w:spacing w:line="240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:lang w:val="en-US" w:eastAsia="ko-KR"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AB22D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22DD"/>
    <w:pPr>
      <w:widowControl w:val="0"/>
      <w:wordWrap w:val="0"/>
      <w:autoSpaceDE w:val="0"/>
      <w:autoSpaceDN w:val="0"/>
      <w:spacing w:before="160" w:line="240" w:lineRule="auto"/>
      <w:jc w:val="center"/>
    </w:pPr>
    <w:rPr>
      <w:rFonts w:asciiTheme="minorEastAsia" w:eastAsiaTheme="minorEastAsia"/>
      <w:i/>
      <w:iCs/>
      <w:color w:val="404040" w:themeColor="text1" w:themeTint="BF"/>
      <w:sz w:val="22"/>
      <w:lang w:val="en-US" w:eastAsia="ko-KR" w:bidi="ar-SA"/>
    </w:rPr>
  </w:style>
  <w:style w:type="character" w:customStyle="1" w:styleId="QuoteChar">
    <w:name w:val="Quote Char"/>
    <w:basedOn w:val="DefaultParagraphFont"/>
    <w:link w:val="Quote"/>
    <w:uiPriority w:val="29"/>
    <w:rsid w:val="00AB22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22DD"/>
    <w:pPr>
      <w:widowControl w:val="0"/>
      <w:wordWrap w:val="0"/>
      <w:autoSpaceDE w:val="0"/>
      <w:autoSpaceDN w:val="0"/>
      <w:spacing w:line="240" w:lineRule="auto"/>
      <w:ind w:left="720"/>
      <w:contextualSpacing/>
    </w:pPr>
    <w:rPr>
      <w:rFonts w:asciiTheme="minorEastAsia" w:eastAsiaTheme="minorEastAsia"/>
      <w:sz w:val="22"/>
      <w:lang w:val="en-US" w:eastAsia="ko-KR" w:bidi="ar-SA"/>
    </w:rPr>
  </w:style>
  <w:style w:type="character" w:styleId="IntenseEmphasis">
    <w:name w:val="Intense Emphasis"/>
    <w:basedOn w:val="DefaultParagraphFont"/>
    <w:uiPriority w:val="21"/>
    <w:qFormat/>
    <w:rsid w:val="00AB22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22DD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wordWrap w:val="0"/>
      <w:autoSpaceDE w:val="0"/>
      <w:autoSpaceDN w:val="0"/>
      <w:spacing w:before="360" w:after="360" w:line="240" w:lineRule="auto"/>
      <w:ind w:left="864" w:right="864"/>
      <w:jc w:val="center"/>
    </w:pPr>
    <w:rPr>
      <w:rFonts w:asciiTheme="minorEastAsia" w:eastAsiaTheme="minorEastAsia"/>
      <w:i/>
      <w:iCs/>
      <w:color w:val="0F4761" w:themeColor="accent1" w:themeShade="BF"/>
      <w:sz w:val="22"/>
      <w:lang w:val="en-US" w:eastAsia="ko-KR"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22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22D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120</Words>
  <Characters>676</Characters>
  <Application>Microsoft Office Word</Application>
  <DocSecurity>0</DocSecurity>
  <Lines>13</Lines>
  <Paragraphs>3</Paragraphs>
  <ScaleCrop>false</ScaleCrop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zerrin kozma</dc:creator>
  <cp:keywords/>
  <dc:description/>
  <cp:lastModifiedBy>zerrin kozma</cp:lastModifiedBy>
  <cp:revision>3</cp:revision>
  <dcterms:created xsi:type="dcterms:W3CDTF">2024-08-23T04:41:00Z</dcterms:created>
  <dcterms:modified xsi:type="dcterms:W3CDTF">2024-12-19T09:14:00Z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c656027fdf3737361a9bb9f17b38962b1b6eaf7b4e9138b0c497cd46f87faff4</vt:lpwstr>
  </property>
</Properties>
</file>