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C990B9" w14:textId="77777777" w:rsidR="00F07348" w:rsidRDefault="00F07348">
      <w:pPr>
        <w:pStyle w:val="Corpo"/>
      </w:pPr>
    </w:p>
    <w:p w14:paraId="55C1EFDC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Table 1: Baseline Patient Characteristics</w:t>
      </w:r>
    </w:p>
    <w:p w14:paraId="0C1B9EEC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 </w:t>
      </w:r>
    </w:p>
    <w:p w14:paraId="1AAC689A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Characteristic | Value |</w:t>
      </w:r>
    </w:p>
    <w:p w14:paraId="63359D81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|----------------|-------|</w:t>
      </w:r>
    </w:p>
    <w:p w14:paraId="1AE85B98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 xml:space="preserve">| Age (years), mean </w:t>
      </w:r>
      <w:r>
        <w:rPr>
          <w:rFonts w:ascii="Helvetica" w:hAnsi="Helvetica"/>
          <w:sz w:val="32"/>
          <w:szCs w:val="32"/>
          <w:rtl/>
        </w:rPr>
        <w:t xml:space="preserve">± </w:t>
      </w:r>
      <w:r>
        <w:rPr>
          <w:rFonts w:ascii="Helvetica" w:hAnsi="Helvetica"/>
          <w:sz w:val="32"/>
          <w:szCs w:val="32"/>
        </w:rPr>
        <w:t xml:space="preserve">SD | 70.3 </w:t>
      </w:r>
      <w:r>
        <w:rPr>
          <w:rFonts w:ascii="Helvetica" w:hAnsi="Helvetica"/>
          <w:sz w:val="32"/>
          <w:szCs w:val="32"/>
          <w:rtl/>
        </w:rPr>
        <w:t xml:space="preserve">± </w:t>
      </w:r>
      <w:r>
        <w:rPr>
          <w:rFonts w:ascii="Helvetica" w:hAnsi="Helvetica"/>
          <w:sz w:val="32"/>
          <w:szCs w:val="32"/>
        </w:rPr>
        <w:t>15.0 |</w:t>
      </w:r>
    </w:p>
    <w:p w14:paraId="5F0EA81D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Gender, n (%) |</w:t>
      </w:r>
    </w:p>
    <w:p w14:paraId="50544ED4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Male | 170 (56.6%) |</w:t>
      </w:r>
    </w:p>
    <w:p w14:paraId="4D61033E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Female | 130 (43.4%) |</w:t>
      </w:r>
    </w:p>
    <w:p w14:paraId="1DC62E67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Primary Diagnosis, n (%) |</w:t>
      </w:r>
    </w:p>
    <w:p w14:paraId="56EEE6D4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Pulmonary Pathologies | 57 (19.0%) |</w:t>
      </w:r>
    </w:p>
    <w:p w14:paraId="261A42CF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Respiratory Insufficiency | 49 (16.3%) |</w:t>
      </w:r>
    </w:p>
    <w:p w14:paraId="5881D956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Infections / Sepsis | 37 (12.3%) |</w:t>
      </w:r>
    </w:p>
    <w:p w14:paraId="087BA5CB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Cardiac Pathologies | 28 (9.3%) |</w:t>
      </w:r>
    </w:p>
    <w:p w14:paraId="0A93FF4B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COVID-19 Pneumonia | 24 (8.0%) |</w:t>
      </w:r>
    </w:p>
    <w:p w14:paraId="6AB5899B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Other | 105 (35.1%) |</w:t>
      </w:r>
    </w:p>
    <w:p w14:paraId="516CE356" w14:textId="77777777" w:rsidR="00F07348" w:rsidRDefault="00F07348">
      <w:pPr>
        <w:pStyle w:val="Corpo"/>
      </w:pPr>
    </w:p>
    <w:p w14:paraId="0BAA11D6" w14:textId="77777777" w:rsidR="00F07348" w:rsidRDefault="00F07348">
      <w:pPr>
        <w:pStyle w:val="Corpo"/>
      </w:pPr>
    </w:p>
    <w:p w14:paraId="167AFEF5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Table 2: Device Placement Characteristics</w:t>
      </w:r>
    </w:p>
    <w:p w14:paraId="0793CA09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 </w:t>
      </w:r>
    </w:p>
    <w:p w14:paraId="4BBA6441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Characteristic | Value |</w:t>
      </w:r>
    </w:p>
    <w:p w14:paraId="48A4F92A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|----------------|-------|</w:t>
      </w:r>
    </w:p>
    <w:p w14:paraId="7BF79B24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Insertion Technique, n (%) |</w:t>
      </w:r>
    </w:p>
    <w:p w14:paraId="6507C0F1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Ultrasound-guided | 268 (94.7%) |</w:t>
      </w:r>
    </w:p>
    <w:p w14:paraId="7581C9F8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Blind technique | 15 (5.3%) |</w:t>
      </w:r>
    </w:p>
    <w:p w14:paraId="0F2E28EE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Multiple Attempts Required, n (%) | 24 (8.5%) |</w:t>
      </w:r>
    </w:p>
    <w:p w14:paraId="78E4F345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lastRenderedPageBreak/>
        <w:t>| Device Size, n (%) |</w:t>
      </w:r>
    </w:p>
    <w:p w14:paraId="0255A2D8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- 18G, 10cm | 208 (73.5%) |</w:t>
      </w:r>
    </w:p>
    <w:p w14:paraId="2A54E6DA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- 20G, 8cm | 75 (26.5%) |</w:t>
      </w:r>
    </w:p>
    <w:p w14:paraId="1628FD63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Insertion Site, n (%) |</w:t>
      </w:r>
    </w:p>
    <w:p w14:paraId="3D8D6E52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Right Arm | 151 (53.4%) |</w:t>
      </w:r>
    </w:p>
    <w:p w14:paraId="75CE11D5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Left Arm | 132 (46.6%) |</w:t>
      </w:r>
    </w:p>
    <w:p w14:paraId="7D8F149B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Vein Used, n (%) |</w:t>
      </w:r>
    </w:p>
    <w:p w14:paraId="751684A7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Basilic | 158 (55.8%) |</w:t>
      </w:r>
    </w:p>
    <w:p w14:paraId="7BEBEEBB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Brachial | 101 (35.7%) |</w:t>
      </w:r>
    </w:p>
    <w:p w14:paraId="253263B6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- Cephalic | 24 (8.5%) |</w:t>
      </w:r>
    </w:p>
    <w:p w14:paraId="192806A0" w14:textId="77777777" w:rsidR="00F07348" w:rsidRDefault="00F07348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</w:p>
    <w:p w14:paraId="77743946" w14:textId="77777777" w:rsidR="00F07348" w:rsidRDefault="00F07348">
      <w:pPr>
        <w:pStyle w:val="Corpo"/>
      </w:pPr>
    </w:p>
    <w:p w14:paraId="40C62838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Table 3: Device Utilization</w:t>
      </w:r>
    </w:p>
    <w:p w14:paraId="0D01B481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 </w:t>
      </w:r>
    </w:p>
    <w:p w14:paraId="15766945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Purpose | n (%) |</w:t>
      </w:r>
    </w:p>
    <w:p w14:paraId="7AB13C94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|---------|-------|</w:t>
      </w:r>
    </w:p>
    <w:p w14:paraId="7C6DE2A9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Blood sampling | 283 (100%) |</w:t>
      </w:r>
    </w:p>
    <w:p w14:paraId="1E9D78FD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Multiple infusion therapies | 230 (81.3%) |</w:t>
      </w:r>
    </w:p>
    <w:p w14:paraId="1A3744AD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Fluid therapy | 225 (79.5%) |</w:t>
      </w:r>
    </w:p>
    <w:p w14:paraId="55524E41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Antibiotic administration | 185 (65.4%) |</w:t>
      </w:r>
    </w:p>
    <w:p w14:paraId="5190F04D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Diuretic drugs | 87 (30.7%) |</w:t>
      </w:r>
    </w:p>
    <w:p w14:paraId="405F87E6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Cardiac drugs | 40 (14.1%) |</w:t>
      </w:r>
    </w:p>
    <w:p w14:paraId="2BED58CC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Electrolyte infusions | 24 (8.5%) |</w:t>
      </w:r>
    </w:p>
    <w:p w14:paraId="4B746692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Blood product transfusions | 11 (3.9%) |</w:t>
      </w:r>
    </w:p>
    <w:p w14:paraId="4B8FCE6C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t>| Contrast medium injection | 4 (1.4%) |</w:t>
      </w:r>
    </w:p>
    <w:p w14:paraId="66EEE7D7" w14:textId="77777777" w:rsidR="00F07348" w:rsidRDefault="000832D3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  <w:r>
        <w:rPr>
          <w:rFonts w:ascii="Helvetica" w:hAnsi="Helvetica"/>
          <w:sz w:val="32"/>
          <w:szCs w:val="32"/>
        </w:rPr>
        <w:lastRenderedPageBreak/>
        <w:t>| Parenteral nutrition | 4 (1.4%) |</w:t>
      </w:r>
    </w:p>
    <w:p w14:paraId="7640FE71" w14:textId="77777777" w:rsidR="00F07348" w:rsidRDefault="00F07348">
      <w:pPr>
        <w:pStyle w:val="Default"/>
        <w:spacing w:before="0" w:after="213" w:line="240" w:lineRule="auto"/>
        <w:rPr>
          <w:rFonts w:ascii="Helvetica" w:eastAsia="Helvetica" w:hAnsi="Helvetica" w:cs="Helvetica"/>
          <w:sz w:val="32"/>
          <w:szCs w:val="32"/>
        </w:rPr>
      </w:pPr>
    </w:p>
    <w:sectPr w:rsidR="00F07348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544FA4" w14:textId="77777777" w:rsidR="00B85470" w:rsidRDefault="00B85470">
      <w:r>
        <w:separator/>
      </w:r>
    </w:p>
  </w:endnote>
  <w:endnote w:type="continuationSeparator" w:id="0">
    <w:p w14:paraId="3749B584" w14:textId="77777777" w:rsidR="00B85470" w:rsidRDefault="00B85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F58C27" w14:textId="77777777" w:rsidR="00F07348" w:rsidRDefault="00F0734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162DA8" w14:textId="77777777" w:rsidR="00B85470" w:rsidRDefault="00B85470">
      <w:r>
        <w:separator/>
      </w:r>
    </w:p>
  </w:footnote>
  <w:footnote w:type="continuationSeparator" w:id="0">
    <w:p w14:paraId="09CA6AA0" w14:textId="77777777" w:rsidR="00B85470" w:rsidRDefault="00B854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F98F8C" w14:textId="77777777" w:rsidR="00F07348" w:rsidRDefault="00F0734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348"/>
    <w:rsid w:val="000832D3"/>
    <w:rsid w:val="0030350E"/>
    <w:rsid w:val="004F17E7"/>
    <w:rsid w:val="00531875"/>
    <w:rsid w:val="006A3C39"/>
    <w:rsid w:val="00783796"/>
    <w:rsid w:val="00A640B7"/>
    <w:rsid w:val="00B85470"/>
    <w:rsid w:val="00DF1061"/>
    <w:rsid w:val="00F0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8CA4E"/>
  <w15:docId w15:val="{6694D19B-76F8-D44F-A138-DB3F7A512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2025-01-02T02:52:00Z</dcterms:created>
  <dcterms:modified xsi:type="dcterms:W3CDTF">2025-01-02T02:52:00Z</dcterms:modified>
</cp:coreProperties>
</file>