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48ADC" w14:textId="77777777" w:rsidR="00AA65AB" w:rsidRPr="0086098D" w:rsidRDefault="00AA65AB" w:rsidP="00AA65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098D">
        <w:rPr>
          <w:rFonts w:ascii="Times New Roman" w:hAnsi="Times New Roman" w:cs="Times New Roman"/>
          <w:b/>
          <w:sz w:val="28"/>
          <w:szCs w:val="28"/>
        </w:rPr>
        <w:t>Table of Content</w:t>
      </w:r>
    </w:p>
    <w:p w14:paraId="5BF01208" w14:textId="77777777" w:rsidR="00AA65AB" w:rsidRPr="00AC2CB6" w:rsidRDefault="00AA65AB" w:rsidP="00AA65AB"/>
    <w:p w14:paraId="23F09D57" w14:textId="77777777" w:rsidR="00AA65AB" w:rsidRPr="00AC2CB6" w:rsidRDefault="00AA65AB" w:rsidP="00AA65AB">
      <w:pPr>
        <w:jc w:val="center"/>
      </w:pPr>
      <w:r w:rsidRPr="00AC2CB6">
        <w:rPr>
          <w:noProof/>
        </w:rPr>
        <w:drawing>
          <wp:inline distT="0" distB="0" distL="0" distR="0" wp14:anchorId="554DF72C" wp14:editId="29C4C799">
            <wp:extent cx="2881630" cy="1437640"/>
            <wp:effectExtent l="0" t="0" r="0" b="0"/>
            <wp:docPr id="2" name="Picture 2" descr="D:\Hieu_document\2024-MTZ-SO4\PAPER\Submit-2911\TOC-RS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ieu_document\2024-MTZ-SO4\PAPER\Submit-2911\TOC-RSC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63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0E3AD" w14:textId="77777777" w:rsidR="00AA65AB" w:rsidRPr="00AC2CB6" w:rsidRDefault="00AA65AB" w:rsidP="00AA65AB">
      <w:pPr>
        <w:jc w:val="both"/>
        <w:rPr>
          <w:rFonts w:ascii="Times New Roman" w:hAnsi="Times New Roman" w:cs="Times New Roman"/>
        </w:rPr>
      </w:pPr>
    </w:p>
    <w:p w14:paraId="48BB5238" w14:textId="77777777" w:rsidR="00AA65AB" w:rsidRPr="00AC2CB6" w:rsidRDefault="00AA65AB" w:rsidP="00AA65AB">
      <w:pPr>
        <w:jc w:val="both"/>
      </w:pPr>
      <w:r w:rsidRPr="00AC2CB6">
        <w:rPr>
          <w:rFonts w:ascii="Times New Roman" w:hAnsi="Times New Roman" w:cs="Times New Roman"/>
        </w:rPr>
        <w:t>The SO</w:t>
      </w:r>
      <w:r w:rsidRPr="00AC2CB6">
        <w:rPr>
          <w:rFonts w:ascii="Times New Roman" w:hAnsi="Times New Roman" w:cs="Times New Roman"/>
          <w:vertAlign w:val="subscript"/>
        </w:rPr>
        <w:t>4</w:t>
      </w:r>
      <w:r w:rsidRPr="00AC2CB6">
        <w:rPr>
          <w:rFonts w:ascii="Times New Roman" w:hAnsi="Times New Roman" w:cs="Times New Roman"/>
          <w:vertAlign w:val="superscript"/>
        </w:rPr>
        <w:t>●–</w:t>
      </w:r>
      <w:r w:rsidRPr="00AC2CB6">
        <w:rPr>
          <w:rFonts w:ascii="Times New Roman" w:hAnsi="Times New Roman" w:cs="Times New Roman"/>
        </w:rPr>
        <w:t xml:space="preserve"> degradation of metazachlor is highly efficient, with rapid rates in gas and water but follows distinct temperature-dependent mechanisms.</w:t>
      </w:r>
    </w:p>
    <w:p w14:paraId="1DCB808B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5AB"/>
    <w:rsid w:val="002A5090"/>
    <w:rsid w:val="003F36CB"/>
    <w:rsid w:val="005050FC"/>
    <w:rsid w:val="005C6F5D"/>
    <w:rsid w:val="007620B2"/>
    <w:rsid w:val="00787B7D"/>
    <w:rsid w:val="008C374B"/>
    <w:rsid w:val="00954821"/>
    <w:rsid w:val="00A800EA"/>
    <w:rsid w:val="00AA65AB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6404A"/>
  <w15:chartTrackingRefBased/>
  <w15:docId w15:val="{A6FD8D40-C30F-402D-A0EC-3DEA6E676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5A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65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65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65A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65A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65A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65A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65A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65A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65A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5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65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65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65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65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65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65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65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65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65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65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65A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65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65A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65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65A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65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65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65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65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Springer Nature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2025-05-19T07:56:00Z</dcterms:created>
  <dcterms:modified xsi:type="dcterms:W3CDTF">2025-05-19T07:56:00Z</dcterms:modified>
</cp:coreProperties>
</file>