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6A552" w14:textId="77777777" w:rsidR="000D54D6" w:rsidRPr="0082538C" w:rsidRDefault="000D54D6" w:rsidP="002D41C2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D541EB4" w14:textId="77777777" w:rsidR="00C75C10" w:rsidRPr="0082538C" w:rsidRDefault="00C75C10" w:rsidP="002D41C2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F2AB124" w14:textId="77777777" w:rsidR="00C75C10" w:rsidRPr="0082538C" w:rsidRDefault="00C75C10" w:rsidP="002D41C2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3DA6C13" w14:textId="77777777" w:rsidR="00C75C10" w:rsidRPr="0082538C" w:rsidRDefault="00C75C10" w:rsidP="002D41C2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5DBDA5B" w14:textId="5ECE7DD0" w:rsidR="00B43659" w:rsidRPr="0082538C" w:rsidRDefault="00B43659" w:rsidP="00CB6EE9">
      <w:pPr>
        <w:pStyle w:val="Caption"/>
        <w:keepNext/>
        <w:spacing w:line="276" w:lineRule="auto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82538C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Table1</w:t>
      </w:r>
      <w:r w:rsidRPr="0082538C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. Physicochemical </w:t>
      </w:r>
      <w:r w:rsidR="00CB6EE9" w:rsidRPr="0082538C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c</w:t>
      </w:r>
      <w:r w:rsidRPr="0082538C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haracteristics of furfural</w:t>
      </w:r>
    </w:p>
    <w:tbl>
      <w:tblPr>
        <w:bidiVisual/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47"/>
        <w:gridCol w:w="2136"/>
        <w:gridCol w:w="4377"/>
      </w:tblGrid>
      <w:tr w:rsidR="0082538C" w:rsidRPr="0082538C" w14:paraId="7AA9508A" w14:textId="77777777" w:rsidTr="005A671F">
        <w:trPr>
          <w:trHeight w:val="384"/>
          <w:jc w:val="center"/>
        </w:trPr>
        <w:tc>
          <w:tcPr>
            <w:tcW w:w="1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5CEF84" w14:textId="5EC5986B" w:rsidR="00E64A10" w:rsidRPr="0082538C" w:rsidRDefault="00E64A10" w:rsidP="00455DFC">
            <w:pPr>
              <w:spacing w:after="0" w:line="276" w:lineRule="auto"/>
              <w:jc w:val="both"/>
              <w:rPr>
                <w:rFonts w:ascii="Times New Roman" w:hAnsi="Times New Roman" w:cs="B Nazanin"/>
                <w:b/>
                <w:bCs/>
                <w:sz w:val="20"/>
                <w:szCs w:val="20"/>
                <w:lang w:bidi="fa-IR"/>
              </w:rPr>
            </w:pPr>
            <w:r w:rsidRPr="0082538C">
              <w:rPr>
                <w:rFonts w:ascii="Times New Roman" w:hAnsi="Times New Roman" w:cs="B Nazanin"/>
                <w:b/>
                <w:bCs/>
                <w:sz w:val="20"/>
                <w:szCs w:val="20"/>
                <w:lang w:bidi="fa-IR"/>
              </w:rPr>
              <w:t>Chemical formula</w:t>
            </w:r>
          </w:p>
        </w:tc>
        <w:tc>
          <w:tcPr>
            <w:tcW w:w="11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5D8188" w14:textId="6F88D700" w:rsidR="00E64A10" w:rsidRPr="0082538C" w:rsidRDefault="00E64A10" w:rsidP="00455DFC">
            <w:pPr>
              <w:spacing w:after="0" w:line="276" w:lineRule="auto"/>
              <w:jc w:val="both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82538C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Molecular weight</w:t>
            </w:r>
          </w:p>
        </w:tc>
        <w:tc>
          <w:tcPr>
            <w:tcW w:w="23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F0B82" w14:textId="37D6112D" w:rsidR="00E64A10" w:rsidRPr="0082538C" w:rsidRDefault="00E64A10" w:rsidP="00455DFC">
            <w:pPr>
              <w:spacing w:after="0" w:line="276" w:lineRule="auto"/>
              <w:jc w:val="center"/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</w:pPr>
            <w:r w:rsidRPr="0082538C">
              <w:rPr>
                <w:rFonts w:ascii="Times New Roman" w:eastAsia="Calibri" w:hAnsi="Times New Roman" w:cs="B Nazanin"/>
                <w:b/>
                <w:bCs/>
                <w:sz w:val="20"/>
                <w:szCs w:val="20"/>
              </w:rPr>
              <w:t>Chemical structure</w:t>
            </w:r>
          </w:p>
        </w:tc>
      </w:tr>
      <w:tr w:rsidR="0082538C" w:rsidRPr="0082538C" w14:paraId="3EC3A746" w14:textId="77777777" w:rsidTr="005A671F">
        <w:trPr>
          <w:trHeight w:val="902"/>
          <w:jc w:val="center"/>
        </w:trPr>
        <w:tc>
          <w:tcPr>
            <w:tcW w:w="1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83C7ED" w14:textId="77777777" w:rsidR="00E64A10" w:rsidRPr="0082538C" w:rsidRDefault="00E64A10" w:rsidP="00455DFC">
            <w:pPr>
              <w:spacing w:after="0" w:line="276" w:lineRule="auto"/>
              <w:jc w:val="both"/>
              <w:rPr>
                <w:rFonts w:ascii="Times New Roman" w:hAnsi="Times New Roman" w:cstheme="majorBidi"/>
                <w:szCs w:val="24"/>
                <w:lang w:bidi="fa-IR"/>
              </w:rPr>
            </w:pPr>
            <w:r w:rsidRPr="0082538C">
              <w:rPr>
                <w:rFonts w:ascii="Times New Roman" w:hAnsi="Times New Roman" w:cstheme="majorBidi"/>
                <w:szCs w:val="24"/>
              </w:rPr>
              <w:t>C</w:t>
            </w:r>
            <w:r w:rsidRPr="0082538C">
              <w:rPr>
                <w:rFonts w:ascii="Times New Roman" w:hAnsi="Times New Roman" w:cstheme="majorBidi"/>
                <w:szCs w:val="24"/>
                <w:vertAlign w:val="subscript"/>
              </w:rPr>
              <w:t>5</w:t>
            </w:r>
            <w:r w:rsidRPr="0082538C">
              <w:rPr>
                <w:rFonts w:ascii="Times New Roman" w:hAnsi="Times New Roman" w:cstheme="majorBidi"/>
                <w:szCs w:val="24"/>
              </w:rPr>
              <w:t>H</w:t>
            </w:r>
            <w:r w:rsidRPr="0082538C">
              <w:rPr>
                <w:rFonts w:ascii="Times New Roman" w:hAnsi="Times New Roman" w:cstheme="majorBidi"/>
                <w:szCs w:val="24"/>
                <w:vertAlign w:val="subscript"/>
              </w:rPr>
              <w:t>4</w:t>
            </w:r>
            <w:r w:rsidRPr="0082538C">
              <w:rPr>
                <w:rFonts w:ascii="Times New Roman" w:hAnsi="Times New Roman" w:cstheme="majorBidi"/>
                <w:szCs w:val="24"/>
              </w:rPr>
              <w:t>O</w:t>
            </w:r>
            <w:r w:rsidRPr="0082538C">
              <w:rPr>
                <w:rFonts w:ascii="Times New Roman" w:hAnsi="Times New Roman" w:cstheme="majorBidi"/>
                <w:szCs w:val="24"/>
                <w:vertAlign w:val="subscript"/>
              </w:rPr>
              <w:t>2</w:t>
            </w:r>
          </w:p>
        </w:tc>
        <w:tc>
          <w:tcPr>
            <w:tcW w:w="11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99AA6F" w14:textId="7D827F41" w:rsidR="00E64A10" w:rsidRPr="0082538C" w:rsidRDefault="00E96CE0" w:rsidP="00E96CE0">
            <w:pPr>
              <w:spacing w:after="0" w:line="276" w:lineRule="auto"/>
              <w:jc w:val="both"/>
              <w:rPr>
                <w:rFonts w:ascii="Times New Roman" w:eastAsia="Calibri" w:hAnsi="Times New Roman" w:cs="B Nazanin"/>
                <w:lang w:bidi="fa-IR"/>
              </w:rPr>
            </w:pPr>
            <w:r w:rsidRPr="0082538C">
              <w:rPr>
                <w:rFonts w:ascii="Times New Roman" w:eastAsia="Calibri" w:hAnsi="Times New Roman" w:cs="B Nazanin"/>
              </w:rPr>
              <w:t>96.08</w:t>
            </w:r>
            <w:r w:rsidR="00E64A10" w:rsidRPr="0082538C">
              <w:rPr>
                <w:rFonts w:ascii="Times New Roman" w:eastAsia="Calibri" w:hAnsi="Times New Roman" w:cs="B Nazanin"/>
              </w:rPr>
              <w:t xml:space="preserve"> </w:t>
            </w:r>
            <w:r w:rsidR="00E64A10" w:rsidRPr="0082538C">
              <w:rPr>
                <w:rFonts w:ascii="Times New Roman" w:eastAsia="Calibri" w:hAnsi="Times New Roman" w:cstheme="majorBidi"/>
              </w:rPr>
              <w:t>g/</w:t>
            </w:r>
            <w:r w:rsidR="005E477A" w:rsidRPr="0082538C">
              <w:rPr>
                <w:rFonts w:ascii="Times New Roman" w:eastAsia="Calibri" w:hAnsi="Times New Roman" w:cstheme="majorBidi"/>
              </w:rPr>
              <w:t>moL</w:t>
            </w:r>
          </w:p>
        </w:tc>
        <w:tc>
          <w:tcPr>
            <w:tcW w:w="23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2C4E47" w14:textId="3D35B231" w:rsidR="00E64A10" w:rsidRPr="0082538C" w:rsidRDefault="00E64A10" w:rsidP="00455DFC">
            <w:pPr>
              <w:bidi/>
              <w:spacing w:after="0" w:line="276" w:lineRule="auto"/>
              <w:jc w:val="center"/>
              <w:rPr>
                <w:rFonts w:ascii="Times New Roman" w:eastAsia="Calibri" w:hAnsi="Times New Roman"/>
                <w:szCs w:val="2"/>
                <w:lang w:bidi="fa-IR"/>
              </w:rPr>
            </w:pPr>
            <w:r w:rsidRPr="0082538C">
              <w:rPr>
                <w:rFonts w:ascii="Times New Roman" w:eastAsia="Calibri" w:hAnsi="Times New Roman"/>
                <w:noProof/>
                <w:szCs w:val="2"/>
                <w:lang w:bidi="fa-IR"/>
              </w:rPr>
              <w:drawing>
                <wp:inline distT="0" distB="0" distL="0" distR="0" wp14:anchorId="7AF3BB14" wp14:editId="7E7A8462">
                  <wp:extent cx="841375" cy="621665"/>
                  <wp:effectExtent l="0" t="0" r="0" b="0"/>
                  <wp:docPr id="2135007931" name="Picture 1" descr="Furfural skeletal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urfural skeletal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62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A9D05E" w14:textId="77777777" w:rsidR="00955B41" w:rsidRPr="0082538C" w:rsidRDefault="00955B41" w:rsidP="00B92068">
      <w:pPr>
        <w:pStyle w:val="HTMLPreformatted"/>
        <w:spacing w:line="276" w:lineRule="auto"/>
        <w:rPr>
          <w:rFonts w:asciiTheme="majorBidi" w:eastAsia="Times New Roman" w:hAnsiTheme="majorBidi" w:cstheme="majorBidi"/>
          <w:kern w:val="0"/>
          <w14:ligatures w14:val="none"/>
        </w:rPr>
      </w:pPr>
    </w:p>
    <w:p w14:paraId="16E89E19" w14:textId="3F1C0FAC" w:rsidR="002D1DBB" w:rsidRPr="0082538C" w:rsidRDefault="002D1DBB" w:rsidP="00955B41">
      <w:pPr>
        <w:pStyle w:val="HTMLPreformatted"/>
        <w:spacing w:line="276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82538C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Table 6.</w:t>
      </w:r>
      <w:r w:rsidRPr="0082538C">
        <w:rPr>
          <w:rFonts w:asciiTheme="majorBidi" w:eastAsia="Times New Roman" w:hAnsiTheme="majorBidi" w:cstheme="majorBidi"/>
          <w:kern w:val="0"/>
          <w14:ligatures w14:val="none"/>
        </w:rPr>
        <w:t xml:space="preserve"> </w:t>
      </w:r>
      <w:r w:rsidR="004F4F4B" w:rsidRPr="0082538C">
        <w:rPr>
          <w:rFonts w:asciiTheme="majorBidi" w:eastAsia="Times New Roman" w:hAnsiTheme="majorBidi" w:cstheme="majorBidi"/>
          <w:kern w:val="0"/>
          <w14:ligatures w14:val="none"/>
        </w:rPr>
        <w:t xml:space="preserve">Comparison of the </w:t>
      </w:r>
      <w:r w:rsidR="00955B41" w:rsidRPr="0082538C">
        <w:rPr>
          <w:rFonts w:asciiTheme="majorBidi" w:eastAsia="Times New Roman" w:hAnsiTheme="majorBidi" w:cstheme="majorBidi"/>
          <w:kern w:val="0"/>
          <w14:ligatures w14:val="none"/>
        </w:rPr>
        <w:t>a</w:t>
      </w:r>
      <w:r w:rsidR="004F4F4B" w:rsidRPr="0082538C">
        <w:rPr>
          <w:rFonts w:asciiTheme="majorBidi" w:eastAsia="Times New Roman" w:hAnsiTheme="majorBidi" w:cstheme="majorBidi"/>
          <w:kern w:val="0"/>
          <w14:ligatures w14:val="none"/>
        </w:rPr>
        <w:t xml:space="preserve">dsorption of </w:t>
      </w:r>
      <w:r w:rsidR="00955B41" w:rsidRPr="0082538C">
        <w:rPr>
          <w:rFonts w:asciiTheme="majorBidi" w:eastAsia="Times New Roman" w:hAnsiTheme="majorBidi" w:cstheme="majorBidi"/>
          <w:kern w:val="0"/>
          <w14:ligatures w14:val="none"/>
        </w:rPr>
        <w:t>f</w:t>
      </w:r>
      <w:r w:rsidR="004F4F4B" w:rsidRPr="0082538C">
        <w:rPr>
          <w:rFonts w:asciiTheme="majorBidi" w:eastAsia="Times New Roman" w:hAnsiTheme="majorBidi" w:cstheme="majorBidi"/>
          <w:kern w:val="0"/>
          <w14:ligatures w14:val="none"/>
        </w:rPr>
        <w:t xml:space="preserve">urfural onto </w:t>
      </w:r>
      <w:r w:rsidR="00955B41" w:rsidRPr="0082538C">
        <w:rPr>
          <w:rFonts w:asciiTheme="majorBidi" w:eastAsia="Times New Roman" w:hAnsiTheme="majorBidi" w:cstheme="majorBidi"/>
          <w:kern w:val="0"/>
          <w14:ligatures w14:val="none"/>
        </w:rPr>
        <w:t>v</w:t>
      </w:r>
      <w:r w:rsidR="004F4F4B" w:rsidRPr="0082538C">
        <w:rPr>
          <w:rFonts w:asciiTheme="majorBidi" w:eastAsia="Times New Roman" w:hAnsiTheme="majorBidi" w:cstheme="majorBidi"/>
          <w:kern w:val="0"/>
          <w14:ligatures w14:val="none"/>
        </w:rPr>
        <w:t xml:space="preserve">arious </w:t>
      </w:r>
      <w:r w:rsidR="00955B41" w:rsidRPr="0082538C">
        <w:rPr>
          <w:rFonts w:asciiTheme="majorBidi" w:eastAsia="Times New Roman" w:hAnsiTheme="majorBidi" w:cstheme="majorBidi"/>
          <w:kern w:val="0"/>
          <w14:ligatures w14:val="none"/>
        </w:rPr>
        <w:t>a</w:t>
      </w:r>
      <w:r w:rsidR="004F4F4B" w:rsidRPr="0082538C">
        <w:rPr>
          <w:rFonts w:asciiTheme="majorBidi" w:eastAsia="Times New Roman" w:hAnsiTheme="majorBidi" w:cstheme="majorBidi"/>
          <w:kern w:val="0"/>
          <w14:ligatures w14:val="none"/>
        </w:rPr>
        <w:t>dsorbents</w:t>
      </w:r>
    </w:p>
    <w:p w14:paraId="7505EB83" w14:textId="77777777" w:rsidR="002D1DBB" w:rsidRPr="0082538C" w:rsidRDefault="002D1DBB" w:rsidP="00455DFC">
      <w:pPr>
        <w:pStyle w:val="HTMLPreformatted"/>
        <w:spacing w:line="276" w:lineRule="auto"/>
        <w:jc w:val="center"/>
        <w:rPr>
          <w:rFonts w:asciiTheme="majorBidi" w:eastAsia="Times New Roman" w:hAnsiTheme="majorBidi" w:cstheme="majorBidi"/>
          <w:kern w:val="0"/>
          <w14:ligatures w14:val="none"/>
        </w:rPr>
      </w:pPr>
    </w:p>
    <w:tbl>
      <w:tblPr>
        <w:tblStyle w:val="TableGrid"/>
        <w:tblW w:w="10261" w:type="dxa"/>
        <w:jc w:val="center"/>
        <w:tblLook w:val="04A0" w:firstRow="1" w:lastRow="0" w:firstColumn="1" w:lastColumn="0" w:noHBand="0" w:noVBand="1"/>
      </w:tblPr>
      <w:tblGrid>
        <w:gridCol w:w="1561"/>
        <w:gridCol w:w="1105"/>
        <w:gridCol w:w="2208"/>
        <w:gridCol w:w="2066"/>
        <w:gridCol w:w="2442"/>
        <w:gridCol w:w="879"/>
      </w:tblGrid>
      <w:tr w:rsidR="0082538C" w:rsidRPr="0082538C" w14:paraId="21723C9E" w14:textId="77777777" w:rsidTr="00FA06EF">
        <w:trPr>
          <w:jc w:val="center"/>
        </w:trPr>
        <w:tc>
          <w:tcPr>
            <w:tcW w:w="1561" w:type="dxa"/>
            <w:vAlign w:val="center"/>
          </w:tcPr>
          <w:p w14:paraId="63976380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Adsorbent material</w:t>
            </w:r>
          </w:p>
        </w:tc>
        <w:tc>
          <w:tcPr>
            <w:tcW w:w="1105" w:type="dxa"/>
            <w:vAlign w:val="center"/>
          </w:tcPr>
          <w:p w14:paraId="41D1136C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Maximum removal (%)</w:t>
            </w:r>
          </w:p>
        </w:tc>
        <w:tc>
          <w:tcPr>
            <w:tcW w:w="2208" w:type="dxa"/>
            <w:vAlign w:val="center"/>
          </w:tcPr>
          <w:p w14:paraId="76101DE1" w14:textId="77777777" w:rsidR="00FA06EF" w:rsidRPr="0082538C" w:rsidRDefault="00FA06EF" w:rsidP="008D43F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Conditions</w:t>
            </w:r>
          </w:p>
        </w:tc>
        <w:tc>
          <w:tcPr>
            <w:tcW w:w="2066" w:type="dxa"/>
            <w:vAlign w:val="center"/>
          </w:tcPr>
          <w:p w14:paraId="59822E6D" w14:textId="4BD9123C" w:rsidR="00FA06EF" w:rsidRPr="0082538C" w:rsidRDefault="00FA06EF" w:rsidP="00FA06E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Disadvantages</w:t>
            </w:r>
          </w:p>
        </w:tc>
        <w:tc>
          <w:tcPr>
            <w:tcW w:w="2442" w:type="dxa"/>
            <w:vAlign w:val="center"/>
          </w:tcPr>
          <w:p w14:paraId="4C20CBC4" w14:textId="2DB66EA9" w:rsidR="00FA06EF" w:rsidRPr="0082538C" w:rsidRDefault="00FA06EF" w:rsidP="00FA06E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Environmental Impacts</w:t>
            </w:r>
          </w:p>
        </w:tc>
        <w:tc>
          <w:tcPr>
            <w:tcW w:w="879" w:type="dxa"/>
            <w:vAlign w:val="center"/>
          </w:tcPr>
          <w:p w14:paraId="635726A4" w14:textId="3047C36C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/>
                <w:sz w:val="20"/>
                <w:szCs w:val="18"/>
              </w:rPr>
              <w:t>ref</w:t>
            </w:r>
          </w:p>
        </w:tc>
      </w:tr>
      <w:tr w:rsidR="0082538C" w:rsidRPr="0082538C" w14:paraId="09A8E51A" w14:textId="77777777" w:rsidTr="00FA06EF">
        <w:trPr>
          <w:jc w:val="center"/>
        </w:trPr>
        <w:tc>
          <w:tcPr>
            <w:tcW w:w="1561" w:type="dxa"/>
            <w:vAlign w:val="center"/>
          </w:tcPr>
          <w:p w14:paraId="368C477A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Activated Carbon</w:t>
            </w:r>
          </w:p>
        </w:tc>
        <w:tc>
          <w:tcPr>
            <w:tcW w:w="1105" w:type="dxa"/>
            <w:vAlign w:val="center"/>
          </w:tcPr>
          <w:p w14:paraId="3E9ED123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60</w:t>
            </w:r>
          </w:p>
        </w:tc>
        <w:tc>
          <w:tcPr>
            <w:tcW w:w="2208" w:type="dxa"/>
            <w:vAlign w:val="center"/>
          </w:tcPr>
          <w:p w14:paraId="796C53F4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5.9</w:t>
            </w:r>
          </w:p>
          <w:p w14:paraId="4BDDB9A4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dosage = 10 g/L</w:t>
            </w:r>
          </w:p>
          <w:p w14:paraId="1427A81D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Initial concentration = 50 mg/L</w:t>
            </w:r>
          </w:p>
          <w:p w14:paraId="50692AB7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Time = 60 min</w:t>
            </w:r>
          </w:p>
          <w:p w14:paraId="6D988193" w14:textId="555951D6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Temperature = 303 K</w:t>
            </w:r>
          </w:p>
        </w:tc>
        <w:tc>
          <w:tcPr>
            <w:tcW w:w="2066" w:type="dxa"/>
          </w:tcPr>
          <w:p w14:paraId="35B26820" w14:textId="5DB3E92D" w:rsidR="00FA06EF" w:rsidRPr="0082538C" w:rsidRDefault="00FA06EF" w:rsidP="0085443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 High production cost: The production process of activated carbon (pyrolysis and activation) can be energy-intensive and costly.</w:t>
            </w:r>
          </w:p>
          <w:p w14:paraId="18516D9E" w14:textId="77777777" w:rsidR="00FA06EF" w:rsidRPr="0082538C" w:rsidRDefault="00FA06EF" w:rsidP="0085443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Source of raw materials: The use of non-renewable resources or deforestation for obtaining raw materials (such as certain types of wood or coal) can have negative environmental effects.</w:t>
            </w:r>
          </w:p>
          <w:p w14:paraId="06E6FFA6" w14:textId="7AF408BB" w:rsidR="00FA06EF" w:rsidRPr="0082538C" w:rsidRDefault="00FA06EF" w:rsidP="0085443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 Disposal issues: Spent activated carbon that has adsorbed pollutants requires proper waste management. Landfilling it can lead to the release of pollutants, and incineration produces CO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bscript"/>
              </w:rPr>
              <w:t>2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.</w:t>
            </w:r>
          </w:p>
          <w:p w14:paraId="66EA2E16" w14:textId="2032261A" w:rsidR="00FA06EF" w:rsidRPr="0082538C" w:rsidRDefault="00FA06EF" w:rsidP="0085443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 Lack of selectivity: It may also adsorb some desirable substances.</w:t>
            </w:r>
          </w:p>
          <w:p w14:paraId="00D4D4BB" w14:textId="130C25AB" w:rsidR="00FA06EF" w:rsidRPr="0082538C" w:rsidRDefault="00FA06EF" w:rsidP="0085443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•Expensive regeneration: Regeneration of saturated activated carbon can also be energy-intensive and costly</w:t>
            </w:r>
          </w:p>
        </w:tc>
        <w:tc>
          <w:tcPr>
            <w:tcW w:w="2442" w:type="dxa"/>
          </w:tcPr>
          <w:p w14:paraId="195C24D0" w14:textId="4AB94AB9" w:rsidR="00FA06EF" w:rsidRPr="0082538C" w:rsidRDefault="0085443D" w:rsidP="00362E3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="00362E37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</w:t>
            </w:r>
            <w:r w:rsidR="00FA06EF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Greenhouse gas emissions: Production (especially pyrolysis) and disposal (incineration) can lead to CO</w:t>
            </w:r>
            <w:r w:rsidR="00FA06EF"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bscript"/>
              </w:rPr>
              <w:t>2</w:t>
            </w:r>
            <w:r w:rsidR="00FA06EF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emissions.</w:t>
            </w:r>
          </w:p>
          <w:p w14:paraId="7EFCF715" w14:textId="3C029921" w:rsidR="00FA06EF" w:rsidRPr="0082538C" w:rsidRDefault="0085443D" w:rsidP="00362E3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="00362E37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</w:t>
            </w:r>
            <w:r w:rsidR="00FA06EF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Water pollution: Improper disposal of contaminated activated carbon can lead to pollutants leaching into groundwater.</w:t>
            </w:r>
          </w:p>
          <w:p w14:paraId="31B56A6C" w14:textId="42E3E630" w:rsidR="00FA06EF" w:rsidRPr="0082538C" w:rsidRDefault="0085443D" w:rsidP="00362E3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="00362E37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</w:t>
            </w:r>
            <w:r w:rsidR="00FA06EF"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Habitat destruction: Harvesting raw materials can lead to deforestation and habitat loss.</w:t>
            </w:r>
          </w:p>
        </w:tc>
        <w:tc>
          <w:tcPr>
            <w:tcW w:w="879" w:type="dxa"/>
            <w:vAlign w:val="center"/>
          </w:tcPr>
          <w:p w14:paraId="0EAFCF1B" w14:textId="21360DA0" w:rsidR="00FA06EF" w:rsidRPr="0082538C" w:rsidRDefault="00FA06EF" w:rsidP="00B97BA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begin"/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instrText xml:space="preserve"> ADDIN EN.CITE &lt;EndNote&gt;&lt;Cite&gt;&lt;Author&gt;Sahu&lt;/Author&gt;&lt;Year&gt;2008&lt;/Year&gt;&lt;RecNum&gt;4&lt;/RecNum&gt;&lt;DisplayText&gt;(18)&lt;/DisplayText&gt;&lt;record&gt;&lt;rec-number&gt;4&lt;/rec-number&gt;&lt;foreign-keys&gt;&lt;key app="EN" db-id="99aede0vlx9prqeavt4xdvtet925v9wrt2fs" timestamp="1733513134"&gt;4&lt;/key&gt;&lt;/foreign-keys&gt;&lt;ref-type name="Journal Article"&gt;17&lt;/ref-type&gt;&lt;contributors&gt;&lt;authors&gt;&lt;author&gt;Sahu, Ashwani Kumar&lt;/author&gt;&lt;author&gt;Srivastava, Vimal Chandra&lt;/author&gt;&lt;author&gt;Mall, Indra Deo&lt;/author&gt;&lt;author&gt;Lataye, Dilip H&lt;/author&gt;&lt;/authors&gt;&lt;/contributors&gt;&lt;titles&gt;&lt;title&gt;Adsorption of furfural from aqueous solution onto activated carbon: Kinetic, equilibrium and thermodynamic study&lt;/title&gt;&lt;secondary-title&gt;Separation Science and Technology&lt;/secondary-title&gt;&lt;/titles&gt;&lt;periodical&gt;&lt;full-title&gt;Separation Science and Technology&lt;/full-title&gt;&lt;/periodical&gt;&lt;pages&gt;1239-1259&lt;/pages&gt;&lt;volume&gt;43&lt;/volume&gt;&lt;number&gt;5&lt;/number&gt;&lt;dates&gt;&lt;year&gt;2008&lt;/year&gt;&lt;/dates&gt;&lt;isbn&gt;0149-6395&lt;/isbn&gt;&lt;urls&gt;&lt;/urls&gt;&lt;/record&gt;&lt;/Cite&gt;&lt;/EndNote&gt;</w:instrTex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separate"/>
            </w:r>
            <w:r w:rsidRPr="0082538C">
              <w:rPr>
                <w:rFonts w:asciiTheme="majorBidi" w:hAnsiTheme="majorBidi" w:cstheme="majorBidi"/>
                <w:bCs/>
                <w:noProof/>
                <w:sz w:val="18"/>
                <w:szCs w:val="16"/>
              </w:rPr>
              <w:t>(18)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end"/>
            </w:r>
          </w:p>
        </w:tc>
      </w:tr>
      <w:tr w:rsidR="0082538C" w:rsidRPr="0082538C" w14:paraId="6F3E66A6" w14:textId="77777777" w:rsidTr="00FA06EF">
        <w:trPr>
          <w:jc w:val="center"/>
        </w:trPr>
        <w:tc>
          <w:tcPr>
            <w:tcW w:w="1561" w:type="dxa"/>
            <w:vAlign w:val="center"/>
          </w:tcPr>
          <w:p w14:paraId="2F69C2F4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torrefied biomass</w:t>
            </w:r>
          </w:p>
        </w:tc>
        <w:tc>
          <w:tcPr>
            <w:tcW w:w="1105" w:type="dxa"/>
            <w:vAlign w:val="center"/>
          </w:tcPr>
          <w:p w14:paraId="0768E070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60</w:t>
            </w:r>
          </w:p>
        </w:tc>
        <w:tc>
          <w:tcPr>
            <w:tcW w:w="2208" w:type="dxa"/>
            <w:vAlign w:val="center"/>
          </w:tcPr>
          <w:p w14:paraId="33C96A5A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2</w:t>
            </w:r>
          </w:p>
          <w:p w14:paraId="5101DF0D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dosage = 250 g/L</w:t>
            </w:r>
          </w:p>
          <w:p w14:paraId="4FD6E630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Initial concentration = 50 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mg/L</w:t>
            </w:r>
          </w:p>
          <w:p w14:paraId="0249B1EF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Time = 30 min</w:t>
            </w:r>
          </w:p>
        </w:tc>
        <w:tc>
          <w:tcPr>
            <w:tcW w:w="2066" w:type="dxa"/>
          </w:tcPr>
          <w:p w14:paraId="45EE7A4B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 xml:space="preserve">Processing cost: The torrefaction process requires energy and specialized 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equipment, which can increase production costs.</w:t>
            </w:r>
          </w:p>
          <w:p w14:paraId="68D66BA1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Need for sustainable resource management: If biomass harvesting is not done sustainably, it can lead to deforestation and soil degradation.</w:t>
            </w:r>
          </w:p>
          <w:p w14:paraId="7915EA24" w14:textId="04EBFE45" w:rsidR="00FA06EF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Energy efficiency: Compared to fossil fuels, it may have lower energy efficiency.</w:t>
            </w:r>
          </w:p>
        </w:tc>
        <w:tc>
          <w:tcPr>
            <w:tcW w:w="2442" w:type="dxa"/>
          </w:tcPr>
          <w:p w14:paraId="738A8600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CO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bscript"/>
              </w:rPr>
              <w:t>2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emissions: Although lower than fossil fuels, combustion still produces CO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bscript"/>
              </w:rPr>
              <w:t>2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. However, since 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biomass absorbs CO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bscript"/>
              </w:rPr>
              <w:t>2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 during growth, its carbon cycle is closer to neutral.</w:t>
            </w:r>
          </w:p>
          <w:p w14:paraId="24439C39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Air pollution: Combustion can release particulate matter and other pollutants.</w:t>
            </w:r>
          </w:p>
          <w:p w14:paraId="50EEE636" w14:textId="50CCF1AD" w:rsidR="00FA06EF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Impact on biodiversity: Large-scale cultivation of energy crops can impact biodiversity.</w:t>
            </w:r>
          </w:p>
        </w:tc>
        <w:tc>
          <w:tcPr>
            <w:tcW w:w="879" w:type="dxa"/>
            <w:vAlign w:val="center"/>
          </w:tcPr>
          <w:p w14:paraId="603BBFEA" w14:textId="17C08D06" w:rsidR="00FA06EF" w:rsidRPr="0082538C" w:rsidRDefault="00FA06EF" w:rsidP="000D54D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fldChar w:fldCharType="begin"/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instrText xml:space="preserve"> ADDIN EN.CITE &lt;EndNote&gt;&lt;Cite&gt;&lt;Author&gt;Doddapaneni&lt;/Author&gt;&lt;Year&gt;2018&lt;/Year&gt;&lt;RecNum&gt;3&lt;/RecNum&gt;&lt;DisplayText&gt;(69)&lt;/DisplayText&gt;&lt;record&gt;&lt;rec-number&gt;3&lt;/rec-number&gt;&lt;foreign-keys&gt;&lt;key app="EN" db-id="tzrvf2pe9ps9sge2zsopzdpefdw2fvevz5ps" timestamp="1615066203"&gt;3&lt;/key&gt;&lt;/foreign-keys&gt;&lt;ref-type name="Journal Article"&gt;17&lt;/ref-type&gt;&lt;contributors&gt;&lt;authors&gt;&lt;author&gt;Doddapaneni, Tharaka Rama Krishna C&lt;/author&gt;&lt;author&gt;Jain, Rohan&lt;/author&gt;&lt;author&gt;Praveenkumar, Ramasamy&lt;/author&gt;&lt;author&gt;Rintala, Jukka&lt;/author&gt;&lt;author&gt;Romar, Henrik&lt;/author&gt;&lt;author&gt;Konttinen, Jukka&lt;/author&gt;&lt;/authors&gt;&lt;/contributors&gt;&lt;titles&gt;&lt;title&gt;Adsorption of furfural from torrefaction condensate using torrefied biomass&lt;/title&gt;&lt;secondary-title&gt;Chemical Engineering Journal&lt;/secondary-title&gt;&lt;/titles&gt;&lt;periodical&gt;&lt;full-title&gt;Chemical Engineering Journal&lt;/full-title&gt;&lt;/periodical&gt;&lt;pages&gt;558-568&lt;/pages&gt;&lt;volume&gt;334&lt;/volume&gt;&lt;dates&gt;&lt;year&gt;2018&lt;/year&gt;&lt;/dates&gt;&lt;isbn&gt;1385-8947&lt;/isbn&gt;&lt;urls&gt;&lt;/urls&gt;&lt;/record&gt;&lt;/Cite&gt;&lt;/EndNote&gt;</w:instrTex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separate"/>
            </w:r>
            <w:r w:rsidRPr="0082538C">
              <w:rPr>
                <w:rFonts w:asciiTheme="majorBidi" w:hAnsiTheme="majorBidi" w:cstheme="majorBidi"/>
                <w:bCs/>
                <w:noProof/>
                <w:sz w:val="18"/>
                <w:szCs w:val="16"/>
              </w:rPr>
              <w:t>(69)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end"/>
            </w:r>
          </w:p>
        </w:tc>
      </w:tr>
      <w:tr w:rsidR="0082538C" w:rsidRPr="0082538C" w14:paraId="0575529C" w14:textId="77777777" w:rsidTr="00FA06EF">
        <w:trPr>
          <w:jc w:val="center"/>
        </w:trPr>
        <w:tc>
          <w:tcPr>
            <w:tcW w:w="1561" w:type="dxa"/>
            <w:vAlign w:val="center"/>
          </w:tcPr>
          <w:p w14:paraId="47F4DBB3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MCM-48</w:t>
            </w:r>
          </w:p>
        </w:tc>
        <w:tc>
          <w:tcPr>
            <w:tcW w:w="1105" w:type="dxa"/>
            <w:vAlign w:val="center"/>
          </w:tcPr>
          <w:p w14:paraId="179D435D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-</w:t>
            </w:r>
          </w:p>
        </w:tc>
        <w:tc>
          <w:tcPr>
            <w:tcW w:w="2208" w:type="dxa"/>
            <w:vAlign w:val="center"/>
          </w:tcPr>
          <w:p w14:paraId="099ED140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6</w:t>
            </w:r>
          </w:p>
          <w:p w14:paraId="2CCE2B37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dosage = 0.1 g/L</w:t>
            </w:r>
          </w:p>
          <w:p w14:paraId="7C5CA1D6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Initial concentration = 1000 mg/L</w:t>
            </w:r>
          </w:p>
          <w:p w14:paraId="08B98C2D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Time = 1 h</w:t>
            </w:r>
          </w:p>
          <w:p w14:paraId="51435085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Temperature= 298 K</w:t>
            </w:r>
          </w:p>
        </w:tc>
        <w:tc>
          <w:tcPr>
            <w:tcW w:w="2066" w:type="dxa"/>
          </w:tcPr>
          <w:p w14:paraId="40A22648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Synthesis cost: The synthesis of mesoporous materials like MCM-48 may involve the use of specific chemicals and controlled reaction conditions, which can increase costs.</w:t>
            </w:r>
          </w:p>
          <w:p w14:paraId="27A37093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Use of solvents: The synthesis process often involves the use of solvents, which can have environmental impacts if not managed properly.</w:t>
            </w:r>
          </w:p>
          <w:p w14:paraId="005C56AF" w14:textId="442277C4" w:rsidR="00FA06EF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Scalability: Large-scale production may be challenging</w:t>
            </w:r>
          </w:p>
        </w:tc>
        <w:tc>
          <w:tcPr>
            <w:tcW w:w="2442" w:type="dxa"/>
          </w:tcPr>
          <w:p w14:paraId="01B3B736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Energy consumption: Synthesis and processing can be energy-intensive.</w:t>
            </w:r>
          </w:p>
          <w:p w14:paraId="6688536E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Chemical emissions: The release of solvents and other chemicals during production can lead to air and water pollution.</w:t>
            </w:r>
          </w:p>
          <w:p w14:paraId="16F58160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Waste generation: The synthesis process may generate chemical waste that requires proper management.</w:t>
            </w:r>
          </w:p>
          <w:p w14:paraId="13FFF03F" w14:textId="77777777" w:rsidR="00FA06EF" w:rsidRPr="0082538C" w:rsidRDefault="00FA06EF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</w:p>
        </w:tc>
        <w:tc>
          <w:tcPr>
            <w:tcW w:w="879" w:type="dxa"/>
            <w:vAlign w:val="center"/>
          </w:tcPr>
          <w:p w14:paraId="1E74E4AC" w14:textId="780286F2" w:rsidR="00FA06EF" w:rsidRPr="0082538C" w:rsidRDefault="00FA06EF" w:rsidP="001109B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begin"/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instrText xml:space="preserve"> ADDIN EN.CITE &lt;EndNote&gt;&lt;Cite&gt;&lt;Author&gt;Anbia&lt;/Author&gt;&lt;Year&gt;2009&lt;/Year&gt;&lt;RecNum&gt;2&lt;/RecNum&gt;&lt;DisplayText&gt;(16)&lt;/DisplayText&gt;&lt;record&gt;&lt;rec-number&gt;2&lt;/rec-number&gt;&lt;foreign-keys&gt;&lt;key app="EN" db-id="99aede0vlx9prqeavt4xdvtet925v9wrt2fs" timestamp="1733512975"&gt;2&lt;/key&gt;&lt;/foreign-keys&gt;&lt;ref-type name="Journal Article"&gt;17&lt;/ref-type&gt;&lt;contributors&gt;&lt;authors&gt;&lt;author&gt;Anbia, Mansoor&lt;/author&gt;&lt;author&gt;Mohammadi, Nourali&lt;/author&gt;&lt;/authors&gt;&lt;/contributors&gt;&lt;titles&gt;&lt;title&gt;A nanoporous adsorbent for removal of furfural from aqueous solutions&lt;/title&gt;&lt;secondary-title&gt;Desalination&lt;/secondary-title&gt;&lt;/titles&gt;&lt;periodical&gt;&lt;full-title&gt;Desalination&lt;/full-title&gt;&lt;/periodical&gt;&lt;pages&gt;150-153&lt;/pages&gt;&lt;volume&gt;249&lt;/volume&gt;&lt;number&gt;1&lt;/number&gt;&lt;dates&gt;&lt;year&gt;2009&lt;/year&gt;&lt;/dates&gt;&lt;isbn&gt;0011-9164&lt;/isbn&gt;&lt;urls&gt;&lt;/urls&gt;&lt;/record&gt;&lt;/Cite&gt;&lt;/EndNote&gt;</w:instrTex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separate"/>
            </w:r>
            <w:r w:rsidRPr="0082538C">
              <w:rPr>
                <w:rFonts w:asciiTheme="majorBidi" w:hAnsiTheme="majorBidi" w:cstheme="majorBidi"/>
                <w:bCs/>
                <w:noProof/>
                <w:sz w:val="18"/>
                <w:szCs w:val="16"/>
              </w:rPr>
              <w:t>(16)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end"/>
            </w:r>
          </w:p>
        </w:tc>
      </w:tr>
      <w:tr w:rsidR="0082538C" w:rsidRPr="0082538C" w14:paraId="24A72CC0" w14:textId="77777777" w:rsidTr="00FA06EF">
        <w:trPr>
          <w:jc w:val="center"/>
        </w:trPr>
        <w:tc>
          <w:tcPr>
            <w:tcW w:w="1561" w:type="dxa"/>
            <w:vAlign w:val="center"/>
          </w:tcPr>
          <w:p w14:paraId="00EEE006" w14:textId="74D72F1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nanoclay modified with nZVI</w:t>
            </w:r>
          </w:p>
        </w:tc>
        <w:tc>
          <w:tcPr>
            <w:tcW w:w="1105" w:type="dxa"/>
            <w:vAlign w:val="center"/>
          </w:tcPr>
          <w:p w14:paraId="6715063E" w14:textId="3D8757CD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62.6%</w:t>
            </w:r>
          </w:p>
        </w:tc>
        <w:tc>
          <w:tcPr>
            <w:tcW w:w="2208" w:type="dxa"/>
            <w:vAlign w:val="center"/>
          </w:tcPr>
          <w:p w14:paraId="2C2B22E1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7</w:t>
            </w:r>
          </w:p>
          <w:p w14:paraId="0DE5CA2A" w14:textId="4B90C66F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dosage = 8 g/L</w:t>
            </w:r>
          </w:p>
          <w:p w14:paraId="4389581E" w14:textId="2F36B3C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Initial concentration = 10 mg/L</w:t>
            </w:r>
          </w:p>
          <w:p w14:paraId="07064CD8" w14:textId="0DB9C90E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Time = 150 min</w:t>
            </w:r>
          </w:p>
          <w:p w14:paraId="17BEBB0F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Temperature = 25 ± 2°C</w:t>
            </w:r>
          </w:p>
        </w:tc>
        <w:tc>
          <w:tcPr>
            <w:tcW w:w="2066" w:type="dxa"/>
          </w:tcPr>
          <w:p w14:paraId="3BBA4643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Potential nanotoxicity: nZVI nanoparticles can be toxic to some microorganisms and living organisms, although surface modification can reduce these effects.</w:t>
            </w:r>
          </w:p>
          <w:p w14:paraId="74264D61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Nanoparticle stability and aggregation: The behaviour and stability of nanoparticles in different environments are complex, and they may aggregate.</w:t>
            </w:r>
          </w:p>
          <w:p w14:paraId="7C7388A8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Environmental fate and transport: The transport of nanoparticles in soil and groundwater is not yet fully understood.</w:t>
            </w:r>
          </w:p>
          <w:p w14:paraId="5EF3B129" w14:textId="77777777" w:rsidR="00FA06EF" w:rsidRPr="0082538C" w:rsidRDefault="00FA06EF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</w:p>
        </w:tc>
        <w:tc>
          <w:tcPr>
            <w:tcW w:w="2442" w:type="dxa"/>
          </w:tcPr>
          <w:p w14:paraId="6F7309AB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Soil and water contamination: Uncontrolled release of nanoparticles can lead to contamination.</w:t>
            </w:r>
          </w:p>
          <w:p w14:paraId="2B46EA92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Ecological effects: Long-term effects on soil and aquatic ecosystems require further investigation.</w:t>
            </w:r>
          </w:p>
          <w:p w14:paraId="5AA1A9D8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Toxicity to living organisms: Depending on the concentration and type of modification, it can be toxic to some organisms.</w:t>
            </w:r>
          </w:p>
          <w:p w14:paraId="750B7529" w14:textId="77777777" w:rsidR="00FA06EF" w:rsidRPr="0082538C" w:rsidRDefault="00FA06EF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</w:p>
        </w:tc>
        <w:tc>
          <w:tcPr>
            <w:tcW w:w="879" w:type="dxa"/>
            <w:vAlign w:val="center"/>
          </w:tcPr>
          <w:p w14:paraId="0B1AF7F5" w14:textId="5CB05DCD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This study</w:t>
            </w:r>
          </w:p>
        </w:tc>
      </w:tr>
      <w:tr w:rsidR="0082538C" w:rsidRPr="0082538C" w14:paraId="028DBEE8" w14:textId="77777777" w:rsidTr="00FA06EF">
        <w:trPr>
          <w:jc w:val="center"/>
        </w:trPr>
        <w:tc>
          <w:tcPr>
            <w:tcW w:w="1561" w:type="dxa"/>
            <w:vAlign w:val="center"/>
          </w:tcPr>
          <w:p w14:paraId="3C6C84D0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synthesize zero valent iron nanoparticles (NZVI)</w:t>
            </w:r>
          </w:p>
        </w:tc>
        <w:tc>
          <w:tcPr>
            <w:tcW w:w="1105" w:type="dxa"/>
            <w:vAlign w:val="center"/>
          </w:tcPr>
          <w:p w14:paraId="2A2FE8D8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87</w:t>
            </w:r>
          </w:p>
        </w:tc>
        <w:tc>
          <w:tcPr>
            <w:tcW w:w="2208" w:type="dxa"/>
            <w:vAlign w:val="center"/>
          </w:tcPr>
          <w:p w14:paraId="44AFFFE9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2</w:t>
            </w:r>
          </w:p>
          <w:p w14:paraId="2EF955CD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dosage = 0.5g/L</w:t>
            </w:r>
          </w:p>
          <w:p w14:paraId="2E5D703E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Initial concentration=100 mg/L</w:t>
            </w:r>
          </w:p>
          <w:p w14:paraId="51A7BB09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Time = 60 min</w:t>
            </w:r>
          </w:p>
          <w:p w14:paraId="2ABF312C" w14:textId="5EA56A1D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Temperature = 298 K</w:t>
            </w:r>
          </w:p>
          <w:p w14:paraId="03CE23DA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Speed = 200 rpm</w:t>
            </w:r>
          </w:p>
        </w:tc>
        <w:tc>
          <w:tcPr>
            <w:tcW w:w="2066" w:type="dxa"/>
          </w:tcPr>
          <w:p w14:paraId="32708865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High reactivity and oxidation: nZVI is highly reactive and easily oxidizes when exposed to air and water, reducing its effectiveness.</w:t>
            </w:r>
          </w:p>
          <w:p w14:paraId="222D6548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Aggregation: Nanoparticles tend to aggregate, which reduces their active surface area.</w:t>
            </w:r>
          </w:p>
          <w:p w14:paraId="429345C9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Potential toxicity: As mentioned for nanoclay modified with nZVI, there is potential toxicity to some living organisms.</w:t>
            </w:r>
          </w:p>
          <w:p w14:paraId="26E90690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Environmental fate and persistence: Their behaviour in the environment is complex, and their persistence can be a concern.</w:t>
            </w:r>
          </w:p>
          <w:p w14:paraId="4A026EBE" w14:textId="77777777" w:rsidR="00FA06EF" w:rsidRPr="0082538C" w:rsidRDefault="00FA06EF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</w:p>
        </w:tc>
        <w:tc>
          <w:tcPr>
            <w:tcW w:w="2442" w:type="dxa"/>
          </w:tcPr>
          <w:p w14:paraId="687018AD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Potential contamination: Release can lead to contamination.</w:t>
            </w:r>
          </w:p>
          <w:p w14:paraId="2F6FA02E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Ecological effects: Effects on microorganisms and food chains require careful investigation.</w:t>
            </w:r>
          </w:p>
          <w:p w14:paraId="6860DDCC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Formation of by-products: The reaction of nZVI with pollutants may produce 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t>unwanted by-products.</w:t>
            </w:r>
          </w:p>
          <w:p w14:paraId="6BBE030A" w14:textId="77777777" w:rsidR="00FA06EF" w:rsidRPr="0082538C" w:rsidRDefault="00FA06EF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</w:p>
        </w:tc>
        <w:tc>
          <w:tcPr>
            <w:tcW w:w="879" w:type="dxa"/>
            <w:vAlign w:val="center"/>
          </w:tcPr>
          <w:p w14:paraId="164224E2" w14:textId="539A911E" w:rsidR="00FA06EF" w:rsidRPr="0082538C" w:rsidRDefault="00FA06EF" w:rsidP="000D54D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lastRenderedPageBreak/>
              <w:fldChar w:fldCharType="begin"/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instrText xml:space="preserve"> ADDIN EN.CITE &lt;EndNote&gt;&lt;Cite&gt;&lt;Author&gt;Fazlzadeh&lt;/Author&gt;&lt;Year&gt;2018&lt;/Year&gt;&lt;RecNum&gt;1&lt;/RecNum&gt;&lt;DisplayText&gt;(70)&lt;/DisplayText&gt;&lt;record&gt;&lt;rec-number&gt;1&lt;/rec-number&gt;&lt;foreign-keys&gt;&lt;key app="EN" db-id="tzrvf2pe9ps9sge2zsopzdpefdw2fvevz5ps" timestamp="1615065660"&gt;1&lt;/key&gt;&lt;/foreign-keys&gt;&lt;ref-type name="Journal Article"&gt;17&lt;/ref-type&gt;&lt;contributors&gt;&lt;authors&gt;&lt;author&gt;Fazlzadeh, Mehdi&lt;/author&gt;&lt;author&gt;Ansarizadeh, Mohammad&lt;/author&gt;&lt;author&gt;Leili, Mostafa&lt;/author&gt;&lt;/authors&gt;&lt;/contributors&gt;&lt;titles&gt;&lt;title&gt;Data of furfural adsorption on nano zero valent iron (NZVI) synthesized from Nettle extract&lt;/title&gt;&lt;secondary-title&gt;Data in brief&lt;/secondary-title&gt;&lt;/titles&gt;&lt;periodical&gt;&lt;full-title&gt;Data in brief&lt;/full-title&gt;&lt;/periodical&gt;&lt;pages&gt;341-345&lt;/pages&gt;&lt;volume&gt;16&lt;/volume&gt;&lt;dates&gt;&lt;year&gt;2018&lt;/year&gt;&lt;/dates&gt;&lt;isbn&gt;2352-3409&lt;/isbn&gt;&lt;urls&gt;&lt;/urls&gt;&lt;/record&gt;&lt;/Cite&gt;&lt;/EndNote&gt;</w:instrTex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separate"/>
            </w:r>
            <w:r w:rsidRPr="0082538C">
              <w:rPr>
                <w:rFonts w:asciiTheme="majorBidi" w:hAnsiTheme="majorBidi" w:cstheme="majorBidi"/>
                <w:bCs/>
                <w:noProof/>
                <w:sz w:val="18"/>
                <w:szCs w:val="16"/>
              </w:rPr>
              <w:t>(70)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end"/>
            </w:r>
          </w:p>
        </w:tc>
      </w:tr>
      <w:tr w:rsidR="00000000" w:rsidRPr="0082538C" w14:paraId="3974542A" w14:textId="77777777" w:rsidTr="00FA06EF">
        <w:trPr>
          <w:jc w:val="center"/>
        </w:trPr>
        <w:tc>
          <w:tcPr>
            <w:tcW w:w="1561" w:type="dxa"/>
            <w:vAlign w:val="center"/>
          </w:tcPr>
          <w:p w14:paraId="12E184BA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20"/>
                <w:szCs w:val="18"/>
              </w:rPr>
            </w:pPr>
            <w:r w:rsidRPr="0082538C">
              <w:rPr>
                <w:rFonts w:asciiTheme="majorBidi" w:hAnsiTheme="majorBidi" w:cstheme="majorBidi"/>
                <w:bCs/>
                <w:sz w:val="20"/>
                <w:szCs w:val="18"/>
              </w:rPr>
              <w:t>Organobentonite</w:t>
            </w:r>
          </w:p>
        </w:tc>
        <w:tc>
          <w:tcPr>
            <w:tcW w:w="1105" w:type="dxa"/>
            <w:vAlign w:val="center"/>
          </w:tcPr>
          <w:p w14:paraId="70ADA11F" w14:textId="77777777" w:rsidR="00FA06EF" w:rsidRPr="0082538C" w:rsidRDefault="00FA06EF" w:rsidP="0064101B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-</w:t>
            </w:r>
          </w:p>
        </w:tc>
        <w:tc>
          <w:tcPr>
            <w:tcW w:w="2208" w:type="dxa"/>
            <w:vAlign w:val="center"/>
          </w:tcPr>
          <w:p w14:paraId="53E5DB9E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pH = 7</w:t>
            </w:r>
          </w:p>
          <w:p w14:paraId="342721B4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Adsorbent dose = 2 g/L</w:t>
            </w:r>
          </w:p>
          <w:p w14:paraId="5C44C00B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Contact time = 6 h</w:t>
            </w:r>
          </w:p>
          <w:p w14:paraId="5488550A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 xml:space="preserve">Temperature = 30 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  <w:vertAlign w:val="superscript"/>
              </w:rPr>
              <w:t>0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C</w:t>
            </w:r>
          </w:p>
          <w:p w14:paraId="0D3341D1" w14:textId="77777777" w:rsidR="00FA06EF" w:rsidRPr="0082538C" w:rsidRDefault="00FA06EF" w:rsidP="00FA06E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Initial ﬂuoride concentration = 100 mg/L</w:t>
            </w:r>
          </w:p>
        </w:tc>
        <w:tc>
          <w:tcPr>
            <w:tcW w:w="2066" w:type="dxa"/>
          </w:tcPr>
          <w:p w14:paraId="518C82BE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Use of organic modifiers: The organic materials used to modify bentonite can be toxic or release volatile organic compounds (VOCs) during production or use.</w:t>
            </w:r>
          </w:p>
          <w:p w14:paraId="16808526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Stability of organic materials: The organic modifiers may degrade over time, reducing the adsorbent's effectiveness.</w:t>
            </w:r>
          </w:p>
          <w:p w14:paraId="15780C94" w14:textId="5B80B947" w:rsidR="00FA06EF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Impact on soil properties: Large-scale use in the environment may affect the physical and chemical properties of the soil.</w:t>
            </w:r>
          </w:p>
        </w:tc>
        <w:tc>
          <w:tcPr>
            <w:tcW w:w="2442" w:type="dxa"/>
          </w:tcPr>
          <w:p w14:paraId="3ACB59A9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Contamination with organic materials: The release of organic modifiers can lead to water and soil pollution.</w:t>
            </w:r>
          </w:p>
          <w:p w14:paraId="263B84C8" w14:textId="77777777" w:rsidR="0085443D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Toxicity of organic materials: Some organic materials can be toxic to living organisms.</w:t>
            </w:r>
          </w:p>
          <w:p w14:paraId="2F5FB335" w14:textId="5461C512" w:rsidR="00FA06EF" w:rsidRPr="0082538C" w:rsidRDefault="0085443D" w:rsidP="0085443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>•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tab/>
              <w:t>Waste generation: Disposal of saturated organobentonite requires proper management.</w:t>
            </w:r>
          </w:p>
        </w:tc>
        <w:tc>
          <w:tcPr>
            <w:tcW w:w="879" w:type="dxa"/>
            <w:vAlign w:val="center"/>
          </w:tcPr>
          <w:p w14:paraId="0270B8F6" w14:textId="738779FC" w:rsidR="00FA06EF" w:rsidRPr="0082538C" w:rsidRDefault="00FA06EF" w:rsidP="001109B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sz w:val="18"/>
                <w:szCs w:val="16"/>
              </w:rPr>
            </w:pP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begin"/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instrText xml:space="preserve"> ADDIN EN.CITE &lt;EndNote&gt;&lt;Cite&gt;&lt;Author&gt;Mebrek&lt;/Author&gt;&lt;Year&gt;2010&lt;/Year&gt;&lt;RecNum&gt;3&lt;/RecNum&gt;&lt;DisplayText&gt;(21)&lt;/DisplayText&gt;&lt;record&gt;&lt;rec-number&gt;3&lt;/rec-number&gt;&lt;foreign-keys&gt;&lt;key app="EN" db-id="99aede0vlx9prqeavt4xdvtet925v9wrt2fs" timestamp="1733513034"&gt;3&lt;/key&gt;&lt;/foreign-keys&gt;&lt;ref-type name="Journal Article"&gt;17&lt;/ref-type&gt;&lt;contributors&gt;&lt;authors&gt;&lt;author&gt;Mebrek, Ouassila Rachedi&lt;/author&gt;&lt;author&gt;Derriche, Zoubir&lt;/author&gt;&lt;/authors&gt;&lt;/contributors&gt;&lt;titles&gt;&lt;title&gt;Removal of furfural from aqueous solutions by adsorption using organobentonite: isotherm and kinetic studies&lt;/title&gt;&lt;secondary-title&gt;Adsorption Science &amp;amp; Technology&lt;/secondary-title&gt;&lt;/titles&gt;&lt;periodical&gt;&lt;full-title&gt;Adsorption Science &amp;amp; Technology&lt;/full-title&gt;&lt;/periodical&gt;&lt;pages&gt;533-545&lt;/pages&gt;&lt;volume&gt;28&lt;/volume&gt;&lt;number&gt;6&lt;/number&gt;&lt;dates&gt;&lt;year&gt;2010&lt;/year&gt;&lt;/dates&gt;&lt;isbn&gt;0263-6174&lt;/isbn&gt;&lt;urls&gt;&lt;/urls&gt;&lt;/record&gt;&lt;/Cite&gt;&lt;/EndNote&gt;</w:instrTex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separate"/>
            </w:r>
            <w:r w:rsidRPr="0082538C">
              <w:rPr>
                <w:rFonts w:asciiTheme="majorBidi" w:hAnsiTheme="majorBidi" w:cstheme="majorBidi"/>
                <w:bCs/>
                <w:noProof/>
                <w:sz w:val="18"/>
                <w:szCs w:val="16"/>
              </w:rPr>
              <w:t>(21)</w:t>
            </w:r>
            <w:r w:rsidRPr="0082538C">
              <w:rPr>
                <w:rFonts w:asciiTheme="majorBidi" w:hAnsiTheme="majorBidi" w:cstheme="majorBidi"/>
                <w:bCs/>
                <w:sz w:val="18"/>
                <w:szCs w:val="16"/>
              </w:rPr>
              <w:fldChar w:fldCharType="end"/>
            </w:r>
          </w:p>
        </w:tc>
      </w:tr>
    </w:tbl>
    <w:p w14:paraId="5B9E08BF" w14:textId="77777777" w:rsidR="00915F19" w:rsidRPr="0082538C" w:rsidRDefault="00915F19" w:rsidP="00B92068">
      <w:pPr>
        <w:pStyle w:val="HTMLPreformatted"/>
        <w:spacing w:line="276" w:lineRule="auto"/>
        <w:rPr>
          <w:rFonts w:asciiTheme="majorBidi" w:eastAsia="Times New Roman" w:hAnsiTheme="majorBidi" w:cstheme="majorBidi"/>
          <w:kern w:val="0"/>
          <w14:ligatures w14:val="none"/>
        </w:rPr>
      </w:pPr>
    </w:p>
    <w:p w14:paraId="283EC3B9" w14:textId="77777777" w:rsidR="00A5115C" w:rsidRPr="0082538C" w:rsidRDefault="00A5115C" w:rsidP="00B92068">
      <w:pPr>
        <w:pStyle w:val="HTMLPreformatted"/>
        <w:spacing w:line="276" w:lineRule="auto"/>
        <w:rPr>
          <w:rFonts w:asciiTheme="majorBidi" w:eastAsia="Times New Roman" w:hAnsiTheme="majorBidi" w:cstheme="majorBidi"/>
          <w:kern w:val="0"/>
          <w14:ligatures w14:val="none"/>
        </w:rPr>
      </w:pPr>
    </w:p>
    <w:p w14:paraId="0AE74928" w14:textId="77777777" w:rsidR="00A5115C" w:rsidRPr="0082538C" w:rsidRDefault="00A5115C" w:rsidP="00B92068">
      <w:pPr>
        <w:pStyle w:val="HTMLPreformatted"/>
        <w:spacing w:line="276" w:lineRule="auto"/>
        <w:rPr>
          <w:rFonts w:asciiTheme="majorBidi" w:eastAsia="Times New Roman" w:hAnsiTheme="majorBidi" w:cstheme="majorBidi"/>
          <w:kern w:val="0"/>
          <w14:ligatures w14:val="none"/>
        </w:rPr>
      </w:pPr>
    </w:p>
    <w:sectPr w:rsidR="00A5115C" w:rsidRPr="00825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B0809" w14:textId="77777777" w:rsidR="00C01A7D" w:rsidRDefault="00C01A7D" w:rsidP="00031304">
      <w:pPr>
        <w:spacing w:after="0" w:line="240" w:lineRule="auto"/>
      </w:pPr>
      <w:r>
        <w:separator/>
      </w:r>
    </w:p>
  </w:endnote>
  <w:endnote w:type="continuationSeparator" w:id="0">
    <w:p w14:paraId="126877C3" w14:textId="77777777" w:rsidR="00C01A7D" w:rsidRDefault="00C01A7D" w:rsidP="00031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35B12" w14:textId="77777777" w:rsidR="00C01A7D" w:rsidRDefault="00C01A7D" w:rsidP="00031304">
      <w:pPr>
        <w:spacing w:after="0" w:line="240" w:lineRule="auto"/>
      </w:pPr>
      <w:r>
        <w:separator/>
      </w:r>
    </w:p>
  </w:footnote>
  <w:footnote w:type="continuationSeparator" w:id="0">
    <w:p w14:paraId="3CB1267F" w14:textId="77777777" w:rsidR="00C01A7D" w:rsidRDefault="00C01A7D" w:rsidP="000313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86A41"/>
    <w:multiLevelType w:val="multilevel"/>
    <w:tmpl w:val="7E0AD4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E4E309F"/>
    <w:multiLevelType w:val="multilevel"/>
    <w:tmpl w:val="E09C54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8703E27"/>
    <w:multiLevelType w:val="hybridMultilevel"/>
    <w:tmpl w:val="601A3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4527E0"/>
    <w:multiLevelType w:val="hybridMultilevel"/>
    <w:tmpl w:val="FAAC5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3D0970"/>
    <w:multiLevelType w:val="hybridMultilevel"/>
    <w:tmpl w:val="63EC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C21D3"/>
    <w:multiLevelType w:val="hybridMultilevel"/>
    <w:tmpl w:val="8BA6F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8D6B4F"/>
    <w:multiLevelType w:val="multilevel"/>
    <w:tmpl w:val="7EF275C2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57" w:firstLine="30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91632F0"/>
    <w:multiLevelType w:val="hybridMultilevel"/>
    <w:tmpl w:val="CBF05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8700EF"/>
    <w:multiLevelType w:val="hybridMultilevel"/>
    <w:tmpl w:val="06264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9165708">
    <w:abstractNumId w:val="0"/>
  </w:num>
  <w:num w:numId="2" w16cid:durableId="245263490">
    <w:abstractNumId w:val="0"/>
  </w:num>
  <w:num w:numId="3" w16cid:durableId="399135363">
    <w:abstractNumId w:val="6"/>
  </w:num>
  <w:num w:numId="4" w16cid:durableId="1583418487">
    <w:abstractNumId w:val="6"/>
  </w:num>
  <w:num w:numId="5" w16cid:durableId="167052625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70345711">
    <w:abstractNumId w:val="1"/>
  </w:num>
  <w:num w:numId="7" w16cid:durableId="449015671">
    <w:abstractNumId w:val="4"/>
  </w:num>
  <w:num w:numId="8" w16cid:durableId="1446920423">
    <w:abstractNumId w:val="8"/>
  </w:num>
  <w:num w:numId="9" w16cid:durableId="897087157">
    <w:abstractNumId w:val="7"/>
  </w:num>
  <w:num w:numId="10" w16cid:durableId="1049958833">
    <w:abstractNumId w:val="5"/>
  </w:num>
  <w:num w:numId="11" w16cid:durableId="1857502130">
    <w:abstractNumId w:val="2"/>
  </w:num>
  <w:num w:numId="12" w16cid:durableId="18680625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xd5pszhaxz5tepswz55vpj29zw9w5v5wap&quot;&gt;nC-nZVI&lt;record-ids&gt;&lt;item&gt;1&lt;/item&gt;&lt;/record-ids&gt;&lt;/item&gt;&lt;/Libraries&gt;"/>
  </w:docVars>
  <w:rsids>
    <w:rsidRoot w:val="00B41D8E"/>
    <w:rsid w:val="000166D1"/>
    <w:rsid w:val="0001767E"/>
    <w:rsid w:val="000276D7"/>
    <w:rsid w:val="00031304"/>
    <w:rsid w:val="00035889"/>
    <w:rsid w:val="00045E81"/>
    <w:rsid w:val="00046C34"/>
    <w:rsid w:val="000545C2"/>
    <w:rsid w:val="000637B3"/>
    <w:rsid w:val="00064C8F"/>
    <w:rsid w:val="0006609A"/>
    <w:rsid w:val="00071E0A"/>
    <w:rsid w:val="00077A1D"/>
    <w:rsid w:val="00077AEE"/>
    <w:rsid w:val="000816A7"/>
    <w:rsid w:val="000A0869"/>
    <w:rsid w:val="000B1DEB"/>
    <w:rsid w:val="000D2BFA"/>
    <w:rsid w:val="000D54D6"/>
    <w:rsid w:val="000E41C7"/>
    <w:rsid w:val="001109BF"/>
    <w:rsid w:val="001168DC"/>
    <w:rsid w:val="00120425"/>
    <w:rsid w:val="00120E3D"/>
    <w:rsid w:val="001268A7"/>
    <w:rsid w:val="00130CFE"/>
    <w:rsid w:val="00136D91"/>
    <w:rsid w:val="00152EA1"/>
    <w:rsid w:val="001602DC"/>
    <w:rsid w:val="00165574"/>
    <w:rsid w:val="00165B70"/>
    <w:rsid w:val="001721F2"/>
    <w:rsid w:val="00172DE0"/>
    <w:rsid w:val="00180C53"/>
    <w:rsid w:val="00190C2D"/>
    <w:rsid w:val="0019130B"/>
    <w:rsid w:val="001A274B"/>
    <w:rsid w:val="001A2EE9"/>
    <w:rsid w:val="001A7D82"/>
    <w:rsid w:val="001B1C17"/>
    <w:rsid w:val="001B44BB"/>
    <w:rsid w:val="001B65B1"/>
    <w:rsid w:val="001B686B"/>
    <w:rsid w:val="001C6747"/>
    <w:rsid w:val="001D20C9"/>
    <w:rsid w:val="001E409A"/>
    <w:rsid w:val="001F417C"/>
    <w:rsid w:val="001F5894"/>
    <w:rsid w:val="0020538F"/>
    <w:rsid w:val="002103D3"/>
    <w:rsid w:val="002261C3"/>
    <w:rsid w:val="0022695F"/>
    <w:rsid w:val="00233446"/>
    <w:rsid w:val="0025728A"/>
    <w:rsid w:val="00265543"/>
    <w:rsid w:val="00270899"/>
    <w:rsid w:val="00273429"/>
    <w:rsid w:val="00275170"/>
    <w:rsid w:val="00283A2D"/>
    <w:rsid w:val="00295703"/>
    <w:rsid w:val="002D1DBB"/>
    <w:rsid w:val="002D41C2"/>
    <w:rsid w:val="002E4775"/>
    <w:rsid w:val="00304201"/>
    <w:rsid w:val="00305FAF"/>
    <w:rsid w:val="003212CD"/>
    <w:rsid w:val="00322BC0"/>
    <w:rsid w:val="00331BAF"/>
    <w:rsid w:val="0033523F"/>
    <w:rsid w:val="0035071B"/>
    <w:rsid w:val="003541B4"/>
    <w:rsid w:val="00355834"/>
    <w:rsid w:val="00355ABF"/>
    <w:rsid w:val="00360DB7"/>
    <w:rsid w:val="00361FE8"/>
    <w:rsid w:val="00362E37"/>
    <w:rsid w:val="00375293"/>
    <w:rsid w:val="00382AE1"/>
    <w:rsid w:val="00384CE6"/>
    <w:rsid w:val="00385565"/>
    <w:rsid w:val="00385779"/>
    <w:rsid w:val="003879BA"/>
    <w:rsid w:val="00395F6D"/>
    <w:rsid w:val="003B2CE5"/>
    <w:rsid w:val="003C65FC"/>
    <w:rsid w:val="003D1BC8"/>
    <w:rsid w:val="003D6484"/>
    <w:rsid w:val="00403ED6"/>
    <w:rsid w:val="00407963"/>
    <w:rsid w:val="00411C85"/>
    <w:rsid w:val="00414462"/>
    <w:rsid w:val="00416310"/>
    <w:rsid w:val="00420DA8"/>
    <w:rsid w:val="00421015"/>
    <w:rsid w:val="00422D95"/>
    <w:rsid w:val="004248AF"/>
    <w:rsid w:val="004267F3"/>
    <w:rsid w:val="00441255"/>
    <w:rsid w:val="00442DBE"/>
    <w:rsid w:val="0044507B"/>
    <w:rsid w:val="0044713A"/>
    <w:rsid w:val="00452D72"/>
    <w:rsid w:val="00453943"/>
    <w:rsid w:val="00455DFC"/>
    <w:rsid w:val="00466634"/>
    <w:rsid w:val="00477000"/>
    <w:rsid w:val="00477A93"/>
    <w:rsid w:val="00482703"/>
    <w:rsid w:val="004A05FD"/>
    <w:rsid w:val="004A185F"/>
    <w:rsid w:val="004A201C"/>
    <w:rsid w:val="004B6981"/>
    <w:rsid w:val="004C58A6"/>
    <w:rsid w:val="004C733B"/>
    <w:rsid w:val="004E1757"/>
    <w:rsid w:val="004F229C"/>
    <w:rsid w:val="004F4F4B"/>
    <w:rsid w:val="005034EC"/>
    <w:rsid w:val="005115FD"/>
    <w:rsid w:val="00516412"/>
    <w:rsid w:val="00537FAB"/>
    <w:rsid w:val="00546406"/>
    <w:rsid w:val="00551AA1"/>
    <w:rsid w:val="0055417E"/>
    <w:rsid w:val="00554515"/>
    <w:rsid w:val="005643B3"/>
    <w:rsid w:val="005737C3"/>
    <w:rsid w:val="00575D01"/>
    <w:rsid w:val="00582CBC"/>
    <w:rsid w:val="00583251"/>
    <w:rsid w:val="00585C09"/>
    <w:rsid w:val="00591047"/>
    <w:rsid w:val="005A6650"/>
    <w:rsid w:val="005A671F"/>
    <w:rsid w:val="005B4210"/>
    <w:rsid w:val="005C6DFC"/>
    <w:rsid w:val="005E234B"/>
    <w:rsid w:val="005E477A"/>
    <w:rsid w:val="005E75B1"/>
    <w:rsid w:val="005F03B9"/>
    <w:rsid w:val="005F2C8F"/>
    <w:rsid w:val="0060072B"/>
    <w:rsid w:val="006010F5"/>
    <w:rsid w:val="00602BFB"/>
    <w:rsid w:val="00611266"/>
    <w:rsid w:val="00612C88"/>
    <w:rsid w:val="00613D6F"/>
    <w:rsid w:val="00623B5B"/>
    <w:rsid w:val="00624CDC"/>
    <w:rsid w:val="00626B6A"/>
    <w:rsid w:val="0064101B"/>
    <w:rsid w:val="006514EE"/>
    <w:rsid w:val="00657C7C"/>
    <w:rsid w:val="00672569"/>
    <w:rsid w:val="0067570E"/>
    <w:rsid w:val="00682557"/>
    <w:rsid w:val="00691C9F"/>
    <w:rsid w:val="00691F9A"/>
    <w:rsid w:val="006A0815"/>
    <w:rsid w:val="006A4D57"/>
    <w:rsid w:val="006A6C2A"/>
    <w:rsid w:val="006B0023"/>
    <w:rsid w:val="006B0BBB"/>
    <w:rsid w:val="006B2165"/>
    <w:rsid w:val="006C141C"/>
    <w:rsid w:val="006C6DFA"/>
    <w:rsid w:val="006E0983"/>
    <w:rsid w:val="006E20D3"/>
    <w:rsid w:val="006E55D0"/>
    <w:rsid w:val="006E5F9C"/>
    <w:rsid w:val="006F33B8"/>
    <w:rsid w:val="006F3783"/>
    <w:rsid w:val="00700E43"/>
    <w:rsid w:val="00701AAF"/>
    <w:rsid w:val="00702925"/>
    <w:rsid w:val="00704DD6"/>
    <w:rsid w:val="007102CC"/>
    <w:rsid w:val="00710E02"/>
    <w:rsid w:val="00722DB9"/>
    <w:rsid w:val="00732D13"/>
    <w:rsid w:val="00735627"/>
    <w:rsid w:val="00737A50"/>
    <w:rsid w:val="00743D9A"/>
    <w:rsid w:val="00745420"/>
    <w:rsid w:val="007460CF"/>
    <w:rsid w:val="00746F3D"/>
    <w:rsid w:val="00752C08"/>
    <w:rsid w:val="00753974"/>
    <w:rsid w:val="00755E8B"/>
    <w:rsid w:val="00757923"/>
    <w:rsid w:val="00774FD1"/>
    <w:rsid w:val="00781B03"/>
    <w:rsid w:val="00782C48"/>
    <w:rsid w:val="007839B2"/>
    <w:rsid w:val="00784E96"/>
    <w:rsid w:val="00787A9D"/>
    <w:rsid w:val="007A6B27"/>
    <w:rsid w:val="007B0A8C"/>
    <w:rsid w:val="007C7043"/>
    <w:rsid w:val="007D43C1"/>
    <w:rsid w:val="007D7BDF"/>
    <w:rsid w:val="007E00A7"/>
    <w:rsid w:val="007F4A6B"/>
    <w:rsid w:val="00801741"/>
    <w:rsid w:val="00805EED"/>
    <w:rsid w:val="00807E47"/>
    <w:rsid w:val="008153FE"/>
    <w:rsid w:val="00820F84"/>
    <w:rsid w:val="00822CA2"/>
    <w:rsid w:val="0082538C"/>
    <w:rsid w:val="008348D5"/>
    <w:rsid w:val="0083498A"/>
    <w:rsid w:val="00842020"/>
    <w:rsid w:val="0085318E"/>
    <w:rsid w:val="0085443D"/>
    <w:rsid w:val="00861F8C"/>
    <w:rsid w:val="00864660"/>
    <w:rsid w:val="00867F30"/>
    <w:rsid w:val="00870EE6"/>
    <w:rsid w:val="00874D9C"/>
    <w:rsid w:val="008803D2"/>
    <w:rsid w:val="008920BB"/>
    <w:rsid w:val="008931DF"/>
    <w:rsid w:val="00893371"/>
    <w:rsid w:val="008B215E"/>
    <w:rsid w:val="008B3A2F"/>
    <w:rsid w:val="008B6C09"/>
    <w:rsid w:val="008C0170"/>
    <w:rsid w:val="008C289E"/>
    <w:rsid w:val="008D1BD2"/>
    <w:rsid w:val="008D1EFF"/>
    <w:rsid w:val="008D43F7"/>
    <w:rsid w:val="008D4C21"/>
    <w:rsid w:val="008E7390"/>
    <w:rsid w:val="008F2B7E"/>
    <w:rsid w:val="00911A44"/>
    <w:rsid w:val="00915F19"/>
    <w:rsid w:val="0093373B"/>
    <w:rsid w:val="00940DD7"/>
    <w:rsid w:val="00953F87"/>
    <w:rsid w:val="009558F1"/>
    <w:rsid w:val="00955B41"/>
    <w:rsid w:val="009560BE"/>
    <w:rsid w:val="00967019"/>
    <w:rsid w:val="00975826"/>
    <w:rsid w:val="00981F27"/>
    <w:rsid w:val="0098257D"/>
    <w:rsid w:val="00994C2B"/>
    <w:rsid w:val="00995CF8"/>
    <w:rsid w:val="009A0C76"/>
    <w:rsid w:val="009A748B"/>
    <w:rsid w:val="009B2429"/>
    <w:rsid w:val="009D2483"/>
    <w:rsid w:val="009D39D7"/>
    <w:rsid w:val="009D7905"/>
    <w:rsid w:val="009E2FC4"/>
    <w:rsid w:val="009E5D94"/>
    <w:rsid w:val="009F3944"/>
    <w:rsid w:val="00A037DA"/>
    <w:rsid w:val="00A147C7"/>
    <w:rsid w:val="00A15AF4"/>
    <w:rsid w:val="00A17AEE"/>
    <w:rsid w:val="00A31137"/>
    <w:rsid w:val="00A3600A"/>
    <w:rsid w:val="00A40D5A"/>
    <w:rsid w:val="00A5115C"/>
    <w:rsid w:val="00A522CC"/>
    <w:rsid w:val="00A60D4A"/>
    <w:rsid w:val="00A62634"/>
    <w:rsid w:val="00A70D60"/>
    <w:rsid w:val="00A75AB8"/>
    <w:rsid w:val="00A83D92"/>
    <w:rsid w:val="00AA064A"/>
    <w:rsid w:val="00AA6016"/>
    <w:rsid w:val="00AA617A"/>
    <w:rsid w:val="00AA6FA5"/>
    <w:rsid w:val="00AB4E95"/>
    <w:rsid w:val="00AC0F27"/>
    <w:rsid w:val="00AD5141"/>
    <w:rsid w:val="00AF07BB"/>
    <w:rsid w:val="00AF5E5E"/>
    <w:rsid w:val="00AF64F4"/>
    <w:rsid w:val="00B057D9"/>
    <w:rsid w:val="00B129FE"/>
    <w:rsid w:val="00B13C7B"/>
    <w:rsid w:val="00B1447E"/>
    <w:rsid w:val="00B231A5"/>
    <w:rsid w:val="00B33BD5"/>
    <w:rsid w:val="00B34458"/>
    <w:rsid w:val="00B41D8E"/>
    <w:rsid w:val="00B423D6"/>
    <w:rsid w:val="00B43659"/>
    <w:rsid w:val="00B62100"/>
    <w:rsid w:val="00B7036F"/>
    <w:rsid w:val="00B75B46"/>
    <w:rsid w:val="00B84859"/>
    <w:rsid w:val="00B92068"/>
    <w:rsid w:val="00B97BAB"/>
    <w:rsid w:val="00BA3766"/>
    <w:rsid w:val="00BB700E"/>
    <w:rsid w:val="00BC1C87"/>
    <w:rsid w:val="00BC2A91"/>
    <w:rsid w:val="00BE2AE8"/>
    <w:rsid w:val="00BE4205"/>
    <w:rsid w:val="00BE5B9C"/>
    <w:rsid w:val="00BF7A73"/>
    <w:rsid w:val="00C01A7D"/>
    <w:rsid w:val="00C01C80"/>
    <w:rsid w:val="00C17FC2"/>
    <w:rsid w:val="00C23BA7"/>
    <w:rsid w:val="00C2432C"/>
    <w:rsid w:val="00C3290F"/>
    <w:rsid w:val="00C35C03"/>
    <w:rsid w:val="00C57535"/>
    <w:rsid w:val="00C610D6"/>
    <w:rsid w:val="00C65C1E"/>
    <w:rsid w:val="00C70E4F"/>
    <w:rsid w:val="00C712DE"/>
    <w:rsid w:val="00C74EAF"/>
    <w:rsid w:val="00C75999"/>
    <w:rsid w:val="00C75C10"/>
    <w:rsid w:val="00CA55C9"/>
    <w:rsid w:val="00CB24D6"/>
    <w:rsid w:val="00CB4214"/>
    <w:rsid w:val="00CB6EE9"/>
    <w:rsid w:val="00CC6811"/>
    <w:rsid w:val="00CD1A68"/>
    <w:rsid w:val="00CD6E0B"/>
    <w:rsid w:val="00CD70CE"/>
    <w:rsid w:val="00CE60FE"/>
    <w:rsid w:val="00CF140F"/>
    <w:rsid w:val="00D00B39"/>
    <w:rsid w:val="00D02893"/>
    <w:rsid w:val="00D04B2B"/>
    <w:rsid w:val="00D06833"/>
    <w:rsid w:val="00D15F70"/>
    <w:rsid w:val="00D20B3F"/>
    <w:rsid w:val="00D21582"/>
    <w:rsid w:val="00D33FB0"/>
    <w:rsid w:val="00D37547"/>
    <w:rsid w:val="00D46B30"/>
    <w:rsid w:val="00D51467"/>
    <w:rsid w:val="00D62597"/>
    <w:rsid w:val="00D73359"/>
    <w:rsid w:val="00D74484"/>
    <w:rsid w:val="00D74974"/>
    <w:rsid w:val="00D82897"/>
    <w:rsid w:val="00D85504"/>
    <w:rsid w:val="00D91816"/>
    <w:rsid w:val="00DA0E52"/>
    <w:rsid w:val="00DA30AA"/>
    <w:rsid w:val="00DB16BA"/>
    <w:rsid w:val="00DB40B9"/>
    <w:rsid w:val="00DC546C"/>
    <w:rsid w:val="00DC593A"/>
    <w:rsid w:val="00DC78D4"/>
    <w:rsid w:val="00DD33D0"/>
    <w:rsid w:val="00DE15F5"/>
    <w:rsid w:val="00DE2745"/>
    <w:rsid w:val="00DE4497"/>
    <w:rsid w:val="00DE6996"/>
    <w:rsid w:val="00DF2445"/>
    <w:rsid w:val="00DF6C0E"/>
    <w:rsid w:val="00DF739E"/>
    <w:rsid w:val="00E0077B"/>
    <w:rsid w:val="00E023DE"/>
    <w:rsid w:val="00E20A75"/>
    <w:rsid w:val="00E21D1F"/>
    <w:rsid w:val="00E37B91"/>
    <w:rsid w:val="00E46F54"/>
    <w:rsid w:val="00E47A44"/>
    <w:rsid w:val="00E511E9"/>
    <w:rsid w:val="00E601A4"/>
    <w:rsid w:val="00E61590"/>
    <w:rsid w:val="00E63090"/>
    <w:rsid w:val="00E64A10"/>
    <w:rsid w:val="00E67A8D"/>
    <w:rsid w:val="00E92BAA"/>
    <w:rsid w:val="00E94AD2"/>
    <w:rsid w:val="00E96CE0"/>
    <w:rsid w:val="00EA2AC1"/>
    <w:rsid w:val="00EA47ED"/>
    <w:rsid w:val="00EA48A0"/>
    <w:rsid w:val="00EB19A1"/>
    <w:rsid w:val="00EE1835"/>
    <w:rsid w:val="00EE5C6F"/>
    <w:rsid w:val="00EF142A"/>
    <w:rsid w:val="00EF1818"/>
    <w:rsid w:val="00EF67B4"/>
    <w:rsid w:val="00F072E8"/>
    <w:rsid w:val="00F10E2F"/>
    <w:rsid w:val="00F11AFC"/>
    <w:rsid w:val="00F22420"/>
    <w:rsid w:val="00F3048C"/>
    <w:rsid w:val="00F32EA5"/>
    <w:rsid w:val="00F43B6E"/>
    <w:rsid w:val="00F47A11"/>
    <w:rsid w:val="00F572E6"/>
    <w:rsid w:val="00F66415"/>
    <w:rsid w:val="00F7754D"/>
    <w:rsid w:val="00F9611B"/>
    <w:rsid w:val="00FA06EF"/>
    <w:rsid w:val="00FA352F"/>
    <w:rsid w:val="00FB1048"/>
    <w:rsid w:val="00FB35A5"/>
    <w:rsid w:val="00FB57D8"/>
    <w:rsid w:val="00FC5E45"/>
    <w:rsid w:val="00FD3121"/>
    <w:rsid w:val="00FD3202"/>
    <w:rsid w:val="00FD4F8C"/>
    <w:rsid w:val="00FE1842"/>
    <w:rsid w:val="00FE1C1E"/>
    <w:rsid w:val="00FE3521"/>
    <w:rsid w:val="00FF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ADFEAF"/>
  <w15:docId w15:val="{7D5C7B32-63D9-41E3-AABD-271895CB9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2CD"/>
    <w:pPr>
      <w:keepNext/>
      <w:keepLines/>
      <w:numPr>
        <w:numId w:val="3"/>
      </w:numPr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1BAF"/>
    <w:pPr>
      <w:keepNext/>
      <w:keepLines/>
      <w:numPr>
        <w:ilvl w:val="1"/>
        <w:numId w:val="3"/>
      </w:numPr>
      <w:spacing w:before="40" w:after="0" w:line="360" w:lineRule="auto"/>
      <w:outlineLvl w:val="1"/>
    </w:pPr>
    <w:rPr>
      <w:rFonts w:ascii="Times New Roman" w:eastAsiaTheme="majorEastAsia" w:hAnsi="Times New Roman" w:cstheme="majorBidi"/>
      <w:i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4E96"/>
    <w:rPr>
      <w:color w:val="666666"/>
    </w:rPr>
  </w:style>
  <w:style w:type="table" w:styleId="TableGrid">
    <w:name w:val="Table Grid"/>
    <w:basedOn w:val="TableNormal"/>
    <w:uiPriority w:val="39"/>
    <w:rsid w:val="00442DBE"/>
    <w:pPr>
      <w:spacing w:after="0" w:line="240" w:lineRule="auto"/>
    </w:pPr>
    <w:rPr>
      <w:kern w:val="0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774FD1"/>
    <w:pPr>
      <w:spacing w:after="0" w:line="240" w:lineRule="auto"/>
    </w:pPr>
    <w:rPr>
      <w:color w:val="000000"/>
      <w:kern w:val="0"/>
      <w:lang w:bidi="fa-IR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774FD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031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304"/>
  </w:style>
  <w:style w:type="paragraph" w:styleId="Footer">
    <w:name w:val="footer"/>
    <w:basedOn w:val="Normal"/>
    <w:link w:val="FooterChar"/>
    <w:uiPriority w:val="99"/>
    <w:unhideWhenUsed/>
    <w:rsid w:val="000313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304"/>
  </w:style>
  <w:style w:type="paragraph" w:styleId="NormalWeb">
    <w:name w:val="Normal (Web)"/>
    <w:basedOn w:val="Normal"/>
    <w:uiPriority w:val="99"/>
    <w:semiHidden/>
    <w:unhideWhenUsed/>
    <w:rsid w:val="009D2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7102C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102C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102C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102CC"/>
    <w:rPr>
      <w:rFonts w:ascii="Calibri" w:hAnsi="Calibri" w:cs="Calibri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B4365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E5C6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E5C6F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212CD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1BAF"/>
    <w:rPr>
      <w:rFonts w:ascii="Times New Roman" w:eastAsiaTheme="majorEastAsia" w:hAnsi="Times New Roman" w:cstheme="majorBidi"/>
      <w:i/>
      <w:color w:val="000000" w:themeColor="text1"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9D79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790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E42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2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2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2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2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64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5443D"/>
    <w:pPr>
      <w:ind w:left="720"/>
      <w:contextualSpacing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7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1501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TheHero</dc:creator>
  <cp:keywords/>
  <dc:description/>
  <cp:lastModifiedBy>Trupti Sudge</cp:lastModifiedBy>
  <cp:revision>2</cp:revision>
  <cp:lastPrinted>2024-12-17T17:38:00Z</cp:lastPrinted>
  <dcterms:created xsi:type="dcterms:W3CDTF">2025-04-23T16:05:00Z</dcterms:created>
  <dcterms:modified xsi:type="dcterms:W3CDTF">2025-04-23T16:05:00Z</dcterms:modified>
</cp:coreProperties>
</file>