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7936" w14:textId="77777777" w:rsidR="003A1345" w:rsidRPr="00942488" w:rsidRDefault="003A1345" w:rsidP="003A1345">
      <w:pPr>
        <w:spacing w:line="360" w:lineRule="auto"/>
        <w:rPr>
          <w:rFonts w:asciiTheme="majorBidi" w:hAnsiTheme="majorBidi" w:cstheme="majorBidi"/>
          <w:lang w:val="en-US"/>
        </w:rPr>
      </w:pPr>
      <w:r w:rsidRPr="00942488">
        <w:rPr>
          <w:rFonts w:asciiTheme="majorBidi" w:hAnsiTheme="majorBidi" w:cstheme="majorBidi"/>
          <w:lang w:val="en-US"/>
        </w:rPr>
        <w:t>Supporting information</w:t>
      </w:r>
    </w:p>
    <w:p w14:paraId="1049057B" w14:textId="77777777" w:rsidR="003A1345" w:rsidRPr="00942488" w:rsidRDefault="003A1345" w:rsidP="003A1345">
      <w:pPr>
        <w:pStyle w:val="Author"/>
        <w:suppressAutoHyphens/>
        <w:ind w:firstLine="0"/>
        <w:jc w:val="left"/>
        <w:rPr>
          <w:rFonts w:asciiTheme="majorBidi" w:hAnsiTheme="majorBidi" w:cstheme="majorBidi"/>
          <w:sz w:val="24"/>
          <w:szCs w:val="24"/>
          <w:lang w:val="en-US"/>
        </w:rPr>
      </w:pPr>
    </w:p>
    <w:p w14:paraId="5C63F2A2" w14:textId="77777777" w:rsidR="003A1345" w:rsidRPr="004A7E8F" w:rsidRDefault="003A1345" w:rsidP="003A1345">
      <w:pPr>
        <w:pStyle w:val="Author"/>
        <w:suppressAutoHyphens/>
        <w:spacing w:before="0" w:after="0"/>
        <w:ind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Crystallization kinetics of </w:t>
      </w:r>
      <w:r w:rsidRPr="00FE6B2E">
        <w:rPr>
          <w:sz w:val="24"/>
          <w:lang w:val="en-US"/>
        </w:rPr>
        <w:t>poly(</w:t>
      </w:r>
      <w:r w:rsidRPr="00FE6B2E">
        <w:rPr>
          <w:sz w:val="24"/>
        </w:rPr>
        <w:t>ε</w:t>
      </w:r>
      <w:r w:rsidRPr="00FE6B2E">
        <w:rPr>
          <w:sz w:val="24"/>
          <w:lang w:val="en-US"/>
        </w:rPr>
        <w:t xml:space="preserve">-caprolactone) and chlorinated polyethylene </w:t>
      </w:r>
      <w:r>
        <w:rPr>
          <w:rFonts w:asciiTheme="majorBidi" w:hAnsiTheme="majorBidi" w:cstheme="majorBidi"/>
          <w:sz w:val="24"/>
          <w:szCs w:val="24"/>
          <w:lang w:val="en-US"/>
        </w:rPr>
        <w:t>binary blends</w:t>
      </w:r>
    </w:p>
    <w:p w14:paraId="01601E7A" w14:textId="77777777" w:rsidR="003A1345" w:rsidRDefault="003A1345" w:rsidP="003A1345">
      <w:pPr>
        <w:rPr>
          <w:rFonts w:asciiTheme="majorBidi" w:hAnsiTheme="majorBidi" w:cstheme="majorBidi"/>
          <w:lang w:val="en-US"/>
        </w:rPr>
      </w:pPr>
    </w:p>
    <w:p w14:paraId="5F7DD7D4" w14:textId="77777777" w:rsidR="003A1345" w:rsidRDefault="003A1345" w:rsidP="003A1345">
      <w:pPr>
        <w:rPr>
          <w:rFonts w:asciiTheme="majorBidi" w:hAnsiTheme="majorBidi" w:cstheme="majorBidi"/>
          <w:lang w:val="en-US"/>
        </w:rPr>
      </w:pPr>
    </w:p>
    <w:p w14:paraId="79CDD1FB" w14:textId="77777777" w:rsidR="003A1345" w:rsidRPr="00942488" w:rsidRDefault="003A1345" w:rsidP="003A1345">
      <w:pPr>
        <w:spacing w:line="360" w:lineRule="auto"/>
        <w:rPr>
          <w:rFonts w:asciiTheme="majorBidi" w:eastAsia="Times New Roman" w:hAnsiTheme="majorBidi" w:cstheme="majorBidi"/>
          <w:bCs/>
          <w:color w:val="000000" w:themeColor="text1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A1345" w14:paraId="71FAFF4F" w14:textId="77777777" w:rsidTr="000238F2">
        <w:tc>
          <w:tcPr>
            <w:tcW w:w="4536" w:type="dxa"/>
          </w:tcPr>
          <w:p w14:paraId="67FD7A0D" w14:textId="77777777" w:rsidR="003A1345" w:rsidRPr="00B85C61" w:rsidRDefault="003A1345" w:rsidP="000238F2">
            <w:pPr>
              <w:spacing w:line="360" w:lineRule="auto"/>
              <w:jc w:val="both"/>
              <w:rPr>
                <w:rFonts w:eastAsia="NewCenturySchlbk-Roman"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030C1B2" wp14:editId="598397F7">
                  <wp:extent cx="2743200" cy="2743200"/>
                  <wp:effectExtent l="0" t="0" r="0" b="0"/>
                  <wp:docPr id="550907594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024025E9" w14:textId="77777777" w:rsidR="003A1345" w:rsidRPr="00B85C61" w:rsidRDefault="003A1345" w:rsidP="000238F2">
            <w:pPr>
              <w:spacing w:line="360" w:lineRule="auto"/>
              <w:jc w:val="both"/>
              <w:rPr>
                <w:rFonts w:eastAsia="NewCenturySchlbk-Roman"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869B174" wp14:editId="79C976FE">
                  <wp:extent cx="2743200" cy="2743200"/>
                  <wp:effectExtent l="0" t="0" r="0" b="0"/>
                  <wp:docPr id="196253710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8B11BA-DAF6-4681-8896-72F1E08EB6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14:paraId="45216539" w14:textId="77777777" w:rsidR="003A1345" w:rsidRDefault="003A1345" w:rsidP="003A1345">
      <w:pPr>
        <w:spacing w:line="360" w:lineRule="auto"/>
        <w:rPr>
          <w:rFonts w:eastAsia="Times New Roman"/>
          <w:color w:val="000000" w:themeColor="text1"/>
          <w:lang w:val="en-US"/>
        </w:rPr>
      </w:pPr>
      <w:r w:rsidRPr="007356DE">
        <w:rPr>
          <w:rFonts w:eastAsia="Times New Roman"/>
          <w:bCs/>
          <w:color w:val="000000" w:themeColor="text1"/>
          <w:lang w:val="en-US"/>
        </w:rPr>
        <w:t xml:space="preserve">Figure S1. </w:t>
      </w:r>
      <w:r>
        <w:rPr>
          <w:rFonts w:eastAsia="Times New Roman"/>
          <w:bCs/>
          <w:color w:val="000000" w:themeColor="text1"/>
          <w:lang w:val="en-US"/>
        </w:rPr>
        <w:t>A temperature diagram used for (a) the thermal procedure to remove any prior thermal history</w:t>
      </w:r>
      <w:r>
        <w:rPr>
          <w:rFonts w:eastAsia="NewCenturySchlbk-Roman"/>
          <w:color w:val="000000"/>
          <w:lang w:val="en-US"/>
        </w:rPr>
        <w:t xml:space="preserve"> </w:t>
      </w:r>
      <w:r>
        <w:rPr>
          <w:rFonts w:eastAsia="Times New Roman"/>
          <w:bCs/>
          <w:color w:val="000000" w:themeColor="text1"/>
          <w:lang w:val="en-US"/>
        </w:rPr>
        <w:t>and (b) a typical thermal diagram for the isothermal crystallization process.</w:t>
      </w:r>
    </w:p>
    <w:p w14:paraId="2D351F4A" w14:textId="77777777" w:rsidR="003A1345" w:rsidRDefault="003A1345" w:rsidP="003A1345">
      <w:pPr>
        <w:spacing w:line="360" w:lineRule="auto"/>
        <w:jc w:val="both"/>
        <w:rPr>
          <w:rFonts w:asciiTheme="majorBidi" w:eastAsia="NewCenturySchlbk-Roman" w:hAnsiTheme="majorBidi" w:cstheme="majorBidi"/>
          <w:color w:val="000000"/>
          <w:lang w:val="en-US"/>
        </w:rPr>
      </w:pPr>
    </w:p>
    <w:p w14:paraId="69FE1CB7" w14:textId="77777777" w:rsidR="003A1345" w:rsidRPr="00F26A05" w:rsidRDefault="003A1345" w:rsidP="003A1345">
      <w:pPr>
        <w:spacing w:line="360" w:lineRule="auto"/>
        <w:rPr>
          <w:rFonts w:eastAsia="Times New Roman"/>
          <w:color w:val="000000" w:themeColor="text1"/>
          <w:lang w:val="en-US"/>
        </w:rPr>
      </w:pPr>
      <w:r w:rsidRPr="00F26A05">
        <w:rPr>
          <w:noProof/>
        </w:rPr>
        <w:drawing>
          <wp:inline distT="0" distB="0" distL="0" distR="0" wp14:anchorId="40E6F5E5" wp14:editId="77742356">
            <wp:extent cx="2743200" cy="2743200"/>
            <wp:effectExtent l="0" t="0" r="0" b="0"/>
            <wp:docPr id="134990618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4A09995" w14:textId="77777777" w:rsidR="003A1345" w:rsidRPr="004A7E8F" w:rsidRDefault="003A1345" w:rsidP="003A1345">
      <w:pPr>
        <w:spacing w:line="360" w:lineRule="auto"/>
        <w:rPr>
          <w:rFonts w:asciiTheme="majorBidi" w:hAnsiTheme="majorBidi" w:cstheme="majorBidi"/>
          <w:lang w:val="en-US"/>
        </w:rPr>
      </w:pPr>
      <w:r w:rsidRPr="00F26A05">
        <w:rPr>
          <w:rFonts w:eastAsia="Times New Roman"/>
          <w:bCs/>
          <w:color w:val="000000" w:themeColor="text1"/>
          <w:lang w:val="en-US"/>
        </w:rPr>
        <w:t xml:space="preserve">Figure S2. Hoffman–Week plots of </w:t>
      </w:r>
      <w:r w:rsidRPr="00F26A05">
        <w:rPr>
          <w:rFonts w:eastAsia="Times New Roman"/>
          <w:bCs/>
          <w:i/>
          <w:iCs/>
          <w:color w:val="000000" w:themeColor="text1"/>
          <w:lang w:val="en-US"/>
        </w:rPr>
        <w:t>T</w:t>
      </w:r>
      <w:r w:rsidRPr="00F26A05">
        <w:rPr>
          <w:rFonts w:eastAsia="Times New Roman"/>
          <w:bCs/>
          <w:color w:val="000000" w:themeColor="text1"/>
          <w:vertAlign w:val="subscript"/>
          <w:lang w:val="en-US"/>
        </w:rPr>
        <w:t>m</w:t>
      </w:r>
      <w:r w:rsidRPr="00F26A05">
        <w:rPr>
          <w:rFonts w:eastAsia="Times New Roman"/>
          <w:bCs/>
          <w:color w:val="000000" w:themeColor="text1"/>
          <w:lang w:val="en-US"/>
        </w:rPr>
        <w:t xml:space="preserve"> versus </w:t>
      </w:r>
      <w:r w:rsidRPr="00F26A05">
        <w:rPr>
          <w:rFonts w:eastAsia="Times New Roman"/>
          <w:bCs/>
          <w:i/>
          <w:iCs/>
          <w:color w:val="000000" w:themeColor="text1"/>
          <w:lang w:val="en-US"/>
        </w:rPr>
        <w:t>T</w:t>
      </w:r>
      <w:r w:rsidRPr="00F26A05">
        <w:rPr>
          <w:rFonts w:eastAsia="Times New Roman"/>
          <w:bCs/>
          <w:color w:val="000000" w:themeColor="text1"/>
          <w:vertAlign w:val="subscript"/>
          <w:lang w:val="en-US"/>
        </w:rPr>
        <w:t>c</w:t>
      </w:r>
      <w:r w:rsidRPr="00F26A05">
        <w:rPr>
          <w:rFonts w:eastAsia="Times New Roman"/>
          <w:bCs/>
          <w:color w:val="000000" w:themeColor="text1"/>
          <w:lang w:val="en-US"/>
        </w:rPr>
        <w:t xml:space="preserve"> for PCL/PB</w:t>
      </w:r>
      <w:r>
        <w:rPr>
          <w:rFonts w:eastAsia="Times New Roman"/>
          <w:bCs/>
          <w:color w:val="000000" w:themeColor="text1"/>
          <w:lang w:val="en-US"/>
        </w:rPr>
        <w:t xml:space="preserve"> blends</w:t>
      </w:r>
      <w:r w:rsidRPr="00F26A05">
        <w:rPr>
          <w:rFonts w:eastAsia="Times New Roman"/>
          <w:bCs/>
          <w:color w:val="000000" w:themeColor="text1"/>
          <w:lang w:val="en-US"/>
        </w:rPr>
        <w:t>: (1) pure PCL, (2) 90/10, (3) 80/20, (4) 70/30, and (5) 60/40 composition</w:t>
      </w:r>
      <w:r w:rsidRPr="00F26A05">
        <w:rPr>
          <w:rFonts w:eastAsia="Times New Roman"/>
          <w:color w:val="000000" w:themeColor="text1"/>
          <w:lang w:val="en-US"/>
        </w:rPr>
        <w:t>.</w:t>
      </w:r>
    </w:p>
    <w:p w14:paraId="6F3C3A68" w14:textId="77777777" w:rsidR="00DE6AE2" w:rsidRPr="003A1345" w:rsidRDefault="00DE6AE2">
      <w:pPr>
        <w:rPr>
          <w:lang w:val="en-US"/>
        </w:rPr>
      </w:pPr>
    </w:p>
    <w:sectPr w:rsidR="00DE6AE2" w:rsidRPr="003A1345" w:rsidSect="003A1345">
      <w:foot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CenturySchlbk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2043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C8F95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9D0BFC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45"/>
    <w:rsid w:val="003A1345"/>
    <w:rsid w:val="00A3738C"/>
    <w:rsid w:val="00A5686E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A63F7"/>
  <w15:chartTrackingRefBased/>
  <w15:docId w15:val="{79D627E3-B6F3-41DB-AC36-28EBD4A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345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ru-RU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3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3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3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3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3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3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3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3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3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3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1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3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1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3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1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3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1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34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A134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45"/>
    <w:rPr>
      <w:rFonts w:ascii="Times New Roman" w:eastAsia="Batang" w:hAnsi="Times New Roman" w:cs="Times New Roman"/>
      <w:kern w:val="0"/>
      <w:sz w:val="24"/>
      <w:szCs w:val="24"/>
      <w:lang w:val="ru-RU" w:eastAsia="ko-KR"/>
      <w14:ligatures w14:val="none"/>
    </w:rPr>
  </w:style>
  <w:style w:type="table" w:styleId="TableGrid">
    <w:name w:val="Table Grid"/>
    <w:basedOn w:val="TableNormal"/>
    <w:uiPriority w:val="59"/>
    <w:rsid w:val="003A1345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uiPriority w:val="99"/>
    <w:rsid w:val="003A1345"/>
    <w:pPr>
      <w:spacing w:before="120" w:after="120" w:line="360" w:lineRule="auto"/>
      <w:ind w:firstLine="567"/>
      <w:jc w:val="center"/>
    </w:pPr>
    <w:rPr>
      <w:rFonts w:eastAsia="Times New Roman"/>
      <w:b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I:\Local%20Disk%20(F)\ALL_Saudi%20Arabia\Removal%20Disk_13\Paper%20in%20Preparation\140.%20PCL_CPE\Paper%20b_Figure%20S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I:\Local%20Disk%20(F)\ALL_Saudi%20Arabia\Removal%20Disk_13\Paper%20in%20Preparation\140.%20PCL_CPE\Paper%20b_Figure%20S1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I:\Local%20Disk%20(F)\ALL_Saudi%20Arabia\Removal%20Disk_13\Paper%20in%20Preparation\140.%20PCL_CPE\Paper%20C_Fig%2009abc_Hoffma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943533100029162"/>
          <c:y val="4.3601747815230962E-2"/>
          <c:w val="0.73028689122193058"/>
          <c:h val="0.79201515151515156"/>
        </c:manualLayout>
      </c:layout>
      <c:scatterChart>
        <c:scatterStyle val="lineMarker"/>
        <c:varyColors val="0"/>
        <c:ser>
          <c:idx val="1"/>
          <c:order val="0"/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'Fig S1'!$D$2:$D$22</c:f>
              <c:numCache>
                <c:formatCode>General</c:formatCode>
                <c:ptCount val="2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27</c:v>
                </c:pt>
                <c:pt idx="4">
                  <c:v>32</c:v>
                </c:pt>
                <c:pt idx="5">
                  <c:v>49</c:v>
                </c:pt>
                <c:pt idx="6">
                  <c:v>54</c:v>
                </c:pt>
                <c:pt idx="7">
                  <c:v>71</c:v>
                </c:pt>
                <c:pt idx="8">
                  <c:v>76</c:v>
                </c:pt>
                <c:pt idx="9">
                  <c:v>93</c:v>
                </c:pt>
              </c:numCache>
            </c:numRef>
          </c:xVal>
          <c:yVal>
            <c:numRef>
              <c:f>'Fig S1'!$E$2:$E$22</c:f>
              <c:numCache>
                <c:formatCode>General</c:formatCode>
                <c:ptCount val="21"/>
                <c:pt idx="0">
                  <c:v>20</c:v>
                </c:pt>
                <c:pt idx="1">
                  <c:v>70</c:v>
                </c:pt>
                <c:pt idx="2">
                  <c:v>70</c:v>
                </c:pt>
                <c:pt idx="3">
                  <c:v>-100</c:v>
                </c:pt>
                <c:pt idx="4">
                  <c:v>-100</c:v>
                </c:pt>
                <c:pt idx="5">
                  <c:v>70</c:v>
                </c:pt>
                <c:pt idx="6">
                  <c:v>70</c:v>
                </c:pt>
                <c:pt idx="7">
                  <c:v>-100</c:v>
                </c:pt>
                <c:pt idx="8">
                  <c:v>-100</c:v>
                </c:pt>
                <c:pt idx="9">
                  <c:v>70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844-4574-B77C-12EC37F2BF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079296"/>
        <c:axId val="59413248"/>
      </c:scatterChart>
      <c:valAx>
        <c:axId val="59079296"/>
        <c:scaling>
          <c:orientation val="minMax"/>
          <c:max val="10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CA" sz="1200"/>
                  <a:t>time (min)</a:t>
                </a:r>
              </a:p>
            </c:rich>
          </c:tx>
          <c:layout>
            <c:manualLayout>
              <c:xMode val="edge"/>
              <c:yMode val="edge"/>
              <c:x val="0.43711286089238843"/>
              <c:y val="0.92149679206765822"/>
            </c:manualLayout>
          </c:layout>
          <c:overlay val="0"/>
        </c:title>
        <c:numFmt formatCode="General" sourceLinked="1"/>
        <c:majorTickMark val="cross"/>
        <c:minorTickMark val="in"/>
        <c:tickLblPos val="nextTo"/>
        <c:spPr>
          <a:ln w="12700">
            <a:solidFill>
              <a:schemeClr val="tx1"/>
            </a:solidFill>
          </a:ln>
        </c:spPr>
        <c:crossAx val="59413248"/>
        <c:crossesAt val="-120"/>
        <c:crossBetween val="midCat"/>
        <c:majorUnit val="20"/>
        <c:minorUnit val="10"/>
      </c:valAx>
      <c:valAx>
        <c:axId val="59413248"/>
        <c:scaling>
          <c:orientation val="minMax"/>
          <c:max val="80"/>
          <c:min val="-12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CA" sz="1200"/>
                  <a:t>Temperature (</a:t>
                </a:r>
                <a:r>
                  <a:rPr lang="en-CA" sz="1200" baseline="30000"/>
                  <a:t>o</a:t>
                </a:r>
                <a:r>
                  <a:rPr lang="en-CA" sz="1200"/>
                  <a:t>C)</a:t>
                </a:r>
              </a:p>
            </c:rich>
          </c:tx>
          <c:layout>
            <c:manualLayout>
              <c:xMode val="edge"/>
              <c:yMode val="edge"/>
              <c:x val="2.7220034995625556E-3"/>
              <c:y val="0.19692767570720326"/>
            </c:manualLayout>
          </c:layout>
          <c:overlay val="0"/>
        </c:title>
        <c:numFmt formatCode="General" sourceLinked="1"/>
        <c:majorTickMark val="cross"/>
        <c:minorTickMark val="in"/>
        <c:tickLblPos val="nextTo"/>
        <c:spPr>
          <a:ln w="12700">
            <a:solidFill>
              <a:schemeClr val="tx1"/>
            </a:solidFill>
          </a:ln>
        </c:spPr>
        <c:crossAx val="59079296"/>
        <c:crossesAt val="-100"/>
        <c:crossBetween val="midCat"/>
        <c:majorUnit val="50"/>
        <c:minorUnit val="10"/>
      </c:valAx>
      <c:spPr>
        <a:noFill/>
        <a:ln w="12700"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943533100029162"/>
          <c:y val="4.3601747815230962E-2"/>
          <c:w val="0.73028689122193058"/>
          <c:h val="0.79201515151515156"/>
        </c:manualLayout>
      </c:layout>
      <c:scatterChart>
        <c:scatterStyle val="lineMarker"/>
        <c:varyColors val="0"/>
        <c:ser>
          <c:idx val="1"/>
          <c:order val="0"/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'Fig S2'!$D$2:$D$22</c:f>
              <c:numCache>
                <c:formatCode>General</c:formatCode>
                <c:ptCount val="2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27</c:v>
                </c:pt>
                <c:pt idx="4">
                  <c:v>48</c:v>
                </c:pt>
              </c:numCache>
            </c:numRef>
          </c:xVal>
          <c:yVal>
            <c:numRef>
              <c:f>'Fig S2'!$E$2:$E$22</c:f>
              <c:numCache>
                <c:formatCode>General</c:formatCode>
                <c:ptCount val="21"/>
                <c:pt idx="0">
                  <c:v>20</c:v>
                </c:pt>
                <c:pt idx="1">
                  <c:v>70</c:v>
                </c:pt>
                <c:pt idx="2">
                  <c:v>70</c:v>
                </c:pt>
                <c:pt idx="3">
                  <c:v>45</c:v>
                </c:pt>
                <c:pt idx="4">
                  <c:v>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20A-45D2-826E-062E09F45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079296"/>
        <c:axId val="59413248"/>
      </c:scatterChart>
      <c:valAx>
        <c:axId val="59079296"/>
        <c:scaling>
          <c:orientation val="minMax"/>
          <c:max val="5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 time (min)</a:t>
                </a:r>
              </a:p>
            </c:rich>
          </c:tx>
          <c:layout>
            <c:manualLayout>
              <c:xMode val="edge"/>
              <c:yMode val="edge"/>
              <c:x val="0.42785360163312919"/>
              <c:y val="0.92149679206765822"/>
            </c:manualLayout>
          </c:layout>
          <c:overlay val="0"/>
        </c:title>
        <c:numFmt formatCode="General" sourceLinked="1"/>
        <c:majorTickMark val="cross"/>
        <c:minorTickMark val="in"/>
        <c:tickLblPos val="nextTo"/>
        <c:spPr>
          <a:ln w="12700">
            <a:solidFill>
              <a:schemeClr val="tx1"/>
            </a:solidFill>
          </a:ln>
        </c:spPr>
        <c:crossAx val="59413248"/>
        <c:crossesAt val="-120"/>
        <c:crossBetween val="midCat"/>
        <c:majorUnit val="10"/>
        <c:minorUnit val="5"/>
      </c:valAx>
      <c:valAx>
        <c:axId val="59413248"/>
        <c:scaling>
          <c:orientation val="minMax"/>
          <c:max val="8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CA" sz="1200"/>
                  <a:t>Temperature (</a:t>
                </a:r>
                <a:r>
                  <a:rPr lang="en-CA" sz="1200" baseline="30000"/>
                  <a:t>o</a:t>
                </a:r>
                <a:r>
                  <a:rPr lang="en-CA" sz="1200"/>
                  <a:t>C)</a:t>
                </a:r>
              </a:p>
            </c:rich>
          </c:tx>
          <c:layout>
            <c:manualLayout>
              <c:xMode val="edge"/>
              <c:yMode val="edge"/>
              <c:x val="2.7220034995625556E-3"/>
              <c:y val="0.19692767570720326"/>
            </c:manualLayout>
          </c:layout>
          <c:overlay val="0"/>
        </c:title>
        <c:numFmt formatCode="General" sourceLinked="1"/>
        <c:majorTickMark val="cross"/>
        <c:minorTickMark val="in"/>
        <c:tickLblPos val="nextTo"/>
        <c:spPr>
          <a:ln w="12700">
            <a:solidFill>
              <a:schemeClr val="tx1"/>
            </a:solidFill>
          </a:ln>
        </c:spPr>
        <c:crossAx val="59079296"/>
        <c:crossesAt val="-100"/>
        <c:crossBetween val="midCat"/>
        <c:majorUnit val="20"/>
        <c:minorUnit val="10"/>
      </c:valAx>
      <c:spPr>
        <a:noFill/>
        <a:ln w="12700"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519685039370079"/>
          <c:y val="3.0840332458443229E-2"/>
          <c:w val="0.75869203849518807"/>
          <c:h val="0.81712841421373683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forward val="20"/>
            <c:dispRSqr val="0"/>
            <c:dispEq val="0"/>
          </c:trendline>
          <c:xVal>
            <c:numRef>
              <c:f>PCL_PB!$A$2:$A$8</c:f>
              <c:numCache>
                <c:formatCode>General</c:formatCode>
                <c:ptCount val="7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42.5</c:v>
                </c:pt>
                <c:pt idx="5">
                  <c:v>45</c:v>
                </c:pt>
                <c:pt idx="6">
                  <c:v>47.5</c:v>
                </c:pt>
              </c:numCache>
            </c:numRef>
          </c:xVal>
          <c:yVal>
            <c:numRef>
              <c:f>PCL_PB!$B$2:$B$8</c:f>
              <c:numCache>
                <c:formatCode>General</c:formatCode>
                <c:ptCount val="7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42.5</c:v>
                </c:pt>
                <c:pt idx="5">
                  <c:v>45</c:v>
                </c:pt>
                <c:pt idx="6">
                  <c:v>47.5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820-40C6-87D6-962302DC329C}"/>
            </c:ext>
          </c:extLst>
        </c:ser>
        <c:ser>
          <c:idx val="1"/>
          <c:order val="1"/>
          <c:spPr>
            <a:ln w="28575">
              <a:noFill/>
            </a:ln>
          </c:spPr>
          <c:marker>
            <c:symbol val="circle"/>
            <c:size val="5"/>
            <c:spPr>
              <a:noFill/>
              <a:ln>
                <a:solidFill>
                  <a:srgbClr val="006600"/>
                </a:solidFill>
              </a:ln>
            </c:spPr>
          </c:marker>
          <c:xVal>
            <c:numRef>
              <c:f>PCL_PB!$A$2:$A$8</c:f>
              <c:numCache>
                <c:formatCode>General</c:formatCode>
                <c:ptCount val="7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42.5</c:v>
                </c:pt>
                <c:pt idx="5">
                  <c:v>45</c:v>
                </c:pt>
                <c:pt idx="6">
                  <c:v>47.5</c:v>
                </c:pt>
              </c:numCache>
            </c:numRef>
          </c:xVal>
          <c:yVal>
            <c:numRef>
              <c:f>PCL_PB!$C$2:$C$8</c:f>
              <c:numCache>
                <c:formatCode>General</c:formatCode>
                <c:ptCount val="7"/>
                <c:pt idx="0">
                  <c:v>52.18</c:v>
                </c:pt>
                <c:pt idx="1">
                  <c:v>53.53</c:v>
                </c:pt>
                <c:pt idx="2">
                  <c:v>54.59</c:v>
                </c:pt>
                <c:pt idx="3">
                  <c:v>55.72</c:v>
                </c:pt>
                <c:pt idx="4">
                  <c:v>55.97</c:v>
                </c:pt>
                <c:pt idx="5">
                  <c:v>56.46</c:v>
                </c:pt>
                <c:pt idx="6">
                  <c:v>57.12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820-40C6-87D6-962302DC329C}"/>
            </c:ext>
          </c:extLst>
        </c:ser>
        <c:ser>
          <c:idx val="2"/>
          <c:order val="2"/>
          <c:spPr>
            <a:ln w="28575">
              <a:noFill/>
            </a:ln>
          </c:spPr>
          <c:marker>
            <c:symbol val="triangle"/>
            <c:size val="6"/>
            <c:spPr>
              <a:noFill/>
              <a:ln>
                <a:solidFill>
                  <a:srgbClr val="FF0000"/>
                </a:solidFill>
              </a:ln>
            </c:spPr>
          </c:marker>
          <c:xVal>
            <c:numRef>
              <c:f>PCL_PB!$A$2:$A$8</c:f>
              <c:numCache>
                <c:formatCode>General</c:formatCode>
                <c:ptCount val="7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42.5</c:v>
                </c:pt>
                <c:pt idx="5">
                  <c:v>45</c:v>
                </c:pt>
                <c:pt idx="6">
                  <c:v>47.5</c:v>
                </c:pt>
              </c:numCache>
            </c:numRef>
          </c:xVal>
          <c:yVal>
            <c:numRef>
              <c:f>PCL_PB!$D$2:$D$8</c:f>
              <c:numCache>
                <c:formatCode>General</c:formatCode>
                <c:ptCount val="7"/>
                <c:pt idx="0">
                  <c:v>52.38</c:v>
                </c:pt>
                <c:pt idx="1">
                  <c:v>53.41</c:v>
                </c:pt>
                <c:pt idx="2">
                  <c:v>54.48</c:v>
                </c:pt>
                <c:pt idx="3">
                  <c:v>55.64</c:v>
                </c:pt>
                <c:pt idx="4">
                  <c:v>55.93</c:v>
                </c:pt>
                <c:pt idx="5">
                  <c:v>56.62</c:v>
                </c:pt>
                <c:pt idx="6">
                  <c:v>57.13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820-40C6-87D6-962302DC329C}"/>
            </c:ext>
          </c:extLst>
        </c:ser>
        <c:ser>
          <c:idx val="3"/>
          <c:order val="3"/>
          <c:spPr>
            <a:ln w="28575">
              <a:noFill/>
            </a:ln>
          </c:spPr>
          <c:marker>
            <c:symbol val="circle"/>
            <c:size val="5"/>
            <c:spPr>
              <a:solidFill>
                <a:srgbClr val="006600"/>
              </a:solidFill>
              <a:ln>
                <a:solidFill>
                  <a:srgbClr val="006600"/>
                </a:solidFill>
              </a:ln>
            </c:spPr>
          </c:marker>
          <c:xVal>
            <c:numRef>
              <c:f>PCL_PB!$A$2:$A$8</c:f>
              <c:numCache>
                <c:formatCode>General</c:formatCode>
                <c:ptCount val="7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42.5</c:v>
                </c:pt>
                <c:pt idx="5">
                  <c:v>45</c:v>
                </c:pt>
                <c:pt idx="6">
                  <c:v>47.5</c:v>
                </c:pt>
              </c:numCache>
            </c:numRef>
          </c:xVal>
          <c:yVal>
            <c:numRef>
              <c:f>PCL_PB!$E$2:$E$8</c:f>
              <c:numCache>
                <c:formatCode>General</c:formatCode>
                <c:ptCount val="7"/>
                <c:pt idx="0">
                  <c:v>52.22</c:v>
                </c:pt>
                <c:pt idx="1">
                  <c:v>53.65</c:v>
                </c:pt>
                <c:pt idx="2">
                  <c:v>54.629999999999995</c:v>
                </c:pt>
                <c:pt idx="3">
                  <c:v>55.43</c:v>
                </c:pt>
                <c:pt idx="4">
                  <c:v>56.059999999999995</c:v>
                </c:pt>
                <c:pt idx="5">
                  <c:v>56.29</c:v>
                </c:pt>
                <c:pt idx="6">
                  <c:v>57.19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5820-40C6-87D6-962302DC329C}"/>
            </c:ext>
          </c:extLst>
        </c:ser>
        <c:ser>
          <c:idx val="4"/>
          <c:order val="4"/>
          <c:spPr>
            <a:ln w="28575">
              <a:noFill/>
            </a:ln>
          </c:spPr>
          <c:marker>
            <c:symbol val="diamond"/>
            <c:size val="6"/>
            <c:spPr>
              <a:solidFill>
                <a:srgbClr val="0000CC"/>
              </a:solidFill>
              <a:ln>
                <a:solidFill>
                  <a:srgbClr val="0000CC"/>
                </a:solidFill>
              </a:ln>
            </c:spPr>
          </c:marker>
          <c:xVal>
            <c:numRef>
              <c:f>PCL_PB!$A$2:$A$7</c:f>
              <c:numCache>
                <c:formatCode>General</c:formatCode>
                <c:ptCount val="6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42.5</c:v>
                </c:pt>
                <c:pt idx="5">
                  <c:v>45</c:v>
                </c:pt>
              </c:numCache>
            </c:numRef>
          </c:xVal>
          <c:yVal>
            <c:numRef>
              <c:f>PCL_PB!$F$2:$F$7</c:f>
              <c:numCache>
                <c:formatCode>General</c:formatCode>
                <c:ptCount val="6"/>
                <c:pt idx="0">
                  <c:v>52.38</c:v>
                </c:pt>
                <c:pt idx="1">
                  <c:v>53.6</c:v>
                </c:pt>
                <c:pt idx="2">
                  <c:v>54.75</c:v>
                </c:pt>
                <c:pt idx="3">
                  <c:v>55.34</c:v>
                </c:pt>
                <c:pt idx="4">
                  <c:v>56.2</c:v>
                </c:pt>
                <c:pt idx="5">
                  <c:v>56.51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5820-40C6-87D6-962302DC329C}"/>
            </c:ext>
          </c:extLst>
        </c:ser>
        <c:ser>
          <c:idx val="6"/>
          <c:order val="5"/>
          <c:spPr>
            <a:ln w="28575">
              <a:noFill/>
            </a:ln>
          </c:spPr>
          <c:marker>
            <c:symbol val="diamond"/>
            <c:size val="6"/>
            <c:spPr>
              <a:ln>
                <a:solidFill>
                  <a:srgbClr val="0000CC"/>
                </a:solidFill>
              </a:ln>
            </c:spPr>
          </c:marker>
          <c:trendline>
            <c:spPr>
              <a:ln w="12700">
                <a:solidFill>
                  <a:srgbClr val="0000CC"/>
                </a:solidFill>
              </a:ln>
            </c:spPr>
            <c:trendlineType val="linear"/>
            <c:forward val="17"/>
            <c:dispRSqr val="0"/>
            <c:dispEq val="0"/>
          </c:trendline>
          <c:xVal>
            <c:numRef>
              <c:f>PCL_PB!$A$2:$A$6</c:f>
              <c:numCache>
                <c:formatCode>General</c:formatCode>
                <c:ptCount val="5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42.5</c:v>
                </c:pt>
              </c:numCache>
            </c:numRef>
          </c:xVal>
          <c:yVal>
            <c:numRef>
              <c:f>PCL_PB!$H$2:$H$6</c:f>
              <c:numCache>
                <c:formatCode>General</c:formatCode>
                <c:ptCount val="5"/>
                <c:pt idx="0">
                  <c:v>52.45</c:v>
                </c:pt>
                <c:pt idx="1">
                  <c:v>53.76</c:v>
                </c:pt>
                <c:pt idx="2">
                  <c:v>54.59</c:v>
                </c:pt>
                <c:pt idx="3">
                  <c:v>55.43</c:v>
                </c:pt>
                <c:pt idx="4">
                  <c:v>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5820-40C6-87D6-962302DC32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497472"/>
        <c:axId val="78393728"/>
      </c:scatterChart>
      <c:valAx>
        <c:axId val="81497472"/>
        <c:scaling>
          <c:orientation val="minMax"/>
          <c:max val="60"/>
          <c:min val="2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CA" sz="1200"/>
                  <a:t>T</a:t>
                </a:r>
                <a:r>
                  <a:rPr lang="en-CA" sz="1200" baseline="-25000"/>
                  <a:t>c</a:t>
                </a:r>
                <a:r>
                  <a:rPr lang="en-CA" sz="1200"/>
                  <a:t> (</a:t>
                </a:r>
                <a:r>
                  <a:rPr lang="en-CA" sz="1200" baseline="30000"/>
                  <a:t>o</a:t>
                </a:r>
                <a:r>
                  <a:rPr lang="en-CA" sz="1200"/>
                  <a:t>C)</a:t>
                </a:r>
              </a:p>
            </c:rich>
          </c:tx>
          <c:overlay val="0"/>
        </c:title>
        <c:numFmt formatCode="General" sourceLinked="1"/>
        <c:majorTickMark val="cross"/>
        <c:minorTickMark val="in"/>
        <c:tickLblPos val="nextTo"/>
        <c:spPr>
          <a:ln>
            <a:solidFill>
              <a:schemeClr val="tx1"/>
            </a:solidFill>
          </a:ln>
        </c:spPr>
        <c:crossAx val="78393728"/>
        <c:crosses val="autoZero"/>
        <c:crossBetween val="midCat"/>
        <c:majorUnit val="10"/>
        <c:minorUnit val="5"/>
      </c:valAx>
      <c:valAx>
        <c:axId val="78393728"/>
        <c:scaling>
          <c:orientation val="minMax"/>
          <c:max val="60"/>
          <c:min val="48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CA" sz="1200"/>
                  <a:t>T</a:t>
                </a:r>
                <a:r>
                  <a:rPr lang="en-CA" sz="1200" baseline="-25000"/>
                  <a:t>m</a:t>
                </a:r>
                <a:r>
                  <a:rPr lang="en-CA" sz="1200"/>
                  <a:t> (</a:t>
                </a:r>
                <a:r>
                  <a:rPr lang="en-CA" sz="1200" baseline="30000"/>
                  <a:t>o</a:t>
                </a:r>
                <a:r>
                  <a:rPr lang="en-CA" sz="1200"/>
                  <a:t>C)</a:t>
                </a:r>
              </a:p>
            </c:rich>
          </c:tx>
          <c:layout>
            <c:manualLayout>
              <c:xMode val="edge"/>
              <c:yMode val="edge"/>
              <c:x val="0"/>
              <c:y val="0.3349795858850978"/>
            </c:manualLayout>
          </c:layout>
          <c:overlay val="0"/>
        </c:title>
        <c:numFmt formatCode="General" sourceLinked="1"/>
        <c:majorTickMark val="cross"/>
        <c:minorTickMark val="in"/>
        <c:tickLblPos val="nextTo"/>
        <c:spPr>
          <a:ln>
            <a:solidFill>
              <a:schemeClr val="tx1"/>
            </a:solidFill>
          </a:ln>
        </c:spPr>
        <c:crossAx val="81497472"/>
        <c:crosses val="autoZero"/>
        <c:crossBetween val="midCat"/>
        <c:majorUnit val="4"/>
        <c:minorUnit val="2"/>
      </c:valAx>
      <c:spPr>
        <a:noFill/>
        <a:ln w="9525"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0"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0.24528</cdr:x>
      <cdr:y>0.02457</cdr:y>
    </cdr:from>
    <cdr:to>
      <cdr:x>0.4344</cdr:x>
      <cdr:y>0.10187</cdr:y>
    </cdr:to>
    <cdr:sp macro="" textlink="">
      <cdr:nvSpPr>
        <cdr:cNvPr id="886086113" name="TextBox 1"/>
        <cdr:cNvSpPr txBox="1"/>
      </cdr:nvSpPr>
      <cdr:spPr>
        <a:xfrm xmlns:a="http://schemas.openxmlformats.org/drawingml/2006/main">
          <a:off x="672840" y="67406"/>
          <a:ext cx="518794" cy="2120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CA" sz="1000">
              <a:latin typeface="Arial" pitchFamily="34" charset="0"/>
              <a:cs typeface="Arial" pitchFamily="34" charset="0"/>
            </a:rPr>
            <a:t>5 min</a:t>
          </a:r>
          <a:endParaRPr lang="en-CA" sz="1000" baseline="-250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0.3289</cdr:x>
      <cdr:y>0.74381</cdr:y>
    </cdr:from>
    <cdr:to>
      <cdr:x>0.51801</cdr:x>
      <cdr:y>0.82111</cdr:y>
    </cdr:to>
    <cdr:sp macro="" textlink="">
      <cdr:nvSpPr>
        <cdr:cNvPr id="586813005" name="TextBox 1"/>
        <cdr:cNvSpPr txBox="1"/>
      </cdr:nvSpPr>
      <cdr:spPr>
        <a:xfrm xmlns:a="http://schemas.openxmlformats.org/drawingml/2006/main">
          <a:off x="902250" y="2040431"/>
          <a:ext cx="518766" cy="2120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CA" sz="1000">
              <a:latin typeface="Arial" pitchFamily="34" charset="0"/>
              <a:cs typeface="Arial" pitchFamily="34" charset="0"/>
            </a:rPr>
            <a:t>5 min</a:t>
          </a:r>
          <a:endParaRPr lang="en-CA" sz="1000" baseline="-250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0.65309</cdr:x>
      <cdr:y>0.74682</cdr:y>
    </cdr:from>
    <cdr:to>
      <cdr:x>0.84221</cdr:x>
      <cdr:y>0.82412</cdr:y>
    </cdr:to>
    <cdr:sp macro="" textlink="">
      <cdr:nvSpPr>
        <cdr:cNvPr id="685622901" name="TextBox 1"/>
        <cdr:cNvSpPr txBox="1"/>
      </cdr:nvSpPr>
      <cdr:spPr>
        <a:xfrm xmlns:a="http://schemas.openxmlformats.org/drawingml/2006/main">
          <a:off x="1791551" y="2048688"/>
          <a:ext cx="518794" cy="2120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CA" sz="1000">
              <a:latin typeface="Arial" pitchFamily="34" charset="0"/>
              <a:cs typeface="Arial" pitchFamily="34" charset="0"/>
            </a:rPr>
            <a:t>5 min</a:t>
          </a:r>
          <a:endParaRPr lang="en-CA" sz="1000" baseline="-250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0.5659</cdr:x>
      <cdr:y>0.02706</cdr:y>
    </cdr:from>
    <cdr:to>
      <cdr:x>0.75501</cdr:x>
      <cdr:y>0.10436</cdr:y>
    </cdr:to>
    <cdr:sp macro="" textlink="">
      <cdr:nvSpPr>
        <cdr:cNvPr id="1515076255" name="TextBox 1"/>
        <cdr:cNvSpPr txBox="1"/>
      </cdr:nvSpPr>
      <cdr:spPr>
        <a:xfrm xmlns:a="http://schemas.openxmlformats.org/drawingml/2006/main">
          <a:off x="1552381" y="74231"/>
          <a:ext cx="518767" cy="2120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CA" sz="1000">
              <a:latin typeface="Arial" pitchFamily="34" charset="0"/>
              <a:cs typeface="Arial" pitchFamily="34" charset="0"/>
            </a:rPr>
            <a:t>5 min</a:t>
          </a:r>
          <a:endParaRPr lang="en-CA" sz="1000" baseline="-250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0.40414</cdr:x>
      <cdr:y>0.02505</cdr:y>
    </cdr:from>
    <cdr:to>
      <cdr:x>0.59325</cdr:x>
      <cdr:y>0.10235</cdr:y>
    </cdr:to>
    <cdr:sp macro="" textlink="">
      <cdr:nvSpPr>
        <cdr:cNvPr id="506715610" name="TextBox 1">
          <a:extLst xmlns:a="http://schemas.openxmlformats.org/drawingml/2006/main">
            <a:ext uri="{FF2B5EF4-FFF2-40B4-BE49-F238E27FC236}">
              <a16:creationId xmlns:a16="http://schemas.microsoft.com/office/drawing/2014/main" id="{C7B4B9F7-0B29-CFAA-CE92-3877D0249580}"/>
            </a:ext>
          </a:extLst>
        </cdr:cNvPr>
        <cdr:cNvSpPr txBox="1"/>
      </cdr:nvSpPr>
      <cdr:spPr>
        <a:xfrm xmlns:a="http://schemas.openxmlformats.org/drawingml/2006/main">
          <a:off x="1108635" y="68730"/>
          <a:ext cx="518766" cy="2120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CA" sz="1200" b="1">
              <a:latin typeface="Arial" pitchFamily="34" charset="0"/>
              <a:cs typeface="Arial" pitchFamily="34" charset="0"/>
            </a:rPr>
            <a:t>(a)</a:t>
          </a:r>
          <a:endParaRPr lang="en-CA" sz="1200" b="1" baseline="-25000">
            <a:latin typeface="Arial" pitchFamily="34" charset="0"/>
            <a:cs typeface="Arial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0.22894</cdr:x>
      <cdr:y>0.05725</cdr:y>
    </cdr:from>
    <cdr:to>
      <cdr:x>0.41806</cdr:x>
      <cdr:y>0.13455</cdr:y>
    </cdr:to>
    <cdr:sp macro="" textlink="">
      <cdr:nvSpPr>
        <cdr:cNvPr id="968335584" name="TextBox 1"/>
        <cdr:cNvSpPr txBox="1"/>
      </cdr:nvSpPr>
      <cdr:spPr>
        <a:xfrm xmlns:a="http://schemas.openxmlformats.org/drawingml/2006/main">
          <a:off x="628029" y="157047"/>
          <a:ext cx="518794" cy="212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CA" sz="1000">
              <a:latin typeface="Arial" pitchFamily="34" charset="0"/>
              <a:cs typeface="Arial" pitchFamily="34" charset="0"/>
            </a:rPr>
            <a:t>5 min</a:t>
          </a:r>
          <a:endParaRPr lang="en-CA" sz="1000" baseline="-250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0.4842</cdr:x>
      <cdr:y>0.0336</cdr:y>
    </cdr:from>
    <cdr:to>
      <cdr:x>0.67331</cdr:x>
      <cdr:y>0.1109</cdr:y>
    </cdr:to>
    <cdr:sp macro="" textlink="">
      <cdr:nvSpPr>
        <cdr:cNvPr id="1063422098" name="TextBox 1"/>
        <cdr:cNvSpPr txBox="1"/>
      </cdr:nvSpPr>
      <cdr:spPr>
        <a:xfrm xmlns:a="http://schemas.openxmlformats.org/drawingml/2006/main">
          <a:off x="1328259" y="92161"/>
          <a:ext cx="518766" cy="2120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CA" sz="1200" b="1">
              <a:latin typeface="Arial" pitchFamily="34" charset="0"/>
              <a:cs typeface="Arial" pitchFamily="34" charset="0"/>
            </a:rPr>
            <a:t>(b)</a:t>
          </a:r>
          <a:endParaRPr lang="en-CA" sz="1200" b="1" baseline="-250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0.6427</cdr:x>
      <cdr:y>0.3159</cdr:y>
    </cdr:from>
    <cdr:to>
      <cdr:x>0.83182</cdr:x>
      <cdr:y>0.3932</cdr:y>
    </cdr:to>
    <cdr:sp macro="" textlink="">
      <cdr:nvSpPr>
        <cdr:cNvPr id="1272530744" name="TextBox 1">
          <a:extLst xmlns:a="http://schemas.openxmlformats.org/drawingml/2006/main">
            <a:ext uri="{FF2B5EF4-FFF2-40B4-BE49-F238E27FC236}">
              <a16:creationId xmlns:a16="http://schemas.microsoft.com/office/drawing/2014/main" id="{024DB434-183C-4FA9-8B8E-18D40BF5CBFA}"/>
            </a:ext>
          </a:extLst>
        </cdr:cNvPr>
        <cdr:cNvSpPr txBox="1"/>
      </cdr:nvSpPr>
      <cdr:spPr>
        <a:xfrm xmlns:a="http://schemas.openxmlformats.org/drawingml/2006/main">
          <a:off x="1763059" y="866588"/>
          <a:ext cx="518794" cy="212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CA" sz="1000" i="1">
              <a:latin typeface="Arial" pitchFamily="34" charset="0"/>
              <a:cs typeface="Arial" pitchFamily="34" charset="0"/>
            </a:rPr>
            <a:t>T</a:t>
          </a:r>
          <a:r>
            <a:rPr lang="en-CA" sz="1000" baseline="-25000">
              <a:latin typeface="Arial" pitchFamily="34" charset="0"/>
              <a:cs typeface="Arial" pitchFamily="34" charset="0"/>
            </a:rPr>
            <a:t>c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0.70506</cdr:x>
      <cdr:y>0.37157</cdr:y>
    </cdr:from>
    <cdr:to>
      <cdr:x>0.78574</cdr:x>
      <cdr:y>0.65787</cdr:y>
    </cdr:to>
    <cdr:sp macro="" textlink="">
      <cdr:nvSpPr>
        <cdr:cNvPr id="2035641544" name="TextBox 1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rot="17052861">
          <a:off x="1652080" y="1301320"/>
          <a:ext cx="785378" cy="2213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square">
          <a:spAutoFit/>
        </a:bodyPr>
        <a:lstStyle xmlns:a="http://schemas.openxmlformats.org/drawingml/2006/main">
          <a:defPPr>
            <a:defRPr lang="en-US"/>
          </a:defPPr>
          <a:lvl1pPr algn="l" rtl="0" fontAlgn="base">
            <a:spcBef>
              <a:spcPct val="0"/>
            </a:spcBef>
            <a:spcAft>
              <a:spcPct val="0"/>
            </a:spcAft>
            <a:defRPr b="1" kern="1200">
              <a:solidFill>
                <a:srgbClr val="000000"/>
              </a:solidFill>
              <a:latin typeface="Arial" charset="0"/>
            </a:defRPr>
          </a:lvl1pPr>
          <a:lvl2pPr marL="455613" indent="1588" algn="l" rtl="0" fontAlgn="base">
            <a:spcBef>
              <a:spcPct val="0"/>
            </a:spcBef>
            <a:spcAft>
              <a:spcPct val="0"/>
            </a:spcAft>
            <a:defRPr b="1" kern="1200">
              <a:solidFill>
                <a:srgbClr val="000000"/>
              </a:solidFill>
              <a:latin typeface="Arial" charset="0"/>
            </a:defRPr>
          </a:lvl2pPr>
          <a:lvl3pPr marL="912813" indent="1588" algn="l" rtl="0" fontAlgn="base">
            <a:spcBef>
              <a:spcPct val="0"/>
            </a:spcBef>
            <a:spcAft>
              <a:spcPct val="0"/>
            </a:spcAft>
            <a:defRPr b="1" kern="1200">
              <a:solidFill>
                <a:srgbClr val="000000"/>
              </a:solidFill>
              <a:latin typeface="Arial" charset="0"/>
            </a:defRPr>
          </a:lvl3pPr>
          <a:lvl4pPr marL="1370013" indent="1588" algn="l" rtl="0" fontAlgn="base">
            <a:spcBef>
              <a:spcPct val="0"/>
            </a:spcBef>
            <a:spcAft>
              <a:spcPct val="0"/>
            </a:spcAft>
            <a:defRPr b="1" kern="1200">
              <a:solidFill>
                <a:srgbClr val="000000"/>
              </a:solidFill>
              <a:latin typeface="Arial" charset="0"/>
            </a:defRPr>
          </a:lvl4pPr>
          <a:lvl5pPr marL="1827213" indent="1588" algn="l" rtl="0" fontAlgn="base">
            <a:spcBef>
              <a:spcPct val="0"/>
            </a:spcBef>
            <a:spcAft>
              <a:spcPct val="0"/>
            </a:spcAft>
            <a:defRPr b="1" kern="1200">
              <a:solidFill>
                <a:srgbClr val="000000"/>
              </a:solidFill>
              <a:latin typeface="Arial" charset="0"/>
            </a:defRPr>
          </a:lvl5pPr>
          <a:lvl6pPr marL="2286000" algn="l" defTabSz="914400" rtl="0" eaLnBrk="1" latinLnBrk="0" hangingPunct="1">
            <a:defRPr b="1" kern="1200">
              <a:solidFill>
                <a:srgbClr val="000000"/>
              </a:solidFill>
              <a:latin typeface="Arial" charset="0"/>
            </a:defRPr>
          </a:lvl6pPr>
          <a:lvl7pPr marL="2743200" algn="l" defTabSz="914400" rtl="0" eaLnBrk="1" latinLnBrk="0" hangingPunct="1">
            <a:defRPr b="1" kern="1200">
              <a:solidFill>
                <a:srgbClr val="000000"/>
              </a:solidFill>
              <a:latin typeface="Arial" charset="0"/>
            </a:defRPr>
          </a:lvl7pPr>
          <a:lvl8pPr marL="3200400" algn="l" defTabSz="914400" rtl="0" eaLnBrk="1" latinLnBrk="0" hangingPunct="1">
            <a:defRPr b="1" kern="1200">
              <a:solidFill>
                <a:srgbClr val="000000"/>
              </a:solidFill>
              <a:latin typeface="Arial" charset="0"/>
            </a:defRPr>
          </a:lvl8pPr>
          <a:lvl9pPr marL="3657600" algn="l" defTabSz="914400" rtl="0" eaLnBrk="1" latinLnBrk="0" hangingPunct="1">
            <a:defRPr b="1" kern="1200">
              <a:solidFill>
                <a:srgbClr val="000000"/>
              </a:solidFill>
              <a:latin typeface="Arial" charset="0"/>
            </a:defRPr>
          </a:lvl9pPr>
        </a:lstStyle>
        <a:p xmlns:a="http://schemas.openxmlformats.org/drawingml/2006/main">
          <a:pPr algn="ctr" defTabSz="912813"/>
          <a:r>
            <a:rPr lang="fr-CA" altLang="en-US" b="0" i="1" dirty="0">
              <a:latin typeface="Times New Roman" pitchFamily="18" charset="0"/>
              <a:cs typeface="Times New Roman" pitchFamily="18" charset="0"/>
            </a:rPr>
            <a:t>T</a:t>
          </a:r>
          <a:r>
            <a:rPr lang="fr-CA" altLang="en-US" b="0" i="1" baseline="-25000" dirty="0">
              <a:latin typeface="Times New Roman" pitchFamily="18" charset="0"/>
              <a:cs typeface="Times New Roman" pitchFamily="18" charset="0"/>
            </a:rPr>
            <a:t>c</a:t>
          </a:r>
          <a:r>
            <a:rPr lang="fr-CA" altLang="en-US" b="0" i="1" dirty="0">
              <a:latin typeface="Times New Roman" pitchFamily="18" charset="0"/>
              <a:cs typeface="Times New Roman" pitchFamily="18" charset="0"/>
            </a:rPr>
            <a:t> = T</a:t>
          </a:r>
          <a:r>
            <a:rPr lang="fr-CA" altLang="en-US" b="0" i="1" baseline="-25000" dirty="0">
              <a:latin typeface="Times New Roman" pitchFamily="18" charset="0"/>
              <a:cs typeface="Times New Roman" pitchFamily="18" charset="0"/>
            </a:rPr>
            <a:t>m</a:t>
          </a:r>
          <a:endParaRPr lang="en-US" altLang="en-US" b="0" i="1" baseline="-25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382</Characters>
  <Application>Microsoft Office Word</Application>
  <DocSecurity>0</DocSecurity>
  <Lines>3</Lines>
  <Paragraphs>1</Paragraphs>
  <ScaleCrop>false</ScaleCrop>
  <Company>Springer Nature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2024-12-23T11:52:00Z</dcterms:created>
  <dcterms:modified xsi:type="dcterms:W3CDTF">2024-12-23T11:52:00Z</dcterms:modified>
</cp:coreProperties>
</file>