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F0A8C" w14:textId="648D21A9"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Appendix A: Model detail and parameters</w:t>
      </w:r>
    </w:p>
    <w:p w14:paraId="2A93D5EF" w14:textId="6BEBCA4B"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Overview</w:t>
      </w:r>
    </w:p>
    <w:p w14:paraId="29322604" w14:textId="590B41D3"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In this paper we use an agent-based model of disease transmission that is based on Pople et al [1] and Evans et al [2]. In the model, health care workers (HCWs) and patients interact and the disease spreads between them. This model is implemented in python using the underlying MESA package [3]. </w:t>
      </w:r>
    </w:p>
    <w:p w14:paraId="3C9A8CD1" w14:textId="32F4D49A"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We assume a hospital of 1008 beds [1,2] divided up into 42 wards each of which contains four bays with six beds. This is designed to fit an arbitrary medium sized UK hospital.</w:t>
      </w:r>
      <w:r w:rsidRPr="426EE3D5">
        <w:rPr>
          <w:rFonts w:ascii="Calibri" w:eastAsia="Calibri" w:hAnsi="Calibri" w:cs="Calibri"/>
          <w:b/>
          <w:bCs/>
          <w:color w:val="000000" w:themeColor="text1"/>
          <w:sz w:val="22"/>
          <w:szCs w:val="22"/>
          <w:u w:val="single"/>
          <w:lang w:val="en-GB"/>
        </w:rPr>
        <w:t xml:space="preserve"> </w:t>
      </w:r>
    </w:p>
    <w:p w14:paraId="7B2E53D7" w14:textId="1D6EC5F1"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Time is divided into 6 ticks per day and each timestep, </w:t>
      </w:r>
      <w:proofErr w:type="gramStart"/>
      <w:r w:rsidRPr="426EE3D5">
        <w:rPr>
          <w:rFonts w:ascii="Calibri" w:eastAsia="Calibri" w:hAnsi="Calibri" w:cs="Calibri"/>
          <w:color w:val="000000" w:themeColor="text1"/>
          <w:sz w:val="22"/>
          <w:szCs w:val="22"/>
          <w:lang w:val="en-GB"/>
        </w:rPr>
        <w:t>a number of</w:t>
      </w:r>
      <w:proofErr w:type="gramEnd"/>
      <w:r w:rsidRPr="426EE3D5">
        <w:rPr>
          <w:rFonts w:ascii="Calibri" w:eastAsia="Calibri" w:hAnsi="Calibri" w:cs="Calibri"/>
          <w:color w:val="000000" w:themeColor="text1"/>
          <w:sz w:val="22"/>
          <w:szCs w:val="22"/>
          <w:lang w:val="en-GB"/>
        </w:rPr>
        <w:t xml:space="preserve"> things:</w:t>
      </w:r>
    </w:p>
    <w:p w14:paraId="1918D9E3" w14:textId="31243534"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Any isolating HCWs will return to the system.</w:t>
      </w:r>
    </w:p>
    <w:p w14:paraId="5FC50445" w14:textId="001B2734"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Each agent will move. This includes staff starting/ finishing work, and patients being discharged.</w:t>
      </w:r>
    </w:p>
    <w:p w14:paraId="5332D8BD" w14:textId="25C777B5"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New patients will be admitted to hospital.</w:t>
      </w:r>
    </w:p>
    <w:p w14:paraId="4C97E1BD" w14:textId="117E9CF6"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The disease will spread.</w:t>
      </w:r>
    </w:p>
    <w:p w14:paraId="349402A2" w14:textId="58876CA9"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HCWs</w:t>
      </w:r>
    </w:p>
    <w:p w14:paraId="1772DF4F" w14:textId="78ED40C9"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We assume 8000 HCWs with non-specific assignments but an </w:t>
      </w:r>
      <w:r w:rsidR="008D20B0">
        <w:rPr>
          <w:rFonts w:ascii="Calibri" w:eastAsia="Calibri" w:hAnsi="Calibri" w:cs="Calibri"/>
          <w:color w:val="000000" w:themeColor="text1"/>
          <w:sz w:val="22"/>
          <w:szCs w:val="22"/>
          <w:lang w:val="en-GB"/>
        </w:rPr>
        <w:t>3</w:t>
      </w:r>
      <w:r w:rsidRPr="426EE3D5">
        <w:rPr>
          <w:rFonts w:ascii="Calibri" w:eastAsia="Calibri" w:hAnsi="Calibri" w:cs="Calibri"/>
          <w:color w:val="000000" w:themeColor="text1"/>
          <w:sz w:val="22"/>
          <w:szCs w:val="22"/>
          <w:lang w:val="en-GB"/>
        </w:rPr>
        <w:t>0% chance of being ward based. HCWs work a 12 hour on/ off pattern, 7 days a week. We do not account for weekends or holidays for staff.</w:t>
      </w:r>
    </w:p>
    <w:p w14:paraId="45B7120A" w14:textId="6AA333F4"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Patients</w:t>
      </w:r>
    </w:p>
    <w:p w14:paraId="01DFFF8D" w14:textId="0D53F619"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New patient cases are admitted each timestep as a Poisson process with a rate of 120 per day to fit with rough estimates from a UK hospital. </w:t>
      </w:r>
      <w:r w:rsidR="00693EC0">
        <w:rPr>
          <w:rFonts w:ascii="Calibri" w:eastAsia="Calibri" w:hAnsi="Calibri" w:cs="Calibri"/>
          <w:color w:val="000000" w:themeColor="text1"/>
          <w:sz w:val="22"/>
          <w:szCs w:val="22"/>
          <w:lang w:val="en-GB"/>
        </w:rPr>
        <w:t>They are allocated a bed randomly</w:t>
      </w:r>
      <w:r w:rsidR="00212B54">
        <w:rPr>
          <w:rFonts w:ascii="Calibri" w:eastAsia="Calibri" w:hAnsi="Calibri" w:cs="Calibri"/>
          <w:color w:val="000000" w:themeColor="text1"/>
          <w:sz w:val="22"/>
          <w:szCs w:val="22"/>
          <w:lang w:val="en-GB"/>
        </w:rPr>
        <w:t xml:space="preserve"> from any that are free.</w:t>
      </w:r>
    </w:p>
    <w:p w14:paraId="4FE8A990" w14:textId="4970BC56"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New patient agents are created as they join the hospital. They are given parameters for age, </w:t>
      </w:r>
      <w:proofErr w:type="gramStart"/>
      <w:r w:rsidRPr="426EE3D5">
        <w:rPr>
          <w:rFonts w:ascii="Calibri" w:eastAsia="Calibri" w:hAnsi="Calibri" w:cs="Calibri"/>
          <w:color w:val="000000" w:themeColor="text1"/>
          <w:sz w:val="22"/>
          <w:szCs w:val="22"/>
          <w:lang w:val="en-GB"/>
        </w:rPr>
        <w:t>sex</w:t>
      </w:r>
      <w:proofErr w:type="gramEnd"/>
      <w:r w:rsidRPr="426EE3D5">
        <w:rPr>
          <w:rFonts w:ascii="Calibri" w:eastAsia="Calibri" w:hAnsi="Calibri" w:cs="Calibri"/>
          <w:color w:val="000000" w:themeColor="text1"/>
          <w:sz w:val="22"/>
          <w:szCs w:val="22"/>
          <w:lang w:val="en-GB"/>
        </w:rPr>
        <w:t xml:space="preserve"> and length of stay. Age is taken from a lognormal distribution with shape 5 and rate 70, as per Evans et al [2]. Sex is randomly assigned with 50% probability. Length of stay is assigned according to their age and gender as a lognormal function with parameters as in Table A1. </w:t>
      </w:r>
    </w:p>
    <w:p w14:paraId="3CE15BA1" w14:textId="3394448F"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To estimate this length of stay, data for all hospitalisations in 2019 was taken from HES APC as an example of the last year unaffected by covid. We group records hospital episodes into spells </w:t>
      </w:r>
      <w:proofErr w:type="gramStart"/>
      <w:r w:rsidRPr="426EE3D5">
        <w:rPr>
          <w:rFonts w:ascii="Calibri" w:eastAsia="Calibri" w:hAnsi="Calibri" w:cs="Calibri"/>
          <w:color w:val="000000" w:themeColor="text1"/>
          <w:sz w:val="22"/>
          <w:szCs w:val="22"/>
          <w:lang w:val="en-GB"/>
        </w:rPr>
        <w:t>in order to</w:t>
      </w:r>
      <w:proofErr w:type="gramEnd"/>
      <w:r w:rsidRPr="426EE3D5">
        <w:rPr>
          <w:rFonts w:ascii="Calibri" w:eastAsia="Calibri" w:hAnsi="Calibri" w:cs="Calibri"/>
          <w:color w:val="000000" w:themeColor="text1"/>
          <w:sz w:val="22"/>
          <w:szCs w:val="22"/>
          <w:lang w:val="en-GB"/>
        </w:rPr>
        <w:t xml:space="preserve"> estimate total length of stay. Any spell with a LOS of 0 is excluded. Various GLM models were fit to this data including gamma, lognormal and Poisson. A lognormal was chosen as the model with the lowest AIC.</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483"/>
        <w:gridCol w:w="2483"/>
      </w:tblGrid>
      <w:tr w:rsidR="426EE3D5" w14:paraId="77F8113D" w14:textId="77777777" w:rsidTr="426EE3D5">
        <w:trPr>
          <w:trHeight w:val="270"/>
        </w:trPr>
        <w:tc>
          <w:tcPr>
            <w:tcW w:w="4966" w:type="dxa"/>
            <w:gridSpan w:val="2"/>
            <w:tcBorders>
              <w:top w:val="nil"/>
              <w:left w:val="nil"/>
              <w:right w:val="nil"/>
            </w:tcBorders>
            <w:tcMar>
              <w:left w:w="105" w:type="dxa"/>
              <w:right w:w="105" w:type="dxa"/>
            </w:tcMar>
          </w:tcPr>
          <w:p w14:paraId="09B7504C" w14:textId="358145B3" w:rsidR="426EE3D5" w:rsidRDefault="426EE3D5" w:rsidP="426EE3D5">
            <w:pPr>
              <w:rPr>
                <w:rFonts w:ascii="Calibri" w:eastAsia="Calibri" w:hAnsi="Calibri" w:cs="Calibri"/>
                <w:sz w:val="22"/>
                <w:szCs w:val="22"/>
              </w:rPr>
            </w:pPr>
            <w:r w:rsidRPr="426EE3D5">
              <w:rPr>
                <w:rFonts w:ascii="Calibri" w:eastAsia="Calibri" w:hAnsi="Calibri" w:cs="Calibri"/>
                <w:i/>
                <w:iCs/>
                <w:sz w:val="22"/>
                <w:szCs w:val="22"/>
                <w:lang w:val="en-GB"/>
              </w:rPr>
              <w:t>Table A1: Parameter values for length of stay lognormal distribution.</w:t>
            </w:r>
          </w:p>
        </w:tc>
      </w:tr>
      <w:tr w:rsidR="426EE3D5" w14:paraId="2657A9C5" w14:textId="77777777" w:rsidTr="00396629">
        <w:trPr>
          <w:trHeight w:val="270"/>
        </w:trPr>
        <w:tc>
          <w:tcPr>
            <w:tcW w:w="2483" w:type="dxa"/>
            <w:tcBorders>
              <w:top w:val="single" w:sz="4" w:space="0" w:color="000000" w:themeColor="text1"/>
              <w:left w:val="single" w:sz="4" w:space="0" w:color="auto"/>
              <w:bottom w:val="single" w:sz="4" w:space="0" w:color="000000" w:themeColor="text1"/>
            </w:tcBorders>
            <w:tcMar>
              <w:left w:w="105" w:type="dxa"/>
              <w:right w:w="105" w:type="dxa"/>
            </w:tcMar>
          </w:tcPr>
          <w:p w14:paraId="3692F459" w14:textId="40309D98"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lang w:val="en-GB"/>
              </w:rPr>
              <w:t>Definition</w:t>
            </w:r>
          </w:p>
        </w:tc>
        <w:tc>
          <w:tcPr>
            <w:tcW w:w="2483" w:type="dxa"/>
            <w:tcMar>
              <w:left w:w="105" w:type="dxa"/>
              <w:right w:w="105" w:type="dxa"/>
            </w:tcMar>
          </w:tcPr>
          <w:p w14:paraId="0761E0B5" w14:textId="506BAA47"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lang w:val="en-GB"/>
              </w:rPr>
              <w:t>Value</w:t>
            </w:r>
          </w:p>
        </w:tc>
      </w:tr>
      <w:tr w:rsidR="426EE3D5" w14:paraId="6EAD587E" w14:textId="77777777" w:rsidTr="00396629">
        <w:trPr>
          <w:trHeight w:val="270"/>
        </w:trPr>
        <w:tc>
          <w:tcPr>
            <w:tcW w:w="2483" w:type="dxa"/>
            <w:tcBorders>
              <w:top w:val="single" w:sz="4" w:space="0" w:color="000000" w:themeColor="text1"/>
            </w:tcBorders>
            <w:tcMar>
              <w:left w:w="105" w:type="dxa"/>
              <w:right w:w="105" w:type="dxa"/>
            </w:tcMar>
          </w:tcPr>
          <w:p w14:paraId="7CFA9E3A" w14:textId="3288B6CC" w:rsidR="426EE3D5" w:rsidRDefault="426EE3D5" w:rsidP="426EE3D5">
            <w:pPr>
              <w:rPr>
                <w:rFonts w:ascii="Calibri" w:eastAsia="Calibri" w:hAnsi="Calibri" w:cs="Calibri"/>
                <w:sz w:val="22"/>
                <w:szCs w:val="22"/>
              </w:rPr>
            </w:pPr>
            <w:r w:rsidRPr="426EE3D5">
              <w:rPr>
                <w:rFonts w:ascii="Calibri" w:eastAsia="Calibri" w:hAnsi="Calibri" w:cs="Calibri"/>
                <w:sz w:val="22"/>
                <w:szCs w:val="22"/>
                <w:lang w:val="en-GB"/>
              </w:rPr>
              <w:t>Shape function</w:t>
            </w:r>
          </w:p>
        </w:tc>
        <w:tc>
          <w:tcPr>
            <w:tcW w:w="2483" w:type="dxa"/>
            <w:tcMar>
              <w:left w:w="105" w:type="dxa"/>
              <w:right w:w="105" w:type="dxa"/>
            </w:tcMar>
          </w:tcPr>
          <w:p w14:paraId="12D7E39B" w14:textId="7C20663A" w:rsidR="426EE3D5" w:rsidRDefault="426EE3D5" w:rsidP="426EE3D5">
            <w:pPr>
              <w:rPr>
                <w:rFonts w:ascii="Calibri" w:eastAsia="Calibri" w:hAnsi="Calibri" w:cs="Calibri"/>
                <w:sz w:val="22"/>
                <w:szCs w:val="22"/>
              </w:rPr>
            </w:pPr>
            <w:r w:rsidRPr="426EE3D5">
              <w:rPr>
                <w:rFonts w:ascii="Calibri" w:eastAsia="Calibri" w:hAnsi="Calibri" w:cs="Calibri"/>
                <w:sz w:val="22"/>
                <w:szCs w:val="22"/>
                <w:lang w:val="en-GB"/>
              </w:rPr>
              <w:t>0.887</w:t>
            </w:r>
          </w:p>
        </w:tc>
      </w:tr>
      <w:tr w:rsidR="426EE3D5" w14:paraId="3566FFFB" w14:textId="77777777" w:rsidTr="426EE3D5">
        <w:trPr>
          <w:trHeight w:val="270"/>
        </w:trPr>
        <w:tc>
          <w:tcPr>
            <w:tcW w:w="2483" w:type="dxa"/>
            <w:tcMar>
              <w:left w:w="105" w:type="dxa"/>
              <w:right w:w="105" w:type="dxa"/>
            </w:tcMar>
          </w:tcPr>
          <w:p w14:paraId="4DF51DE7" w14:textId="47AAEF28" w:rsidR="426EE3D5" w:rsidRDefault="426EE3D5" w:rsidP="426EE3D5">
            <w:pPr>
              <w:rPr>
                <w:rFonts w:ascii="Calibri" w:eastAsia="Calibri" w:hAnsi="Calibri" w:cs="Calibri"/>
                <w:sz w:val="22"/>
                <w:szCs w:val="22"/>
              </w:rPr>
            </w:pPr>
            <w:r w:rsidRPr="426EE3D5">
              <w:rPr>
                <w:rFonts w:ascii="Calibri" w:eastAsia="Calibri" w:hAnsi="Calibri" w:cs="Calibri"/>
                <w:sz w:val="22"/>
                <w:szCs w:val="22"/>
                <w:lang w:val="en-GB"/>
              </w:rPr>
              <w:t>Rate</w:t>
            </w:r>
          </w:p>
        </w:tc>
        <w:tc>
          <w:tcPr>
            <w:tcW w:w="2483" w:type="dxa"/>
            <w:tcMar>
              <w:left w:w="105" w:type="dxa"/>
              <w:right w:w="105" w:type="dxa"/>
            </w:tcMar>
          </w:tcPr>
          <w:p w14:paraId="70AC2216" w14:textId="20E281C1" w:rsidR="426EE3D5" w:rsidRDefault="426EE3D5" w:rsidP="426EE3D5">
            <w:pPr>
              <w:rPr>
                <w:rFonts w:ascii="Calibri" w:eastAsia="Calibri" w:hAnsi="Calibri" w:cs="Calibri"/>
                <w:sz w:val="22"/>
                <w:szCs w:val="22"/>
              </w:rPr>
            </w:pPr>
            <w:r w:rsidRPr="426EE3D5">
              <w:rPr>
                <w:rFonts w:ascii="Calibri" w:eastAsia="Calibri" w:hAnsi="Calibri" w:cs="Calibri"/>
                <w:sz w:val="22"/>
                <w:szCs w:val="22"/>
                <w:lang w:val="en-GB"/>
              </w:rPr>
              <w:t>0.259</w:t>
            </w:r>
          </w:p>
        </w:tc>
      </w:tr>
      <w:tr w:rsidR="426EE3D5" w14:paraId="19E42C85" w14:textId="77777777" w:rsidTr="426EE3D5">
        <w:trPr>
          <w:trHeight w:val="270"/>
        </w:trPr>
        <w:tc>
          <w:tcPr>
            <w:tcW w:w="2483" w:type="dxa"/>
            <w:tcMar>
              <w:left w:w="105" w:type="dxa"/>
              <w:right w:w="105" w:type="dxa"/>
            </w:tcMar>
          </w:tcPr>
          <w:p w14:paraId="3C23F923" w14:textId="6BCF4836" w:rsidR="426EE3D5" w:rsidRDefault="426EE3D5" w:rsidP="426EE3D5">
            <w:pPr>
              <w:rPr>
                <w:rFonts w:ascii="Calibri" w:eastAsia="Calibri" w:hAnsi="Calibri" w:cs="Calibri"/>
                <w:sz w:val="22"/>
                <w:szCs w:val="22"/>
              </w:rPr>
            </w:pPr>
            <w:proofErr w:type="spellStart"/>
            <w:r w:rsidRPr="426EE3D5">
              <w:rPr>
                <w:rFonts w:ascii="Calibri" w:eastAsia="Calibri" w:hAnsi="Calibri" w:cs="Calibri"/>
                <w:sz w:val="22"/>
                <w:szCs w:val="22"/>
                <w:lang w:val="en-GB"/>
              </w:rPr>
              <w:t>Coeffcient</w:t>
            </w:r>
            <w:proofErr w:type="spellEnd"/>
            <w:r w:rsidRPr="426EE3D5">
              <w:rPr>
                <w:rFonts w:ascii="Calibri" w:eastAsia="Calibri" w:hAnsi="Calibri" w:cs="Calibri"/>
                <w:sz w:val="22"/>
                <w:szCs w:val="22"/>
                <w:lang w:val="en-GB"/>
              </w:rPr>
              <w:t xml:space="preserve"> of age</w:t>
            </w:r>
          </w:p>
        </w:tc>
        <w:tc>
          <w:tcPr>
            <w:tcW w:w="2483" w:type="dxa"/>
            <w:tcMar>
              <w:left w:w="105" w:type="dxa"/>
              <w:right w:w="105" w:type="dxa"/>
            </w:tcMar>
          </w:tcPr>
          <w:p w14:paraId="7BEA44D6" w14:textId="554E8982" w:rsidR="426EE3D5" w:rsidRDefault="426EE3D5" w:rsidP="426EE3D5">
            <w:pPr>
              <w:rPr>
                <w:rFonts w:ascii="Calibri" w:eastAsia="Calibri" w:hAnsi="Calibri" w:cs="Calibri"/>
                <w:sz w:val="22"/>
                <w:szCs w:val="22"/>
              </w:rPr>
            </w:pPr>
            <w:r w:rsidRPr="426EE3D5">
              <w:rPr>
                <w:rFonts w:ascii="Calibri" w:eastAsia="Calibri" w:hAnsi="Calibri" w:cs="Calibri"/>
                <w:sz w:val="22"/>
                <w:szCs w:val="22"/>
                <w:lang w:val="en-GB"/>
              </w:rPr>
              <w:t>-0.0129</w:t>
            </w:r>
          </w:p>
        </w:tc>
      </w:tr>
      <w:tr w:rsidR="426EE3D5" w14:paraId="1052427A" w14:textId="77777777" w:rsidTr="426EE3D5">
        <w:trPr>
          <w:trHeight w:val="270"/>
        </w:trPr>
        <w:tc>
          <w:tcPr>
            <w:tcW w:w="2483" w:type="dxa"/>
            <w:tcMar>
              <w:left w:w="105" w:type="dxa"/>
              <w:right w:w="105" w:type="dxa"/>
            </w:tcMar>
          </w:tcPr>
          <w:p w14:paraId="6092179D" w14:textId="15EBF766" w:rsidR="426EE3D5" w:rsidRDefault="426EE3D5" w:rsidP="426EE3D5">
            <w:pPr>
              <w:rPr>
                <w:rFonts w:ascii="Calibri" w:eastAsia="Calibri" w:hAnsi="Calibri" w:cs="Calibri"/>
                <w:sz w:val="22"/>
                <w:szCs w:val="22"/>
              </w:rPr>
            </w:pPr>
            <w:proofErr w:type="spellStart"/>
            <w:r w:rsidRPr="426EE3D5">
              <w:rPr>
                <w:rFonts w:ascii="Calibri" w:eastAsia="Calibri" w:hAnsi="Calibri" w:cs="Calibri"/>
                <w:sz w:val="22"/>
                <w:szCs w:val="22"/>
                <w:lang w:val="en-GB"/>
              </w:rPr>
              <w:t>Coeffcient</w:t>
            </w:r>
            <w:proofErr w:type="spellEnd"/>
            <w:r w:rsidRPr="426EE3D5">
              <w:rPr>
                <w:rFonts w:ascii="Calibri" w:eastAsia="Calibri" w:hAnsi="Calibri" w:cs="Calibri"/>
                <w:sz w:val="22"/>
                <w:szCs w:val="22"/>
                <w:lang w:val="en-GB"/>
              </w:rPr>
              <w:t xml:space="preserve"> of sex</w:t>
            </w:r>
          </w:p>
        </w:tc>
        <w:tc>
          <w:tcPr>
            <w:tcW w:w="2483" w:type="dxa"/>
            <w:tcMar>
              <w:left w:w="105" w:type="dxa"/>
              <w:right w:w="105" w:type="dxa"/>
            </w:tcMar>
          </w:tcPr>
          <w:p w14:paraId="5CA74CA4" w14:textId="21F8911D" w:rsidR="426EE3D5" w:rsidRDefault="426EE3D5" w:rsidP="426EE3D5">
            <w:pPr>
              <w:rPr>
                <w:rFonts w:ascii="Calibri" w:eastAsia="Calibri" w:hAnsi="Calibri" w:cs="Calibri"/>
                <w:sz w:val="22"/>
                <w:szCs w:val="22"/>
              </w:rPr>
            </w:pPr>
            <w:r w:rsidRPr="426EE3D5">
              <w:rPr>
                <w:rFonts w:ascii="Calibri" w:eastAsia="Calibri" w:hAnsi="Calibri" w:cs="Calibri"/>
                <w:sz w:val="22"/>
                <w:szCs w:val="22"/>
                <w:lang w:val="en-GB"/>
              </w:rPr>
              <w:t>0.0512</w:t>
            </w:r>
          </w:p>
        </w:tc>
      </w:tr>
    </w:tbl>
    <w:p w14:paraId="477EC910" w14:textId="7AD90C17" w:rsidR="426EE3D5" w:rsidRDefault="426EE3D5" w:rsidP="426EE3D5">
      <w:pPr>
        <w:rPr>
          <w:rFonts w:ascii="Calibri" w:eastAsia="Calibri" w:hAnsi="Calibri" w:cs="Calibri"/>
          <w:color w:val="000000" w:themeColor="text1"/>
          <w:sz w:val="22"/>
          <w:szCs w:val="22"/>
        </w:rPr>
      </w:pPr>
    </w:p>
    <w:p w14:paraId="4B602A8B" w14:textId="2A44EA29" w:rsidR="426EE3D5" w:rsidRDefault="426EE3D5" w:rsidP="426EE3D5">
      <w:pPr>
        <w:rPr>
          <w:rFonts w:ascii="Calibri" w:eastAsia="Calibri" w:hAnsi="Calibri" w:cs="Calibri"/>
          <w:color w:val="000000" w:themeColor="text1"/>
          <w:sz w:val="22"/>
          <w:szCs w:val="22"/>
        </w:rPr>
      </w:pPr>
    </w:p>
    <w:p w14:paraId="206D7F0A" w14:textId="2C9DA0F7"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Disease</w:t>
      </w:r>
    </w:p>
    <w:p w14:paraId="0E0F8ED4" w14:textId="2DA8D661"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The model is parametrised for COVID-19, but the </w:t>
      </w:r>
      <w:proofErr w:type="spellStart"/>
      <w:r w:rsidRPr="426EE3D5">
        <w:rPr>
          <w:rFonts w:ascii="Calibri" w:eastAsia="Calibri" w:hAnsi="Calibri" w:cs="Calibri"/>
          <w:color w:val="000000" w:themeColor="text1"/>
          <w:sz w:val="22"/>
          <w:szCs w:val="22"/>
          <w:lang w:val="en-GB"/>
        </w:rPr>
        <w:t>set up</w:t>
      </w:r>
      <w:proofErr w:type="spellEnd"/>
      <w:r w:rsidRPr="426EE3D5">
        <w:rPr>
          <w:rFonts w:ascii="Calibri" w:eastAsia="Calibri" w:hAnsi="Calibri" w:cs="Calibri"/>
          <w:color w:val="000000" w:themeColor="text1"/>
          <w:sz w:val="22"/>
          <w:szCs w:val="22"/>
          <w:lang w:val="en-GB"/>
        </w:rPr>
        <w:t xml:space="preserve"> is applicable to any respiratory disease, and designed to be adaptable should the model which to be modified.</w:t>
      </w:r>
    </w:p>
    <w:p w14:paraId="7341C2FB" w14:textId="56058A4D" w:rsidR="26FB5932" w:rsidRPr="009801C2" w:rsidRDefault="26FB5932" w:rsidP="009801C2">
      <w:pPr>
        <w:shd w:val="clear" w:color="auto" w:fill="FFFFFF" w:themeFill="background1"/>
        <w:rPr>
          <w:rFonts w:ascii="Calibri" w:eastAsia="Calibri" w:hAnsi="Calibri" w:cs="Calibri"/>
          <w:color w:val="000000" w:themeColor="text1"/>
          <w:sz w:val="22"/>
          <w:szCs w:val="22"/>
          <w:lang w:val="en-GB"/>
        </w:rPr>
      </w:pPr>
      <w:r w:rsidRPr="426EE3D5">
        <w:rPr>
          <w:rFonts w:ascii="Calibri" w:eastAsia="Calibri" w:hAnsi="Calibri" w:cs="Calibri"/>
          <w:color w:val="000000" w:themeColor="text1"/>
          <w:sz w:val="22"/>
          <w:szCs w:val="22"/>
          <w:lang w:val="en-GB"/>
        </w:rPr>
        <w:t>The disease follows an E-I-R-S trajectory. E to I is a lognormal distribution with mean 1.6112 and standard deviation 0.47238 from Bayes et al [4]. I to R is given by</w:t>
      </w:r>
      <w:r w:rsidR="009801C2">
        <w:rPr>
          <w:rFonts w:ascii="Calibri" w:eastAsia="Calibri" w:hAnsi="Calibri" w:cs="Calibri"/>
          <w:color w:val="000000" w:themeColor="text1"/>
          <w:sz w:val="22"/>
          <w:szCs w:val="22"/>
          <w:lang w:val="en-GB"/>
        </w:rPr>
        <w:t xml:space="preserve"> </w:t>
      </w:r>
      <m:oMath>
        <m:r>
          <w:rPr>
            <w:rFonts w:ascii="Cambria Math" w:hAnsi="Cambria Math"/>
          </w:rPr>
          <m:t>2+</m:t>
        </m:r>
        <m:r>
          <m:rPr>
            <m:sty m:val="p"/>
          </m:rPr>
          <w:rPr>
            <w:rFonts w:ascii="Cambria Math" w:hAnsi="Cambria Math"/>
          </w:rPr>
          <m:t>Γ</m:t>
        </m:r>
        <m:r>
          <w:rPr>
            <w:rFonts w:ascii="Cambria Math" w:hAnsi="Cambria Math"/>
          </w:rPr>
          <m:t>(2,2.1)</m:t>
        </m:r>
      </m:oMath>
      <w:r w:rsidR="009801C2">
        <w:rPr>
          <w:rFonts w:ascii="Calibri" w:eastAsia="Calibri" w:hAnsi="Calibri" w:cs="Calibri"/>
          <w:color w:val="000000" w:themeColor="text1"/>
          <w:sz w:val="22"/>
          <w:szCs w:val="22"/>
          <w:lang w:val="en-GB"/>
        </w:rPr>
        <w:t xml:space="preserve"> </w:t>
      </w:r>
      <w:r w:rsidRPr="426EE3D5">
        <w:rPr>
          <w:rFonts w:ascii="Calibri" w:eastAsia="Calibri" w:hAnsi="Calibri" w:cs="Calibri"/>
          <w:color w:val="000000" w:themeColor="text1"/>
          <w:sz w:val="22"/>
          <w:szCs w:val="22"/>
          <w:lang w:val="en-GB"/>
        </w:rPr>
        <w:t xml:space="preserve">to fit with </w:t>
      </w:r>
      <w:proofErr w:type="spellStart"/>
      <w:r w:rsidRPr="426EE3D5">
        <w:rPr>
          <w:rFonts w:ascii="Calibri" w:eastAsia="Calibri" w:hAnsi="Calibri" w:cs="Calibri"/>
          <w:color w:val="000000" w:themeColor="text1"/>
          <w:sz w:val="22"/>
          <w:szCs w:val="22"/>
          <w:lang w:val="en-GB"/>
        </w:rPr>
        <w:t>Quilty</w:t>
      </w:r>
      <w:proofErr w:type="spellEnd"/>
      <w:r w:rsidRPr="426EE3D5">
        <w:rPr>
          <w:rFonts w:ascii="Calibri" w:eastAsia="Calibri" w:hAnsi="Calibri" w:cs="Calibri"/>
          <w:color w:val="000000" w:themeColor="text1"/>
          <w:sz w:val="22"/>
          <w:szCs w:val="22"/>
          <w:lang w:val="en-GB"/>
        </w:rPr>
        <w:t xml:space="preserve"> et al [5]. The R-S trajectory is given by </w:t>
      </w:r>
      <w:proofErr w:type="gramStart"/>
      <w:r w:rsidRPr="426EE3D5">
        <w:rPr>
          <w:rFonts w:ascii="Calibri" w:eastAsia="Calibri" w:hAnsi="Calibri" w:cs="Calibri"/>
          <w:color w:val="000000" w:themeColor="text1"/>
          <w:sz w:val="22"/>
          <w:szCs w:val="22"/>
          <w:lang w:val="en-GB"/>
        </w:rPr>
        <w:t>N(</w:t>
      </w:r>
      <w:proofErr w:type="gramEnd"/>
      <w:r w:rsidRPr="426EE3D5">
        <w:rPr>
          <w:rFonts w:ascii="Calibri" w:eastAsia="Calibri" w:hAnsi="Calibri" w:cs="Calibri"/>
          <w:color w:val="000000" w:themeColor="text1"/>
          <w:sz w:val="22"/>
          <w:szCs w:val="22"/>
          <w:lang w:val="en-GB"/>
        </w:rPr>
        <w:t>100,10) as this fits with [6-8]</w:t>
      </w:r>
      <w:r w:rsidR="009801C2">
        <w:rPr>
          <w:rFonts w:ascii="Calibri" w:eastAsia="Calibri" w:hAnsi="Calibri" w:cs="Calibri"/>
          <w:color w:val="000000" w:themeColor="text1"/>
          <w:sz w:val="22"/>
          <w:szCs w:val="22"/>
          <w:lang w:val="en-GB"/>
        </w:rPr>
        <w:t>.</w:t>
      </w:r>
    </w:p>
    <w:p w14:paraId="1D11070D" w14:textId="005338B5" w:rsidR="26FB5932" w:rsidRDefault="26FB5932" w:rsidP="426EE3D5">
      <w:pPr>
        <w:rPr>
          <w:rFonts w:ascii="Calibri" w:eastAsia="Calibri" w:hAnsi="Calibri" w:cs="Calibri"/>
          <w:color w:val="000000" w:themeColor="text1"/>
          <w:sz w:val="22"/>
          <w:szCs w:val="22"/>
          <w:lang w:val="en-GB"/>
        </w:rPr>
      </w:pPr>
      <w:r w:rsidRPr="426EE3D5">
        <w:rPr>
          <w:rFonts w:ascii="Calibri" w:eastAsia="Calibri" w:hAnsi="Calibri" w:cs="Calibri"/>
          <w:color w:val="000000" w:themeColor="text1"/>
          <w:sz w:val="22"/>
          <w:szCs w:val="22"/>
          <w:lang w:val="en-GB"/>
        </w:rPr>
        <w:t>When someone returns to susceptible, they are still protected somewhat by previous infections, as they are from vaccination. Protection is assumed to be 10%. This protection is the reduction in the probability of infection.</w:t>
      </w:r>
    </w:p>
    <w:p w14:paraId="3E8E8258" w14:textId="60F4294A" w:rsidR="426EE3D5" w:rsidRDefault="009801C2" w:rsidP="009801C2">
      <w:pPr>
        <w:rPr>
          <w:rFonts w:ascii="Calibri" w:eastAsia="Calibri" w:hAnsi="Calibri" w:cs="Calibri"/>
          <w:color w:val="000000" w:themeColor="text1"/>
          <w:sz w:val="22"/>
          <w:szCs w:val="22"/>
        </w:rPr>
      </w:pPr>
      <m:oMathPara>
        <m:oMath>
          <m:r>
            <w:rPr>
              <w:rFonts w:ascii="Cambria Math" w:eastAsia="Calibri" w:hAnsi="Cambria Math" w:cs="Calibri"/>
              <w:color w:val="000000" w:themeColor="text1"/>
              <w:sz w:val="22"/>
              <w:szCs w:val="22"/>
            </w:rPr>
            <m:t>P</m:t>
          </m:r>
          <m:d>
            <m:dPr>
              <m:ctrlPr>
                <w:rPr>
                  <w:rFonts w:ascii="Cambria Math" w:eastAsia="Calibri" w:hAnsi="Cambria Math" w:cs="Calibri"/>
                  <w:i/>
                  <w:color w:val="000000" w:themeColor="text1"/>
                  <w:sz w:val="22"/>
                  <w:szCs w:val="22"/>
                </w:rPr>
              </m:ctrlPr>
            </m:dPr>
            <m:e>
              <m:r>
                <m:rPr>
                  <m:sty m:val="p"/>
                </m:rPr>
                <w:rPr>
                  <w:rFonts w:ascii="Cambria Math" w:eastAsia="Calibri" w:hAnsi="Cambria Math" w:cs="Calibri"/>
                  <w:color w:val="000000" w:themeColor="text1"/>
                  <w:sz w:val="22"/>
                  <w:szCs w:val="22"/>
                </w:rPr>
                <m:t>will be infected</m:t>
              </m:r>
            </m:e>
          </m:d>
          <m:r>
            <w:rPr>
              <w:rFonts w:ascii="Cambria Math" w:eastAsia="Calibri" w:hAnsi="Cambria Math" w:cs="Calibri"/>
              <w:color w:val="000000" w:themeColor="text1"/>
              <w:sz w:val="22"/>
              <w:szCs w:val="22"/>
            </w:rPr>
            <m:t>=p</m:t>
          </m:r>
          <m:d>
            <m:dPr>
              <m:ctrlPr>
                <w:rPr>
                  <w:rFonts w:ascii="Cambria Math" w:eastAsia="Calibri" w:hAnsi="Cambria Math" w:cs="Calibri"/>
                  <w:i/>
                  <w:color w:val="000000" w:themeColor="text1"/>
                  <w:sz w:val="22"/>
                  <w:szCs w:val="22"/>
                </w:rPr>
              </m:ctrlPr>
            </m:dPr>
            <m:e>
              <m:r>
                <m:rPr>
                  <m:sty m:val="p"/>
                </m:rPr>
                <w:rPr>
                  <w:rFonts w:ascii="Cambria Math" w:eastAsia="Calibri" w:hAnsi="Cambria Math" w:cs="Calibri"/>
                  <w:color w:val="000000" w:themeColor="text1"/>
                  <w:sz w:val="22"/>
                  <w:szCs w:val="22"/>
                </w:rPr>
                <m:t>would be infected</m:t>
              </m:r>
            </m:e>
          </m:d>
          <m:r>
            <w:rPr>
              <w:rFonts w:ascii="Cambria Math" w:eastAsia="Calibri" w:hAnsi="Cambria Math" w:cs="Calibri"/>
              <w:color w:val="000000" w:themeColor="text1"/>
              <w:sz w:val="22"/>
              <w:szCs w:val="22"/>
            </w:rPr>
            <m:t>⋅(1-</m:t>
          </m:r>
          <m:r>
            <m:rPr>
              <m:sty m:val="p"/>
            </m:rPr>
            <w:rPr>
              <w:rFonts w:ascii="Cambria Math" w:eastAsia="Calibri" w:hAnsi="Cambria Math" w:cs="Calibri"/>
              <w:color w:val="000000" w:themeColor="text1"/>
              <w:sz w:val="22"/>
              <w:szCs w:val="22"/>
            </w:rPr>
            <m:t>protection</m:t>
          </m:r>
          <m:r>
            <w:rPr>
              <w:rFonts w:ascii="Cambria Math" w:eastAsia="Calibri" w:hAnsi="Cambria Math" w:cs="Calibri"/>
              <w:color w:val="000000" w:themeColor="text1"/>
              <w:sz w:val="22"/>
              <w:szCs w:val="22"/>
            </w:rPr>
            <m:t>)</m:t>
          </m:r>
        </m:oMath>
      </m:oMathPara>
    </w:p>
    <w:p w14:paraId="3BE0806F" w14:textId="09EA6EDA" w:rsidR="26FB5932" w:rsidRDefault="26FB5932" w:rsidP="00D613F4">
      <w:pPr>
        <w:shd w:val="clear" w:color="auto" w:fill="FFFFFF" w:themeFill="background1"/>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The probability of symptom onset is 70%.</w:t>
      </w:r>
      <w:r w:rsidRPr="426EE3D5">
        <w:rPr>
          <w:rFonts w:ascii="Calibri" w:eastAsia="Calibri" w:hAnsi="Calibri" w:cs="Calibri"/>
          <w:b/>
          <w:bCs/>
          <w:color w:val="000000" w:themeColor="text1"/>
          <w:sz w:val="22"/>
          <w:szCs w:val="22"/>
          <w:lang w:val="en-GB"/>
        </w:rPr>
        <w:t xml:space="preserve"> </w:t>
      </w:r>
      <w:r w:rsidRPr="426EE3D5">
        <w:rPr>
          <w:rFonts w:ascii="Calibri" w:eastAsia="Calibri" w:hAnsi="Calibri" w:cs="Calibri"/>
          <w:color w:val="000000" w:themeColor="text1"/>
          <w:sz w:val="22"/>
          <w:szCs w:val="22"/>
          <w:lang w:val="en-GB"/>
        </w:rPr>
        <w:t xml:space="preserve">The base transmissibility of the disease could be absorbed into other </w:t>
      </w:r>
      <w:proofErr w:type="gramStart"/>
      <w:r w:rsidRPr="426EE3D5">
        <w:rPr>
          <w:rFonts w:ascii="Calibri" w:eastAsia="Calibri" w:hAnsi="Calibri" w:cs="Calibri"/>
          <w:color w:val="000000" w:themeColor="text1"/>
          <w:sz w:val="22"/>
          <w:szCs w:val="22"/>
          <w:lang w:val="en-GB"/>
        </w:rPr>
        <w:t>parameters</w:t>
      </w:r>
      <w:proofErr w:type="gramEnd"/>
      <w:r w:rsidRPr="426EE3D5">
        <w:rPr>
          <w:rFonts w:ascii="Calibri" w:eastAsia="Calibri" w:hAnsi="Calibri" w:cs="Calibri"/>
          <w:color w:val="000000" w:themeColor="text1"/>
          <w:sz w:val="22"/>
          <w:szCs w:val="22"/>
          <w:lang w:val="en-GB"/>
        </w:rPr>
        <w:t xml:space="preserve"> but we keep it as a separate attack rate. The default is </w:t>
      </w:r>
      <m:oMath>
        <m:r>
          <w:rPr>
            <w:rFonts w:ascii="Cambria Math" w:eastAsia="Calibri" w:hAnsi="Cambria Math" w:cs="Calibri"/>
            <w:color w:val="000000" w:themeColor="text1"/>
            <w:sz w:val="22"/>
            <w:szCs w:val="22"/>
            <w:lang w:val="en-GB"/>
          </w:rPr>
          <m:t>β=0.4</m:t>
        </m:r>
      </m:oMath>
      <w:r w:rsidR="00D613F4">
        <w:rPr>
          <w:rFonts w:ascii="Calibri" w:eastAsia="Calibri" w:hAnsi="Calibri" w:cs="Calibri"/>
          <w:color w:val="000000" w:themeColor="text1"/>
          <w:sz w:val="22"/>
          <w:szCs w:val="22"/>
          <w:lang w:val="en-GB"/>
        </w:rPr>
        <w:t xml:space="preserve"> </w:t>
      </w:r>
      <w:r w:rsidRPr="426EE3D5">
        <w:rPr>
          <w:rFonts w:ascii="Calibri" w:eastAsia="Calibri" w:hAnsi="Calibri" w:cs="Calibri"/>
          <w:color w:val="000000" w:themeColor="text1"/>
          <w:sz w:val="22"/>
          <w:szCs w:val="22"/>
          <w:lang w:val="en-GB"/>
        </w:rPr>
        <w:t>as in the community model of Evans et al [2]. This is varied in simulations.</w:t>
      </w:r>
    </w:p>
    <w:p w14:paraId="795377CE" w14:textId="5D11B561"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Practically, when someone is </w:t>
      </w:r>
      <w:proofErr w:type="gramStart"/>
      <w:r w:rsidRPr="426EE3D5">
        <w:rPr>
          <w:rFonts w:ascii="Calibri" w:eastAsia="Calibri" w:hAnsi="Calibri" w:cs="Calibri"/>
          <w:color w:val="000000" w:themeColor="text1"/>
          <w:sz w:val="22"/>
          <w:szCs w:val="22"/>
          <w:lang w:val="en-GB"/>
        </w:rPr>
        <w:t>infected</w:t>
      </w:r>
      <w:proofErr w:type="gramEnd"/>
      <w:r w:rsidRPr="426EE3D5">
        <w:rPr>
          <w:rFonts w:ascii="Calibri" w:eastAsia="Calibri" w:hAnsi="Calibri" w:cs="Calibri"/>
          <w:color w:val="000000" w:themeColor="text1"/>
          <w:sz w:val="22"/>
          <w:szCs w:val="22"/>
          <w:lang w:val="en-GB"/>
        </w:rPr>
        <w:t xml:space="preserve"> this creates a new ‘infection’ agent which is attached to that person agent. Each timestep, the infection will evaluate whether to change state given the time or whether the person will ‘recover’.</w:t>
      </w:r>
      <w:r w:rsidRPr="426EE3D5">
        <w:rPr>
          <w:rFonts w:ascii="Calibri" w:eastAsia="Calibri" w:hAnsi="Calibri" w:cs="Calibri"/>
          <w:b/>
          <w:bCs/>
          <w:color w:val="000000" w:themeColor="text1"/>
          <w:sz w:val="22"/>
          <w:szCs w:val="22"/>
          <w:lang w:val="en-GB"/>
        </w:rPr>
        <w:t xml:space="preserve"> </w:t>
      </w:r>
      <w:r w:rsidRPr="426EE3D5">
        <w:rPr>
          <w:rFonts w:ascii="Calibri" w:eastAsia="Calibri" w:hAnsi="Calibri" w:cs="Calibri"/>
          <w:color w:val="000000" w:themeColor="text1"/>
          <w:sz w:val="22"/>
          <w:szCs w:val="22"/>
          <w:lang w:val="en-GB"/>
        </w:rPr>
        <w:t>Using this formulation allows us to easily switch disease dynamics for future uses without having to adapt any of the underlying architecture of the model.</w:t>
      </w:r>
    </w:p>
    <w:p w14:paraId="1709053D" w14:textId="49C4A4BA"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Contact</w:t>
      </w:r>
    </w:p>
    <w:p w14:paraId="18D3296F" w14:textId="1974D11A" w:rsidR="26FB5932" w:rsidRDefault="26FB5932" w:rsidP="00C05910">
      <w:pPr>
        <w:shd w:val="clear" w:color="auto" w:fill="FFFFFF" w:themeFill="background1"/>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Contact is based on the idea of a Poisson process where contacts occur at a certain rate between individuals and each contact has the probability of spreading the disease. If there is a rate of contact </w:t>
      </w:r>
      <m:oMath>
        <m:r>
          <w:rPr>
            <w:rFonts w:ascii="Cambria Math" w:eastAsia="Calibri" w:hAnsi="Cambria Math" w:cs="Calibri"/>
            <w:color w:val="000000" w:themeColor="text1"/>
            <w:sz w:val="22"/>
            <w:szCs w:val="22"/>
          </w:rPr>
          <m:t>λ</m:t>
        </m:r>
      </m:oMath>
      <w:r w:rsidR="00D613F4">
        <w:rPr>
          <w:rFonts w:ascii="Calibri" w:eastAsia="Calibri" w:hAnsi="Calibri" w:cs="Calibri"/>
          <w:color w:val="000000" w:themeColor="text1"/>
          <w:sz w:val="22"/>
          <w:szCs w:val="22"/>
        </w:rPr>
        <w:t xml:space="preserve"> </w:t>
      </w:r>
      <w:r w:rsidRPr="426EE3D5">
        <w:rPr>
          <w:rFonts w:ascii="Calibri" w:eastAsia="Calibri" w:hAnsi="Calibri" w:cs="Calibri"/>
          <w:color w:val="000000" w:themeColor="text1"/>
          <w:sz w:val="22"/>
          <w:szCs w:val="22"/>
        </w:rPr>
        <w:t xml:space="preserve">and probability of </w:t>
      </w:r>
      <w:proofErr w:type="gramStart"/>
      <w:r w:rsidRPr="426EE3D5">
        <w:rPr>
          <w:rFonts w:ascii="Calibri" w:eastAsia="Calibri" w:hAnsi="Calibri" w:cs="Calibri"/>
          <w:color w:val="000000" w:themeColor="text1"/>
          <w:sz w:val="22"/>
          <w:szCs w:val="22"/>
        </w:rPr>
        <w:t>transmission</w:t>
      </w:r>
      <w:proofErr w:type="gramEnd"/>
      <w:r w:rsidRPr="426EE3D5">
        <w:rPr>
          <w:rFonts w:ascii="Calibri" w:eastAsia="Calibri" w:hAnsi="Calibri" w:cs="Calibri"/>
          <w:color w:val="000000" w:themeColor="text1"/>
          <w:sz w:val="22"/>
          <w:szCs w:val="22"/>
        </w:rPr>
        <w:t xml:space="preserve"> </w:t>
      </w:r>
      <m:oMath>
        <m:r>
          <w:rPr>
            <w:rFonts w:ascii="Cambria Math" w:eastAsia="Calibri" w:hAnsi="Cambria Math" w:cs="Calibri"/>
            <w:color w:val="000000" w:themeColor="text1"/>
            <w:sz w:val="22"/>
            <w:szCs w:val="22"/>
          </w:rPr>
          <m:t xml:space="preserve">p </m:t>
        </m:r>
      </m:oMath>
      <w:r w:rsidRPr="426EE3D5">
        <w:rPr>
          <w:rFonts w:ascii="Calibri" w:eastAsia="Calibri" w:hAnsi="Calibri" w:cs="Calibri"/>
          <w:color w:val="000000" w:themeColor="text1"/>
          <w:sz w:val="22"/>
          <w:szCs w:val="22"/>
        </w:rPr>
        <w:t xml:space="preserve">then the probability of disease transmission in a timestep of length </w:t>
      </w:r>
      <m:oMath>
        <m:r>
          <w:rPr>
            <w:rFonts w:ascii="Cambria Math" w:eastAsia="Calibri" w:hAnsi="Cambria Math" w:cs="Calibri"/>
            <w:color w:val="000000" w:themeColor="text1"/>
            <w:sz w:val="22"/>
            <w:szCs w:val="22"/>
          </w:rPr>
          <m:t xml:space="preserve">t </m:t>
        </m:r>
      </m:oMath>
      <w:r w:rsidRPr="426EE3D5">
        <w:rPr>
          <w:rFonts w:ascii="Calibri" w:eastAsia="Calibri" w:hAnsi="Calibri" w:cs="Calibri"/>
          <w:color w:val="000000" w:themeColor="text1"/>
          <w:sz w:val="22"/>
          <w:szCs w:val="22"/>
        </w:rPr>
        <w:t xml:space="preserve">is given by </w:t>
      </w:r>
      <m:oMath>
        <m:r>
          <w:rPr>
            <w:rFonts w:ascii="Cambria Math" w:eastAsia="Calibri" w:hAnsi="Cambria Math" w:cs="Calibri"/>
            <w:color w:val="000000" w:themeColor="text1"/>
            <w:sz w:val="22"/>
            <w:szCs w:val="22"/>
          </w:rPr>
          <m:t>1-λ⋅p⋅t</m:t>
        </m:r>
      </m:oMath>
      <w:r w:rsidR="00191C1F">
        <w:rPr>
          <w:rFonts w:ascii="Calibri" w:eastAsia="Calibri" w:hAnsi="Calibri" w:cs="Calibri"/>
          <w:color w:val="000000" w:themeColor="text1"/>
          <w:sz w:val="22"/>
          <w:szCs w:val="22"/>
        </w:rPr>
        <w:t>.</w:t>
      </w:r>
      <w:r w:rsidRPr="426EE3D5">
        <w:rPr>
          <w:rFonts w:ascii="Calibri" w:eastAsia="Calibri" w:hAnsi="Calibri" w:cs="Calibri"/>
          <w:color w:val="000000" w:themeColor="text1"/>
          <w:sz w:val="22"/>
          <w:szCs w:val="22"/>
        </w:rPr>
        <w:t xml:space="preserve"> We can therefore consider </w:t>
      </w:r>
      <m:oMath>
        <m:r>
          <w:rPr>
            <w:rFonts w:ascii="Cambria Math" w:eastAsia="Calibri" w:hAnsi="Cambria Math" w:cs="Calibri"/>
            <w:color w:val="000000" w:themeColor="text1"/>
            <w:sz w:val="22"/>
            <w:szCs w:val="22"/>
          </w:rPr>
          <m:t>β=λ⋅p</m:t>
        </m:r>
      </m:oMath>
      <w:r w:rsidR="00C05910">
        <w:rPr>
          <w:rFonts w:ascii="Calibri" w:eastAsia="Calibri" w:hAnsi="Calibri" w:cs="Calibri"/>
          <w:color w:val="000000" w:themeColor="text1"/>
          <w:sz w:val="22"/>
          <w:szCs w:val="22"/>
        </w:rPr>
        <w:t xml:space="preserve"> </w:t>
      </w:r>
      <w:r w:rsidRPr="426EE3D5">
        <w:rPr>
          <w:rFonts w:ascii="Calibri" w:eastAsia="Calibri" w:hAnsi="Calibri" w:cs="Calibri"/>
          <w:color w:val="000000" w:themeColor="text1"/>
          <w:sz w:val="22"/>
          <w:szCs w:val="22"/>
        </w:rPr>
        <w:t xml:space="preserve">as </w:t>
      </w:r>
      <w:r w:rsidR="00C05910">
        <w:rPr>
          <w:rFonts w:ascii="Calibri" w:eastAsia="Calibri" w:hAnsi="Calibri" w:cs="Calibri"/>
          <w:color w:val="000000" w:themeColor="text1"/>
          <w:sz w:val="22"/>
          <w:szCs w:val="22"/>
        </w:rPr>
        <w:t>a</w:t>
      </w:r>
      <w:r w:rsidRPr="426EE3D5">
        <w:rPr>
          <w:rFonts w:ascii="Calibri" w:eastAsia="Calibri" w:hAnsi="Calibri" w:cs="Calibri"/>
          <w:color w:val="000000" w:themeColor="text1"/>
          <w:sz w:val="22"/>
          <w:szCs w:val="22"/>
        </w:rPr>
        <w:t xml:space="preserve"> hyperparameter for each scenario. </w:t>
      </w:r>
    </w:p>
    <w:p w14:paraId="4C56BFDE" w14:textId="4B2A5257"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This approach has a few advantages. It is designed to be computationally fast as we do not track the specifics of individual movements or visits. Using this formulation also means that we do not need a new contact pattern for each timestep (although we could do if we wanted to) yet still allowing for random interactions. It is straightforward to amend the rate of contact or the probability of disease transmission for the specific disease/ contact type/ situation. Lastly, a Poisson process is additive, so people contact each other via multiple contact events then we can sum the rates.</w:t>
      </w:r>
    </w:p>
    <w:p w14:paraId="0FF5458F" w14:textId="30B76D19" w:rsidR="26FB5932" w:rsidRDefault="26FB5932" w:rsidP="00E862CD">
      <w:pPr>
        <w:shd w:val="clear" w:color="auto" w:fill="FFFFFF" w:themeFill="background1"/>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To set this up, each agent is assigned </w:t>
      </w:r>
      <w:proofErr w:type="gramStart"/>
      <w:r w:rsidRPr="426EE3D5">
        <w:rPr>
          <w:rFonts w:ascii="Calibri" w:eastAsia="Calibri" w:hAnsi="Calibri" w:cs="Calibri"/>
          <w:color w:val="000000" w:themeColor="text1"/>
          <w:sz w:val="22"/>
          <w:szCs w:val="22"/>
        </w:rPr>
        <w:t>a number of</w:t>
      </w:r>
      <w:proofErr w:type="gramEnd"/>
      <w:r w:rsidRPr="426EE3D5">
        <w:rPr>
          <w:rFonts w:ascii="Calibri" w:eastAsia="Calibri" w:hAnsi="Calibri" w:cs="Calibri"/>
          <w:color w:val="000000" w:themeColor="text1"/>
          <w:sz w:val="22"/>
          <w:szCs w:val="22"/>
        </w:rPr>
        <w:t xml:space="preserve"> different agents with whom they interact regularly. </w:t>
      </w:r>
      <w:r w:rsidRPr="426EE3D5">
        <w:rPr>
          <w:rFonts w:ascii="Calibri" w:eastAsia="Calibri" w:hAnsi="Calibri" w:cs="Calibri"/>
          <w:color w:val="000000" w:themeColor="text1"/>
          <w:sz w:val="22"/>
          <w:szCs w:val="22"/>
          <w:lang w:val="en-GB"/>
        </w:rPr>
        <w:t xml:space="preserve">For each interaction there is a </w:t>
      </w:r>
      <m:oMath>
        <m:r>
          <w:rPr>
            <w:rFonts w:ascii="Cambria Math" w:eastAsia="Calibri" w:hAnsi="Cambria Math" w:cs="Calibri"/>
            <w:color w:val="000000" w:themeColor="text1"/>
            <w:sz w:val="22"/>
            <w:szCs w:val="22"/>
            <w:lang w:val="en-GB"/>
          </w:rPr>
          <m:t>β</m:t>
        </m:r>
      </m:oMath>
      <w:r w:rsidR="00E862CD">
        <w:rPr>
          <w:rFonts w:ascii="Calibri" w:eastAsia="Calibri" w:hAnsi="Calibri" w:cs="Calibri"/>
          <w:color w:val="000000" w:themeColor="text1"/>
          <w:sz w:val="22"/>
          <w:szCs w:val="22"/>
          <w:lang w:val="en-GB"/>
        </w:rPr>
        <w:t xml:space="preserve"> </w:t>
      </w:r>
      <w:proofErr w:type="spellStart"/>
      <w:r w:rsidRPr="426EE3D5">
        <w:rPr>
          <w:rFonts w:ascii="Calibri" w:eastAsia="Calibri" w:hAnsi="Calibri" w:cs="Calibri"/>
          <w:color w:val="000000" w:themeColor="text1"/>
          <w:sz w:val="22"/>
          <w:szCs w:val="22"/>
          <w:lang w:val="en-GB"/>
        </w:rPr>
        <w:t>superparameter</w:t>
      </w:r>
      <w:proofErr w:type="spellEnd"/>
      <w:r w:rsidRPr="426EE3D5">
        <w:rPr>
          <w:rFonts w:ascii="Calibri" w:eastAsia="Calibri" w:hAnsi="Calibri" w:cs="Calibri"/>
          <w:color w:val="000000" w:themeColor="text1"/>
          <w:sz w:val="22"/>
          <w:szCs w:val="22"/>
          <w:lang w:val="en-GB"/>
        </w:rPr>
        <w:t xml:space="preserve"> estimating both the rate that they will make contact one another and the base probability of transmission given contact. </w:t>
      </w:r>
    </w:p>
    <w:p w14:paraId="76B9BABA" w14:textId="7C42A067"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There are </w:t>
      </w:r>
      <w:proofErr w:type="gramStart"/>
      <w:r w:rsidRPr="426EE3D5">
        <w:rPr>
          <w:rFonts w:ascii="Calibri" w:eastAsia="Calibri" w:hAnsi="Calibri" w:cs="Calibri"/>
          <w:color w:val="000000" w:themeColor="text1"/>
          <w:sz w:val="22"/>
          <w:szCs w:val="22"/>
        </w:rPr>
        <w:t>a number of</w:t>
      </w:r>
      <w:proofErr w:type="gramEnd"/>
      <w:r w:rsidRPr="426EE3D5">
        <w:rPr>
          <w:rFonts w:ascii="Calibri" w:eastAsia="Calibri" w:hAnsi="Calibri" w:cs="Calibri"/>
          <w:color w:val="000000" w:themeColor="text1"/>
          <w:sz w:val="22"/>
          <w:szCs w:val="22"/>
        </w:rPr>
        <w:t xml:space="preserve"> different types of contact that we account for. For each type of </w:t>
      </w:r>
      <w:proofErr w:type="gramStart"/>
      <w:r w:rsidRPr="426EE3D5">
        <w:rPr>
          <w:rFonts w:ascii="Calibri" w:eastAsia="Calibri" w:hAnsi="Calibri" w:cs="Calibri"/>
          <w:color w:val="000000" w:themeColor="text1"/>
          <w:sz w:val="22"/>
          <w:szCs w:val="22"/>
        </w:rPr>
        <w:t>interaction</w:t>
      </w:r>
      <w:proofErr w:type="gramEnd"/>
      <w:r w:rsidRPr="426EE3D5">
        <w:rPr>
          <w:rFonts w:ascii="Calibri" w:eastAsia="Calibri" w:hAnsi="Calibri" w:cs="Calibri"/>
          <w:color w:val="000000" w:themeColor="text1"/>
          <w:sz w:val="22"/>
          <w:szCs w:val="22"/>
        </w:rPr>
        <w:t xml:space="preserve"> we assign the number of contacts that each agent will have and the beta rate for each contact. Contacts are built from the following assumptions:</w:t>
      </w:r>
    </w:p>
    <w:p w14:paraId="2F7E6476" w14:textId="0F5DCB99"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lastRenderedPageBreak/>
        <w:t>HCWs visiting patients.</w:t>
      </w:r>
    </w:p>
    <w:p w14:paraId="3955E9CD" w14:textId="3A64C08F"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Patients sharing a bay/ ward.</w:t>
      </w:r>
    </w:p>
    <w:p w14:paraId="6282070E" w14:textId="6C15244A"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HCWs interacting with other HCWs.</w:t>
      </w:r>
    </w:p>
    <w:p w14:paraId="03BF754D" w14:textId="7CF05E2C"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Estimates for the number and rate at which contacts occur comes from Pople et al [1]. We ensure that the product of the number of contacts and the rate remains constant, while slightly adjusting the parameters for speed optimization, maintaining the inverse proportionality. The number of contacts that we consider for each type of contact are as below:</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223"/>
        <w:gridCol w:w="4223"/>
      </w:tblGrid>
      <w:tr w:rsidR="426EE3D5" w14:paraId="33A4676F" w14:textId="77777777" w:rsidTr="426EE3D5">
        <w:trPr>
          <w:trHeight w:val="165"/>
        </w:trPr>
        <w:tc>
          <w:tcPr>
            <w:tcW w:w="8446" w:type="dxa"/>
            <w:gridSpan w:val="2"/>
            <w:tcBorders>
              <w:top w:val="nil"/>
              <w:left w:val="nil"/>
              <w:right w:val="nil"/>
            </w:tcBorders>
            <w:tcMar>
              <w:left w:w="105" w:type="dxa"/>
              <w:right w:w="105" w:type="dxa"/>
            </w:tcMar>
          </w:tcPr>
          <w:p w14:paraId="32704525" w14:textId="1BE14166" w:rsidR="426EE3D5" w:rsidRDefault="426EE3D5" w:rsidP="426EE3D5">
            <w:pPr>
              <w:rPr>
                <w:rFonts w:ascii="Calibri" w:eastAsia="Calibri" w:hAnsi="Calibri" w:cs="Calibri"/>
                <w:sz w:val="22"/>
                <w:szCs w:val="22"/>
              </w:rPr>
            </w:pPr>
            <w:r w:rsidRPr="426EE3D5">
              <w:rPr>
                <w:rFonts w:ascii="Calibri" w:eastAsia="Calibri" w:hAnsi="Calibri" w:cs="Calibri"/>
                <w:i/>
                <w:iCs/>
                <w:sz w:val="22"/>
                <w:szCs w:val="22"/>
              </w:rPr>
              <w:t>Table A2: Number of contacts assigned in the model according to type.</w:t>
            </w:r>
          </w:p>
        </w:tc>
      </w:tr>
      <w:tr w:rsidR="426EE3D5" w14:paraId="6F73F040" w14:textId="77777777" w:rsidTr="00C05910">
        <w:trPr>
          <w:trHeight w:val="165"/>
        </w:trPr>
        <w:tc>
          <w:tcPr>
            <w:tcW w:w="4223" w:type="dxa"/>
            <w:tcBorders>
              <w:top w:val="single" w:sz="4" w:space="0" w:color="000000" w:themeColor="text1"/>
              <w:left w:val="single" w:sz="4" w:space="0" w:color="auto"/>
              <w:bottom w:val="single" w:sz="4" w:space="0" w:color="000000" w:themeColor="text1"/>
            </w:tcBorders>
            <w:tcMar>
              <w:left w:w="105" w:type="dxa"/>
              <w:right w:w="105" w:type="dxa"/>
            </w:tcMar>
          </w:tcPr>
          <w:p w14:paraId="7EF86A5C" w14:textId="5B93599A"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Patient to patient ward contacts</w:t>
            </w:r>
          </w:p>
        </w:tc>
        <w:tc>
          <w:tcPr>
            <w:tcW w:w="4223" w:type="dxa"/>
            <w:tcMar>
              <w:left w:w="105" w:type="dxa"/>
              <w:right w:w="105" w:type="dxa"/>
            </w:tcMar>
          </w:tcPr>
          <w:p w14:paraId="660FA82F" w14:textId="62E6B2D7"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13</w:t>
            </w:r>
          </w:p>
        </w:tc>
      </w:tr>
      <w:tr w:rsidR="426EE3D5" w14:paraId="44ABEFCB" w14:textId="77777777" w:rsidTr="00C05910">
        <w:trPr>
          <w:trHeight w:val="135"/>
        </w:trPr>
        <w:tc>
          <w:tcPr>
            <w:tcW w:w="4223" w:type="dxa"/>
            <w:tcBorders>
              <w:top w:val="single" w:sz="4" w:space="0" w:color="000000" w:themeColor="text1"/>
            </w:tcBorders>
            <w:tcMar>
              <w:left w:w="105" w:type="dxa"/>
              <w:right w:w="105" w:type="dxa"/>
            </w:tcMar>
          </w:tcPr>
          <w:p w14:paraId="7A8785D4" w14:textId="2578DBF6"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Number of HCWs allocated per patient (</w:t>
            </w:r>
            <w:proofErr w:type="spellStart"/>
            <w:r w:rsidRPr="426EE3D5">
              <w:rPr>
                <w:rFonts w:ascii="Calibri" w:eastAsia="Calibri" w:hAnsi="Calibri" w:cs="Calibri"/>
                <w:sz w:val="22"/>
                <w:szCs w:val="22"/>
              </w:rPr>
              <w:t>non ward</w:t>
            </w:r>
            <w:proofErr w:type="spellEnd"/>
            <w:r w:rsidRPr="426EE3D5">
              <w:rPr>
                <w:rFonts w:ascii="Calibri" w:eastAsia="Calibri" w:hAnsi="Calibri" w:cs="Calibri"/>
                <w:sz w:val="22"/>
                <w:szCs w:val="22"/>
              </w:rPr>
              <w:t xml:space="preserve"> based)</w:t>
            </w:r>
          </w:p>
        </w:tc>
        <w:tc>
          <w:tcPr>
            <w:tcW w:w="4223" w:type="dxa"/>
            <w:tcMar>
              <w:left w:w="105" w:type="dxa"/>
              <w:right w:w="105" w:type="dxa"/>
            </w:tcMar>
          </w:tcPr>
          <w:p w14:paraId="20910654" w14:textId="4F3E4258"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30</w:t>
            </w:r>
          </w:p>
        </w:tc>
      </w:tr>
      <w:tr w:rsidR="426EE3D5" w14:paraId="18E79907" w14:textId="77777777" w:rsidTr="426EE3D5">
        <w:trPr>
          <w:trHeight w:val="135"/>
        </w:trPr>
        <w:tc>
          <w:tcPr>
            <w:tcW w:w="4223" w:type="dxa"/>
            <w:tcMar>
              <w:left w:w="105" w:type="dxa"/>
              <w:right w:w="105" w:type="dxa"/>
            </w:tcMar>
          </w:tcPr>
          <w:p w14:paraId="17AAFC75" w14:textId="59D1CCEF"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Number of HCWs allocated per patient (ward based)</w:t>
            </w:r>
          </w:p>
        </w:tc>
        <w:tc>
          <w:tcPr>
            <w:tcW w:w="4223" w:type="dxa"/>
            <w:tcMar>
              <w:left w:w="105" w:type="dxa"/>
              <w:right w:w="105" w:type="dxa"/>
            </w:tcMar>
          </w:tcPr>
          <w:p w14:paraId="08D6E059" w14:textId="501FC452"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18</w:t>
            </w:r>
          </w:p>
        </w:tc>
      </w:tr>
      <w:tr w:rsidR="426EE3D5" w14:paraId="2EE400E5" w14:textId="77777777" w:rsidTr="426EE3D5">
        <w:trPr>
          <w:trHeight w:val="135"/>
        </w:trPr>
        <w:tc>
          <w:tcPr>
            <w:tcW w:w="4223" w:type="dxa"/>
            <w:tcMar>
              <w:left w:w="105" w:type="dxa"/>
              <w:right w:w="105" w:type="dxa"/>
            </w:tcMar>
          </w:tcPr>
          <w:p w14:paraId="4CE9F243" w14:textId="7A7B99FD"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HCW to HCW ward contacts</w:t>
            </w:r>
          </w:p>
        </w:tc>
        <w:tc>
          <w:tcPr>
            <w:tcW w:w="4223" w:type="dxa"/>
            <w:tcMar>
              <w:left w:w="105" w:type="dxa"/>
              <w:right w:w="105" w:type="dxa"/>
            </w:tcMar>
          </w:tcPr>
          <w:p w14:paraId="0569EFB3" w14:textId="174DBF45" w:rsidR="426EE3D5" w:rsidRDefault="426EE3D5" w:rsidP="426EE3D5">
            <w:pPr>
              <w:ind w:left="360"/>
              <w:rPr>
                <w:rFonts w:ascii="Calibri" w:eastAsia="Calibri" w:hAnsi="Calibri" w:cs="Calibri"/>
                <w:sz w:val="22"/>
                <w:szCs w:val="22"/>
              </w:rPr>
            </w:pPr>
            <w:r w:rsidRPr="426EE3D5">
              <w:rPr>
                <w:rFonts w:ascii="Calibri" w:eastAsia="Calibri" w:hAnsi="Calibri" w:cs="Calibri"/>
                <w:sz w:val="22"/>
                <w:szCs w:val="22"/>
              </w:rPr>
              <w:t>18</w:t>
            </w:r>
          </w:p>
        </w:tc>
      </w:tr>
    </w:tbl>
    <w:p w14:paraId="7CC0AC62" w14:textId="7A04C711" w:rsidR="426EE3D5" w:rsidRDefault="426EE3D5" w:rsidP="426EE3D5">
      <w:pPr>
        <w:rPr>
          <w:rFonts w:ascii="Calibri" w:eastAsia="Calibri" w:hAnsi="Calibri" w:cs="Calibri"/>
          <w:color w:val="000000" w:themeColor="text1"/>
          <w:sz w:val="22"/>
          <w:szCs w:val="22"/>
        </w:rPr>
      </w:pPr>
    </w:p>
    <w:p w14:paraId="6A83B6C4" w14:textId="161E3788"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For the estimates for the rate at which contacts occur, we consider a range of 40 parameter values that were used to account for the uncertainty in these key parameters. The values used for the can be seen in Table 3. </w:t>
      </w:r>
    </w:p>
    <w:p w14:paraId="1F7FCC84" w14:textId="026CAE52"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If the Poisson process generates a contact </w:t>
      </w:r>
      <w:proofErr w:type="gramStart"/>
      <w:r w:rsidRPr="426EE3D5">
        <w:rPr>
          <w:rFonts w:ascii="Calibri" w:eastAsia="Calibri" w:hAnsi="Calibri" w:cs="Calibri"/>
          <w:color w:val="000000" w:themeColor="text1"/>
          <w:sz w:val="22"/>
          <w:szCs w:val="22"/>
          <w:lang w:val="en-GB"/>
        </w:rPr>
        <w:t>event</w:t>
      </w:r>
      <w:proofErr w:type="gramEnd"/>
      <w:r w:rsidRPr="426EE3D5">
        <w:rPr>
          <w:rFonts w:ascii="Calibri" w:eastAsia="Calibri" w:hAnsi="Calibri" w:cs="Calibri"/>
          <w:color w:val="000000" w:themeColor="text1"/>
          <w:sz w:val="22"/>
          <w:szCs w:val="22"/>
          <w:lang w:val="en-GB"/>
        </w:rPr>
        <w:t xml:space="preserve"> then e</w:t>
      </w:r>
      <w:r w:rsidRPr="426EE3D5">
        <w:rPr>
          <w:rFonts w:ascii="Calibri" w:eastAsia="Calibri" w:hAnsi="Calibri" w:cs="Calibri"/>
          <w:color w:val="000000" w:themeColor="text1"/>
          <w:sz w:val="22"/>
          <w:szCs w:val="22"/>
        </w:rPr>
        <w:t xml:space="preserve">ach contact event then has a disease specific probability of transmission </w:t>
      </w:r>
      <m:oMath>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oMath>
      <w:r w:rsidR="004D7753">
        <w:t xml:space="preserve">). </w:t>
      </w:r>
      <w:r w:rsidRPr="426EE3D5">
        <w:rPr>
          <w:rFonts w:ascii="Calibri" w:eastAsia="Calibri" w:hAnsi="Calibri" w:cs="Calibri"/>
          <w:color w:val="000000" w:themeColor="text1"/>
          <w:sz w:val="22"/>
          <w:szCs w:val="22"/>
          <w:lang w:val="en-GB"/>
        </w:rPr>
        <w:t>For each person, if they would have multiple infections in a timestep, we randomly chose one.</w:t>
      </w:r>
    </w:p>
    <w:p w14:paraId="5F043029" w14:textId="679C42AD"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Community infections</w:t>
      </w:r>
    </w:p>
    <w:p w14:paraId="519290C3" w14:textId="7C4387E8"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In winter 2023-2024 the prevalence of COVID-19 in the community went from 1.5% to 4.2% [9-11]. We therefore consider a default prevalence of 2% but explore a range of fixed values around this.</w:t>
      </w:r>
    </w:p>
    <w:p w14:paraId="2162D227" w14:textId="6BA6D1F1"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The probability that a new hospital case will have covid-19 will be proportional to the community prevalence. Evans et al [8] use admissions to estimate community prevalence. Working backwards from their estimates we get that the probability of a new case having covid-19 is 4.58*community prevalence. For patients who are infected on arrival, we give them an infection time as a random period somewhere in the preceding 72 hours.</w:t>
      </w:r>
    </w:p>
    <w:p w14:paraId="4A67C21F" w14:textId="592C8F46" w:rsidR="26FB5932" w:rsidRDefault="26FB5932" w:rsidP="00BE0A8C">
      <w:pPr>
        <w:shd w:val="clear" w:color="auto" w:fill="FFFFFF" w:themeFill="background1"/>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HCWs may also be infected from the community. We assume they have a</w:t>
      </w:r>
      <w:r w:rsidRPr="426EE3D5">
        <w:rPr>
          <w:rFonts w:ascii="Calibri" w:eastAsia="Calibri" w:hAnsi="Calibri" w:cs="Calibri"/>
          <w:color w:val="000000" w:themeColor="text1"/>
          <w:sz w:val="22"/>
          <w:szCs w:val="22"/>
          <w:lang w:val="en-GB"/>
        </w:rPr>
        <w:t xml:space="preserve"> number of contacts during their </w:t>
      </w:r>
      <w:proofErr w:type="gramStart"/>
      <w:r w:rsidRPr="426EE3D5">
        <w:rPr>
          <w:rFonts w:ascii="Calibri" w:eastAsia="Calibri" w:hAnsi="Calibri" w:cs="Calibri"/>
          <w:color w:val="000000" w:themeColor="text1"/>
          <w:sz w:val="22"/>
          <w:szCs w:val="22"/>
          <w:lang w:val="en-GB"/>
        </w:rPr>
        <w:t>12 hour</w:t>
      </w:r>
      <w:proofErr w:type="gramEnd"/>
      <w:r w:rsidRPr="426EE3D5">
        <w:rPr>
          <w:rFonts w:ascii="Calibri" w:eastAsia="Calibri" w:hAnsi="Calibri" w:cs="Calibri"/>
          <w:color w:val="000000" w:themeColor="text1"/>
          <w:sz w:val="22"/>
          <w:szCs w:val="22"/>
          <w:lang w:val="en-GB"/>
        </w:rPr>
        <w:t xml:space="preserve"> work period. The rate of contact that HCWs have in the community comes from Evans et al [2] who estimate the total number of contacts expected and the proportion that are expected to be in the community. The probability that their contact is infected is given by the community prevalence and the probability that the infection spreads from each interaction is </w:t>
      </w:r>
      <m:oMath>
        <m:sSub>
          <m:sSubPr>
            <m:ctrlPr>
              <w:rPr>
                <w:rFonts w:ascii="Cambria Math" w:eastAsia="Calibri" w:hAnsi="Cambria Math" w:cs="Calibri"/>
                <w:i/>
                <w:color w:val="000000" w:themeColor="text1"/>
                <w:sz w:val="22"/>
                <w:szCs w:val="22"/>
                <w:lang w:val="en-GB"/>
              </w:rPr>
            </m:ctrlPr>
          </m:sSubPr>
          <m:e>
            <m:r>
              <w:rPr>
                <w:rFonts w:ascii="Cambria Math" w:eastAsia="Calibri" w:hAnsi="Cambria Math" w:cs="Calibri"/>
                <w:color w:val="000000" w:themeColor="text1"/>
                <w:sz w:val="22"/>
                <w:szCs w:val="22"/>
                <w:lang w:val="en-GB"/>
              </w:rPr>
              <m:t>β</m:t>
            </m:r>
          </m:e>
          <m:sub>
            <m:r>
              <w:rPr>
                <w:rFonts w:ascii="Cambria Math" w:eastAsia="Calibri" w:hAnsi="Cambria Math" w:cs="Calibri"/>
                <w:color w:val="000000" w:themeColor="text1"/>
                <w:sz w:val="22"/>
                <w:szCs w:val="22"/>
                <w:lang w:val="en-GB"/>
              </w:rPr>
              <m:t>0</m:t>
            </m:r>
          </m:sub>
        </m:sSub>
        <m:r>
          <w:rPr>
            <w:rFonts w:ascii="Cambria Math" w:eastAsia="Calibri" w:hAnsi="Cambria Math" w:cs="Calibri"/>
            <w:color w:val="000000" w:themeColor="text1"/>
            <w:sz w:val="22"/>
            <w:szCs w:val="22"/>
            <w:lang w:val="en-GB"/>
          </w:rPr>
          <m:t>=0.4</m:t>
        </m:r>
      </m:oMath>
      <w:r w:rsidR="00BE0A8C">
        <w:rPr>
          <w:rFonts w:ascii="Calibri" w:eastAsia="Calibri" w:hAnsi="Calibri" w:cs="Calibri"/>
          <w:color w:val="000000" w:themeColor="text1"/>
          <w:sz w:val="22"/>
          <w:szCs w:val="22"/>
          <w:lang w:val="en-GB"/>
        </w:rPr>
        <w:t xml:space="preserve"> </w:t>
      </w:r>
      <w:r w:rsidRPr="426EE3D5">
        <w:rPr>
          <w:rFonts w:ascii="Calibri" w:eastAsia="Calibri" w:hAnsi="Calibri" w:cs="Calibri"/>
          <w:color w:val="000000" w:themeColor="text1"/>
          <w:sz w:val="22"/>
          <w:szCs w:val="22"/>
          <w:lang w:val="en-GB"/>
        </w:rPr>
        <w:t>also from Evans et al [2]. The values are listed in Table 3 below.</w:t>
      </w:r>
    </w:p>
    <w:p w14:paraId="3ED94131" w14:textId="4E50BA7F"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Vaccination and previous infections</w:t>
      </w:r>
    </w:p>
    <w:p w14:paraId="4205C11D" w14:textId="7DDB849E" w:rsidR="26FB5932" w:rsidRPr="00FC0BB8" w:rsidRDefault="26FB5932" w:rsidP="00FC0BB8">
      <w:pPr>
        <w:shd w:val="clear" w:color="auto" w:fill="FFFFFF" w:themeFill="background1"/>
      </w:pPr>
      <w:r w:rsidRPr="426EE3D5">
        <w:rPr>
          <w:rFonts w:ascii="Calibri" w:eastAsia="Calibri" w:hAnsi="Calibri" w:cs="Calibri"/>
          <w:color w:val="000000" w:themeColor="text1"/>
          <w:sz w:val="22"/>
          <w:szCs w:val="22"/>
          <w:lang w:val="en-GB"/>
        </w:rPr>
        <w:lastRenderedPageBreak/>
        <w:t xml:space="preserve">We assume there have been </w:t>
      </w:r>
      <w:proofErr w:type="gramStart"/>
      <w:r w:rsidRPr="426EE3D5">
        <w:rPr>
          <w:rFonts w:ascii="Calibri" w:eastAsia="Calibri" w:hAnsi="Calibri" w:cs="Calibri"/>
          <w:color w:val="000000" w:themeColor="text1"/>
          <w:sz w:val="22"/>
          <w:szCs w:val="22"/>
          <w:lang w:val="en-GB"/>
        </w:rPr>
        <w:t>a number of</w:t>
      </w:r>
      <w:proofErr w:type="gramEnd"/>
      <w:r w:rsidRPr="426EE3D5">
        <w:rPr>
          <w:rFonts w:ascii="Calibri" w:eastAsia="Calibri" w:hAnsi="Calibri" w:cs="Calibri"/>
          <w:color w:val="000000" w:themeColor="text1"/>
          <w:sz w:val="22"/>
          <w:szCs w:val="22"/>
          <w:lang w:val="en-GB"/>
        </w:rPr>
        <w:t xml:space="preserve"> previous vaccination and infection events that have occurred in the years since the vaccine began. For simplicity we assume there are up to 6 of these, (3-4 vaccinations and 1-2 infection events). We assume each occurs with a probability of 60%, and each giving a protection of 10% as in Evans et al [2] citing Andrews et al [12]. This means the number of previous events is given by </w:t>
      </w:r>
      <m:oMath>
        <m:r>
          <w:rPr>
            <w:rFonts w:ascii="Cambria Math" w:eastAsia="Calibri" w:hAnsi="Cambria Math" w:cs="Calibri"/>
            <w:color w:val="000000" w:themeColor="text1"/>
            <w:sz w:val="22"/>
            <w:szCs w:val="22"/>
            <w:lang w:val="en-GB"/>
          </w:rPr>
          <m:t>n~bin(6,0.6)</m:t>
        </m:r>
      </m:oMath>
      <w:r w:rsidR="00BE0A8C">
        <w:rPr>
          <w:rFonts w:ascii="Calibri" w:eastAsia="Calibri" w:hAnsi="Calibri" w:cs="Calibri"/>
          <w:color w:val="000000" w:themeColor="text1"/>
          <w:sz w:val="22"/>
          <w:szCs w:val="22"/>
          <w:lang w:val="en-GB"/>
        </w:rPr>
        <w:t xml:space="preserve"> </w:t>
      </w:r>
      <w:r w:rsidRPr="426EE3D5">
        <w:rPr>
          <w:rFonts w:ascii="Calibri" w:eastAsia="Calibri" w:hAnsi="Calibri" w:cs="Calibri"/>
          <w:color w:val="000000" w:themeColor="text1"/>
          <w:sz w:val="22"/>
          <w:szCs w:val="22"/>
          <w:lang w:val="en-GB"/>
        </w:rPr>
        <w:t xml:space="preserve">and the protection is given by </w:t>
      </w:r>
      <m:oMath>
        <m:r>
          <w:rPr>
            <w:rFonts w:ascii="Cambria Math" w:eastAsia="Calibri" w:hAnsi="Cambria Math" w:cs="Calibri"/>
            <w:color w:val="000000" w:themeColor="text1"/>
            <w:sz w:val="22"/>
            <w:szCs w:val="22"/>
            <w:lang w:val="en-GB"/>
          </w:rPr>
          <m:t>protection=1-</m:t>
        </m:r>
        <m:sSup>
          <m:sSupPr>
            <m:ctrlPr>
              <w:rPr>
                <w:rFonts w:ascii="Cambria Math" w:eastAsia="Calibri" w:hAnsi="Cambria Math" w:cs="Calibri"/>
                <w:i/>
                <w:color w:val="000000" w:themeColor="text1"/>
                <w:sz w:val="22"/>
                <w:szCs w:val="22"/>
                <w:lang w:val="en-GB"/>
              </w:rPr>
            </m:ctrlPr>
          </m:sSupPr>
          <m:e>
            <m:d>
              <m:dPr>
                <m:ctrlPr>
                  <w:rPr>
                    <w:rFonts w:ascii="Cambria Math" w:eastAsia="Calibri" w:hAnsi="Cambria Math" w:cs="Calibri"/>
                    <w:i/>
                    <w:color w:val="000000" w:themeColor="text1"/>
                    <w:sz w:val="22"/>
                    <w:szCs w:val="22"/>
                    <w:lang w:val="en-GB"/>
                  </w:rPr>
                </m:ctrlPr>
              </m:dPr>
              <m:e>
                <m:r>
                  <w:rPr>
                    <w:rFonts w:ascii="Cambria Math" w:eastAsia="Calibri" w:hAnsi="Cambria Math" w:cs="Calibri"/>
                    <w:color w:val="000000" w:themeColor="text1"/>
                    <w:sz w:val="22"/>
                    <w:szCs w:val="22"/>
                    <w:lang w:val="en-GB"/>
                  </w:rPr>
                  <m:t>1-0.1</m:t>
                </m:r>
              </m:e>
            </m:d>
          </m:e>
          <m:sup>
            <m:r>
              <w:rPr>
                <w:rFonts w:ascii="Cambria Math" w:eastAsia="Calibri" w:hAnsi="Cambria Math" w:cs="Calibri"/>
                <w:color w:val="000000" w:themeColor="text1"/>
                <w:sz w:val="22"/>
                <w:szCs w:val="22"/>
                <w:lang w:val="en-GB"/>
              </w:rPr>
              <m:t>n</m:t>
            </m:r>
          </m:sup>
        </m:sSup>
      </m:oMath>
      <w:r w:rsidRPr="426EE3D5">
        <w:rPr>
          <w:rFonts w:ascii="Calibri" w:eastAsia="Calibri" w:hAnsi="Calibri" w:cs="Calibri"/>
          <w:color w:val="000000" w:themeColor="text1"/>
          <w:sz w:val="22"/>
          <w:szCs w:val="22"/>
          <w:lang w:val="en-GB"/>
        </w:rPr>
        <w:t>. We do not assume waning of the vaccination or previous infections in this scenario.</w:t>
      </w:r>
    </w:p>
    <w:p w14:paraId="1ACC25CB" w14:textId="52D4E8B8"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Isolation</w:t>
      </w:r>
    </w:p>
    <w:p w14:paraId="42DE6935" w14:textId="46877E1C"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We assume no regular asymptomatic testing or testing when symptom onset occurs. However, if a HCW is symptomatic then they will isolate. The current UK guidance [13] states they should stay off work until symptoms are passed so we assume a </w:t>
      </w:r>
      <w:proofErr w:type="gramStart"/>
      <w:r w:rsidRPr="426EE3D5">
        <w:rPr>
          <w:rFonts w:ascii="Calibri" w:eastAsia="Calibri" w:hAnsi="Calibri" w:cs="Calibri"/>
          <w:color w:val="000000" w:themeColor="text1"/>
          <w:sz w:val="22"/>
          <w:szCs w:val="22"/>
          <w:lang w:val="en-GB"/>
        </w:rPr>
        <w:t>three day</w:t>
      </w:r>
      <w:proofErr w:type="gramEnd"/>
      <w:r w:rsidRPr="426EE3D5">
        <w:rPr>
          <w:rFonts w:ascii="Calibri" w:eastAsia="Calibri" w:hAnsi="Calibri" w:cs="Calibri"/>
          <w:color w:val="000000" w:themeColor="text1"/>
          <w:sz w:val="22"/>
          <w:szCs w:val="22"/>
          <w:lang w:val="en-GB"/>
        </w:rPr>
        <w:t xml:space="preserve"> isolation period. In HCWs who are dealing with severely immunosuppressed patients the guidance is </w:t>
      </w:r>
      <w:proofErr w:type="gramStart"/>
      <w:r w:rsidRPr="426EE3D5">
        <w:rPr>
          <w:rFonts w:ascii="Calibri" w:eastAsia="Calibri" w:hAnsi="Calibri" w:cs="Calibri"/>
          <w:color w:val="000000" w:themeColor="text1"/>
          <w:sz w:val="22"/>
          <w:szCs w:val="22"/>
          <w:lang w:val="en-GB"/>
        </w:rPr>
        <w:t>stricter</w:t>
      </w:r>
      <w:proofErr w:type="gramEnd"/>
      <w:r w:rsidRPr="426EE3D5">
        <w:rPr>
          <w:rFonts w:ascii="Calibri" w:eastAsia="Calibri" w:hAnsi="Calibri" w:cs="Calibri"/>
          <w:color w:val="000000" w:themeColor="text1"/>
          <w:sz w:val="22"/>
          <w:szCs w:val="22"/>
          <w:lang w:val="en-GB"/>
        </w:rPr>
        <w:t xml:space="preserve"> but we are not focusing on this area in this paper.</w:t>
      </w:r>
    </w:p>
    <w:p w14:paraId="69B7AC76" w14:textId="09F942B0"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Masking defaults</w:t>
      </w:r>
    </w:p>
    <w:p w14:paraId="235686C0" w14:textId="054DC9D6"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Where otherwise stated these are the default parameters used for mask </w:t>
      </w:r>
      <w:r w:rsidR="00246850" w:rsidRPr="426EE3D5">
        <w:rPr>
          <w:rFonts w:ascii="Calibri" w:eastAsia="Calibri" w:hAnsi="Calibri" w:cs="Calibri"/>
          <w:color w:val="000000" w:themeColor="text1"/>
          <w:sz w:val="22"/>
          <w:szCs w:val="22"/>
          <w:lang w:val="en-GB"/>
        </w:rPr>
        <w:t>effecti</w:t>
      </w:r>
      <w:r w:rsidR="00246850">
        <w:rPr>
          <w:rFonts w:ascii="Calibri" w:eastAsia="Calibri" w:hAnsi="Calibri" w:cs="Calibri"/>
          <w:color w:val="000000" w:themeColor="text1"/>
          <w:sz w:val="22"/>
          <w:szCs w:val="22"/>
          <w:lang w:val="en-GB"/>
        </w:rPr>
        <w:t>veness</w:t>
      </w:r>
      <w:r w:rsidRPr="426EE3D5">
        <w:rPr>
          <w:rFonts w:ascii="Calibri" w:eastAsia="Calibri" w:hAnsi="Calibri" w:cs="Calibri"/>
          <w:color w:val="000000" w:themeColor="text1"/>
          <w:sz w:val="22"/>
          <w:szCs w:val="22"/>
          <w:lang w:val="en-GB"/>
        </w:rPr>
        <w:t xml:space="preserve"> and usage. </w:t>
      </w:r>
    </w:p>
    <w:p w14:paraId="5833FB3B" w14:textId="59D798A1"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Adherence by HCWs around other HCWs: 75% </w:t>
      </w:r>
    </w:p>
    <w:p w14:paraId="5E9BE0CB" w14:textId="60018276"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Adherence by HCWs around patients: 75%</w:t>
      </w:r>
    </w:p>
    <w:p w14:paraId="33290F13" w14:textId="1B59E75D"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Effectiveness of the mask </w:t>
      </w:r>
      <w:r w:rsidRPr="426EE3D5">
        <w:rPr>
          <w:rFonts w:ascii="Calibri" w:eastAsia="Calibri" w:hAnsi="Calibri" w:cs="Calibri"/>
          <w:i/>
          <w:iCs/>
          <w:color w:val="000000" w:themeColor="text1"/>
          <w:sz w:val="22"/>
          <w:szCs w:val="22"/>
          <w:lang w:val="en-GB"/>
        </w:rPr>
        <w:t>from</w:t>
      </w:r>
      <w:r w:rsidRPr="426EE3D5">
        <w:rPr>
          <w:rFonts w:ascii="Calibri" w:eastAsia="Calibri" w:hAnsi="Calibri" w:cs="Calibri"/>
          <w:color w:val="000000" w:themeColor="text1"/>
          <w:sz w:val="22"/>
          <w:szCs w:val="22"/>
          <w:lang w:val="en-GB"/>
        </w:rPr>
        <w:t xml:space="preserve"> the wearer: 60% (from [2])</w:t>
      </w:r>
    </w:p>
    <w:p w14:paraId="6A1CC97F" w14:textId="7B6AF899" w:rsidR="26FB5932" w:rsidRDefault="26FB5932" w:rsidP="426EE3D5">
      <w:pPr>
        <w:pStyle w:val="ListParagraph"/>
        <w:numPr>
          <w:ilvl w:val="0"/>
          <w:numId w:val="1"/>
        </w:num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Effectiveness of the mask </w:t>
      </w:r>
      <w:r w:rsidRPr="426EE3D5">
        <w:rPr>
          <w:rFonts w:ascii="Calibri" w:eastAsia="Calibri" w:hAnsi="Calibri" w:cs="Calibri"/>
          <w:i/>
          <w:iCs/>
          <w:color w:val="000000" w:themeColor="text1"/>
          <w:sz w:val="22"/>
          <w:szCs w:val="22"/>
          <w:lang w:val="en-GB"/>
        </w:rPr>
        <w:t>for</w:t>
      </w:r>
      <w:r w:rsidRPr="426EE3D5">
        <w:rPr>
          <w:rFonts w:ascii="Calibri" w:eastAsia="Calibri" w:hAnsi="Calibri" w:cs="Calibri"/>
          <w:color w:val="000000" w:themeColor="text1"/>
          <w:sz w:val="22"/>
          <w:szCs w:val="22"/>
          <w:lang w:val="en-GB"/>
        </w:rPr>
        <w:t xml:space="preserve"> the wearer: 45% (or 75% of the effectiveness from the wearer)</w:t>
      </w:r>
    </w:p>
    <w:p w14:paraId="5E314A76" w14:textId="2872B7BB" w:rsidR="426EE3D5" w:rsidRDefault="426EE3D5" w:rsidP="426EE3D5">
      <w:pPr>
        <w:rPr>
          <w:rFonts w:ascii="Calibri" w:eastAsia="Calibri" w:hAnsi="Calibri" w:cs="Calibri"/>
          <w:color w:val="000000" w:themeColor="text1"/>
          <w:sz w:val="22"/>
          <w:szCs w:val="22"/>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72"/>
        <w:gridCol w:w="1872"/>
        <w:gridCol w:w="1872"/>
        <w:gridCol w:w="1872"/>
        <w:gridCol w:w="1872"/>
      </w:tblGrid>
      <w:tr w:rsidR="426EE3D5" w14:paraId="555198C1" w14:textId="77777777" w:rsidTr="426EE3D5">
        <w:trPr>
          <w:trHeight w:val="300"/>
        </w:trPr>
        <w:tc>
          <w:tcPr>
            <w:tcW w:w="9360" w:type="dxa"/>
            <w:gridSpan w:val="5"/>
            <w:tcBorders>
              <w:top w:val="nil"/>
              <w:left w:val="nil"/>
              <w:right w:val="nil"/>
            </w:tcBorders>
            <w:tcMar>
              <w:left w:w="105" w:type="dxa"/>
              <w:right w:w="105" w:type="dxa"/>
            </w:tcMar>
            <w:vAlign w:val="center"/>
          </w:tcPr>
          <w:p w14:paraId="1B859E07" w14:textId="2BF8FA82" w:rsidR="426EE3D5" w:rsidRDefault="426EE3D5" w:rsidP="426EE3D5">
            <w:pPr>
              <w:rPr>
                <w:rFonts w:ascii="Calibri" w:eastAsia="Calibri" w:hAnsi="Calibri" w:cs="Calibri"/>
                <w:sz w:val="22"/>
                <w:szCs w:val="22"/>
              </w:rPr>
            </w:pPr>
            <w:r w:rsidRPr="426EE3D5">
              <w:rPr>
                <w:rFonts w:ascii="Calibri" w:eastAsia="Calibri" w:hAnsi="Calibri" w:cs="Calibri"/>
                <w:i/>
                <w:iCs/>
                <w:sz w:val="22"/>
                <w:szCs w:val="22"/>
              </w:rPr>
              <w:t>Table A3: Contact/ transmission rates for the different contact types and the number of community contacts. The forty iterations are the range of parameter values over which the model runs.</w:t>
            </w:r>
          </w:p>
        </w:tc>
      </w:tr>
      <w:tr w:rsidR="426EE3D5" w14:paraId="76283A16" w14:textId="77777777" w:rsidTr="004D7753">
        <w:trPr>
          <w:trHeight w:val="300"/>
        </w:trPr>
        <w:tc>
          <w:tcPr>
            <w:tcW w:w="1872" w:type="dxa"/>
            <w:tcBorders>
              <w:top w:val="single" w:sz="4" w:space="0" w:color="000000" w:themeColor="text1"/>
              <w:left w:val="single" w:sz="4" w:space="0" w:color="auto"/>
              <w:bottom w:val="single" w:sz="4" w:space="0" w:color="000000" w:themeColor="text1"/>
            </w:tcBorders>
            <w:tcMar>
              <w:left w:w="105" w:type="dxa"/>
              <w:right w:w="105" w:type="dxa"/>
            </w:tcMar>
            <w:vAlign w:val="center"/>
          </w:tcPr>
          <w:p w14:paraId="6D0EAF53" w14:textId="232F2620"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rPr>
              <w:t xml:space="preserve">Patient to patient (sharing a bay) </w:t>
            </w:r>
          </w:p>
        </w:tc>
        <w:tc>
          <w:tcPr>
            <w:tcW w:w="1872" w:type="dxa"/>
            <w:tcMar>
              <w:left w:w="105" w:type="dxa"/>
              <w:right w:w="105" w:type="dxa"/>
            </w:tcMar>
            <w:vAlign w:val="center"/>
          </w:tcPr>
          <w:p w14:paraId="05DE42E4" w14:textId="08FD8A46"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rPr>
              <w:t>Patient to patient (sharing a ward)</w:t>
            </w:r>
          </w:p>
        </w:tc>
        <w:tc>
          <w:tcPr>
            <w:tcW w:w="1872" w:type="dxa"/>
            <w:tcMar>
              <w:left w:w="105" w:type="dxa"/>
              <w:right w:w="105" w:type="dxa"/>
            </w:tcMar>
            <w:vAlign w:val="center"/>
          </w:tcPr>
          <w:p w14:paraId="085D7403" w14:textId="72CEC492"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rPr>
              <w:t>HCW to patient</w:t>
            </w:r>
          </w:p>
        </w:tc>
        <w:tc>
          <w:tcPr>
            <w:tcW w:w="1872" w:type="dxa"/>
            <w:tcMar>
              <w:left w:w="105" w:type="dxa"/>
              <w:right w:w="105" w:type="dxa"/>
            </w:tcMar>
            <w:vAlign w:val="center"/>
          </w:tcPr>
          <w:p w14:paraId="6C0FA7AD" w14:textId="32A2A353"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rPr>
              <w:t>HCW to HCW</w:t>
            </w:r>
          </w:p>
        </w:tc>
        <w:tc>
          <w:tcPr>
            <w:tcW w:w="1872" w:type="dxa"/>
            <w:tcMar>
              <w:left w:w="105" w:type="dxa"/>
              <w:right w:w="105" w:type="dxa"/>
            </w:tcMar>
            <w:vAlign w:val="center"/>
          </w:tcPr>
          <w:p w14:paraId="4DDDEC42" w14:textId="4A7BD6F1" w:rsidR="426EE3D5" w:rsidRDefault="426EE3D5" w:rsidP="426EE3D5">
            <w:pPr>
              <w:rPr>
                <w:rFonts w:ascii="Calibri" w:eastAsia="Calibri" w:hAnsi="Calibri" w:cs="Calibri"/>
                <w:sz w:val="22"/>
                <w:szCs w:val="22"/>
              </w:rPr>
            </w:pPr>
            <w:r w:rsidRPr="426EE3D5">
              <w:rPr>
                <w:rFonts w:ascii="Calibri" w:eastAsia="Calibri" w:hAnsi="Calibri" w:cs="Calibri"/>
                <w:b/>
                <w:bCs/>
                <w:sz w:val="22"/>
                <w:szCs w:val="22"/>
              </w:rPr>
              <w:t>Community contacts within 12hr rest period.</w:t>
            </w:r>
          </w:p>
        </w:tc>
      </w:tr>
      <w:tr w:rsidR="426EE3D5" w14:paraId="62B3A883" w14:textId="77777777" w:rsidTr="004D7753">
        <w:trPr>
          <w:trHeight w:val="300"/>
        </w:trPr>
        <w:tc>
          <w:tcPr>
            <w:tcW w:w="1872" w:type="dxa"/>
            <w:tcBorders>
              <w:top w:val="single" w:sz="4" w:space="0" w:color="000000" w:themeColor="text1"/>
            </w:tcBorders>
            <w:tcMar>
              <w:left w:w="105" w:type="dxa"/>
              <w:right w:w="105" w:type="dxa"/>
            </w:tcMar>
            <w:vAlign w:val="center"/>
          </w:tcPr>
          <w:p w14:paraId="28A0A7A0" w14:textId="34EB558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0.00254</w:t>
            </w:r>
          </w:p>
        </w:tc>
        <w:tc>
          <w:tcPr>
            <w:tcW w:w="1872" w:type="dxa"/>
            <w:tcMar>
              <w:left w:w="105" w:type="dxa"/>
              <w:right w:w="105" w:type="dxa"/>
            </w:tcMar>
            <w:vAlign w:val="center"/>
          </w:tcPr>
          <w:p w14:paraId="1CF61086" w14:textId="247A019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0.00000531</w:t>
            </w:r>
          </w:p>
        </w:tc>
        <w:tc>
          <w:tcPr>
            <w:tcW w:w="1872" w:type="dxa"/>
            <w:tcMar>
              <w:left w:w="105" w:type="dxa"/>
              <w:right w:w="105" w:type="dxa"/>
            </w:tcMar>
            <w:vAlign w:val="center"/>
          </w:tcPr>
          <w:p w14:paraId="32A12DC5" w14:textId="152A07C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0.000380</w:t>
            </w:r>
          </w:p>
        </w:tc>
        <w:tc>
          <w:tcPr>
            <w:tcW w:w="1872" w:type="dxa"/>
            <w:tcMar>
              <w:left w:w="105" w:type="dxa"/>
              <w:right w:w="105" w:type="dxa"/>
            </w:tcMar>
            <w:vAlign w:val="center"/>
          </w:tcPr>
          <w:p w14:paraId="5BB2541B" w14:textId="3F584A5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0.00434</w:t>
            </w:r>
          </w:p>
        </w:tc>
        <w:tc>
          <w:tcPr>
            <w:tcW w:w="1872" w:type="dxa"/>
            <w:tcMar>
              <w:left w:w="105" w:type="dxa"/>
              <w:right w:w="105" w:type="dxa"/>
            </w:tcMar>
            <w:vAlign w:val="center"/>
          </w:tcPr>
          <w:p w14:paraId="261A0D7A" w14:textId="6ADC543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0.591</w:t>
            </w:r>
          </w:p>
        </w:tc>
      </w:tr>
      <w:tr w:rsidR="426EE3D5" w14:paraId="6EE5CDF5" w14:textId="77777777" w:rsidTr="426EE3D5">
        <w:trPr>
          <w:trHeight w:val="300"/>
        </w:trPr>
        <w:tc>
          <w:tcPr>
            <w:tcW w:w="1872" w:type="dxa"/>
            <w:tcMar>
              <w:left w:w="105" w:type="dxa"/>
              <w:right w:w="105" w:type="dxa"/>
            </w:tcMar>
            <w:vAlign w:val="center"/>
          </w:tcPr>
          <w:p w14:paraId="7F07E5F6" w14:textId="7E45CFF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0.00127</w:t>
            </w:r>
          </w:p>
        </w:tc>
        <w:tc>
          <w:tcPr>
            <w:tcW w:w="1872" w:type="dxa"/>
            <w:tcMar>
              <w:left w:w="105" w:type="dxa"/>
              <w:right w:w="105" w:type="dxa"/>
            </w:tcMar>
            <w:vAlign w:val="center"/>
          </w:tcPr>
          <w:p w14:paraId="7677E746" w14:textId="2A3B37A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0.0000146</w:t>
            </w:r>
          </w:p>
        </w:tc>
        <w:tc>
          <w:tcPr>
            <w:tcW w:w="1872" w:type="dxa"/>
            <w:tcMar>
              <w:left w:w="105" w:type="dxa"/>
              <w:right w:w="105" w:type="dxa"/>
            </w:tcMar>
            <w:vAlign w:val="center"/>
          </w:tcPr>
          <w:p w14:paraId="0B5023A9" w14:textId="66BA21D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0.000437</w:t>
            </w:r>
          </w:p>
        </w:tc>
        <w:tc>
          <w:tcPr>
            <w:tcW w:w="1872" w:type="dxa"/>
            <w:tcMar>
              <w:left w:w="105" w:type="dxa"/>
              <w:right w:w="105" w:type="dxa"/>
            </w:tcMar>
            <w:vAlign w:val="center"/>
          </w:tcPr>
          <w:p w14:paraId="627D1B42" w14:textId="41B4A29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0.00374</w:t>
            </w:r>
          </w:p>
        </w:tc>
        <w:tc>
          <w:tcPr>
            <w:tcW w:w="1872" w:type="dxa"/>
            <w:tcMar>
              <w:left w:w="105" w:type="dxa"/>
              <w:right w:w="105" w:type="dxa"/>
            </w:tcMar>
            <w:vAlign w:val="center"/>
          </w:tcPr>
          <w:p w14:paraId="261BC1D2" w14:textId="1645BE8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0.705</w:t>
            </w:r>
          </w:p>
        </w:tc>
      </w:tr>
      <w:tr w:rsidR="426EE3D5" w14:paraId="6C1A45C0" w14:textId="77777777" w:rsidTr="426EE3D5">
        <w:trPr>
          <w:trHeight w:val="300"/>
        </w:trPr>
        <w:tc>
          <w:tcPr>
            <w:tcW w:w="1872" w:type="dxa"/>
            <w:tcMar>
              <w:left w:w="105" w:type="dxa"/>
              <w:right w:w="105" w:type="dxa"/>
            </w:tcMar>
            <w:vAlign w:val="center"/>
          </w:tcPr>
          <w:p w14:paraId="7DC51F79" w14:textId="098FEAA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0.00148</w:t>
            </w:r>
          </w:p>
        </w:tc>
        <w:tc>
          <w:tcPr>
            <w:tcW w:w="1872" w:type="dxa"/>
            <w:tcMar>
              <w:left w:w="105" w:type="dxa"/>
              <w:right w:w="105" w:type="dxa"/>
            </w:tcMar>
            <w:vAlign w:val="center"/>
          </w:tcPr>
          <w:p w14:paraId="3BC9C02B" w14:textId="3BE3CA2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0.0000181</w:t>
            </w:r>
          </w:p>
        </w:tc>
        <w:tc>
          <w:tcPr>
            <w:tcW w:w="1872" w:type="dxa"/>
            <w:tcMar>
              <w:left w:w="105" w:type="dxa"/>
              <w:right w:w="105" w:type="dxa"/>
            </w:tcMar>
            <w:vAlign w:val="center"/>
          </w:tcPr>
          <w:p w14:paraId="2D0E37E9" w14:textId="10B10B0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0.000344</w:t>
            </w:r>
          </w:p>
        </w:tc>
        <w:tc>
          <w:tcPr>
            <w:tcW w:w="1872" w:type="dxa"/>
            <w:tcMar>
              <w:left w:w="105" w:type="dxa"/>
              <w:right w:w="105" w:type="dxa"/>
            </w:tcMar>
            <w:vAlign w:val="center"/>
          </w:tcPr>
          <w:p w14:paraId="4F323CB7" w14:textId="1EF7354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0.00442</w:t>
            </w:r>
          </w:p>
        </w:tc>
        <w:tc>
          <w:tcPr>
            <w:tcW w:w="1872" w:type="dxa"/>
            <w:tcMar>
              <w:left w:w="105" w:type="dxa"/>
              <w:right w:w="105" w:type="dxa"/>
            </w:tcMar>
            <w:vAlign w:val="center"/>
          </w:tcPr>
          <w:p w14:paraId="49FA439A" w14:textId="65D204E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0.675</w:t>
            </w:r>
          </w:p>
        </w:tc>
      </w:tr>
      <w:tr w:rsidR="426EE3D5" w14:paraId="3BCD8672" w14:textId="77777777" w:rsidTr="426EE3D5">
        <w:trPr>
          <w:trHeight w:val="300"/>
        </w:trPr>
        <w:tc>
          <w:tcPr>
            <w:tcW w:w="1872" w:type="dxa"/>
            <w:tcMar>
              <w:left w:w="105" w:type="dxa"/>
              <w:right w:w="105" w:type="dxa"/>
            </w:tcMar>
            <w:vAlign w:val="center"/>
          </w:tcPr>
          <w:p w14:paraId="1ABB84CC" w14:textId="3C41D6B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0.00186</w:t>
            </w:r>
          </w:p>
        </w:tc>
        <w:tc>
          <w:tcPr>
            <w:tcW w:w="1872" w:type="dxa"/>
            <w:tcMar>
              <w:left w:w="105" w:type="dxa"/>
              <w:right w:w="105" w:type="dxa"/>
            </w:tcMar>
            <w:vAlign w:val="center"/>
          </w:tcPr>
          <w:p w14:paraId="292BC7CA" w14:textId="2B22F16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0.0000864</w:t>
            </w:r>
          </w:p>
        </w:tc>
        <w:tc>
          <w:tcPr>
            <w:tcW w:w="1872" w:type="dxa"/>
            <w:tcMar>
              <w:left w:w="105" w:type="dxa"/>
              <w:right w:w="105" w:type="dxa"/>
            </w:tcMar>
            <w:vAlign w:val="center"/>
          </w:tcPr>
          <w:p w14:paraId="1D6FABC4" w14:textId="2F6DF7B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0.000158</w:t>
            </w:r>
          </w:p>
        </w:tc>
        <w:tc>
          <w:tcPr>
            <w:tcW w:w="1872" w:type="dxa"/>
            <w:tcMar>
              <w:left w:w="105" w:type="dxa"/>
              <w:right w:w="105" w:type="dxa"/>
            </w:tcMar>
            <w:vAlign w:val="center"/>
          </w:tcPr>
          <w:p w14:paraId="6E92753C" w14:textId="5584F41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0.00450</w:t>
            </w:r>
          </w:p>
        </w:tc>
        <w:tc>
          <w:tcPr>
            <w:tcW w:w="1872" w:type="dxa"/>
            <w:tcMar>
              <w:left w:w="105" w:type="dxa"/>
              <w:right w:w="105" w:type="dxa"/>
            </w:tcMar>
            <w:vAlign w:val="center"/>
          </w:tcPr>
          <w:p w14:paraId="1F025A0A" w14:textId="393CF80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0.754</w:t>
            </w:r>
          </w:p>
        </w:tc>
      </w:tr>
      <w:tr w:rsidR="426EE3D5" w14:paraId="36B264C3" w14:textId="77777777" w:rsidTr="426EE3D5">
        <w:trPr>
          <w:trHeight w:val="300"/>
        </w:trPr>
        <w:tc>
          <w:tcPr>
            <w:tcW w:w="1872" w:type="dxa"/>
            <w:tcMar>
              <w:left w:w="105" w:type="dxa"/>
              <w:right w:w="105" w:type="dxa"/>
            </w:tcMar>
            <w:vAlign w:val="center"/>
          </w:tcPr>
          <w:p w14:paraId="78C349F5" w14:textId="363BE37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0.00220</w:t>
            </w:r>
          </w:p>
        </w:tc>
        <w:tc>
          <w:tcPr>
            <w:tcW w:w="1872" w:type="dxa"/>
            <w:tcMar>
              <w:left w:w="105" w:type="dxa"/>
              <w:right w:w="105" w:type="dxa"/>
            </w:tcMar>
            <w:vAlign w:val="center"/>
          </w:tcPr>
          <w:p w14:paraId="494D9795" w14:textId="37E876A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0.0000261</w:t>
            </w:r>
          </w:p>
        </w:tc>
        <w:tc>
          <w:tcPr>
            <w:tcW w:w="1872" w:type="dxa"/>
            <w:tcMar>
              <w:left w:w="105" w:type="dxa"/>
              <w:right w:w="105" w:type="dxa"/>
            </w:tcMar>
            <w:vAlign w:val="center"/>
          </w:tcPr>
          <w:p w14:paraId="42BC4074" w14:textId="7929053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0.000338</w:t>
            </w:r>
          </w:p>
        </w:tc>
        <w:tc>
          <w:tcPr>
            <w:tcW w:w="1872" w:type="dxa"/>
            <w:tcMar>
              <w:left w:w="105" w:type="dxa"/>
              <w:right w:w="105" w:type="dxa"/>
            </w:tcMar>
            <w:vAlign w:val="center"/>
          </w:tcPr>
          <w:p w14:paraId="26DB0ED8" w14:textId="28C2C24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0.00502</w:t>
            </w:r>
          </w:p>
        </w:tc>
        <w:tc>
          <w:tcPr>
            <w:tcW w:w="1872" w:type="dxa"/>
            <w:tcMar>
              <w:left w:w="105" w:type="dxa"/>
              <w:right w:w="105" w:type="dxa"/>
            </w:tcMar>
            <w:vAlign w:val="center"/>
          </w:tcPr>
          <w:p w14:paraId="1B7415EF" w14:textId="0A2E501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0.518</w:t>
            </w:r>
          </w:p>
        </w:tc>
      </w:tr>
      <w:tr w:rsidR="426EE3D5" w14:paraId="45E10B91" w14:textId="77777777" w:rsidTr="426EE3D5">
        <w:trPr>
          <w:trHeight w:val="300"/>
        </w:trPr>
        <w:tc>
          <w:tcPr>
            <w:tcW w:w="1872" w:type="dxa"/>
            <w:tcMar>
              <w:left w:w="105" w:type="dxa"/>
              <w:right w:w="105" w:type="dxa"/>
            </w:tcMar>
            <w:vAlign w:val="center"/>
          </w:tcPr>
          <w:p w14:paraId="204EA485" w14:textId="6ABBADE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0.00165</w:t>
            </w:r>
          </w:p>
        </w:tc>
        <w:tc>
          <w:tcPr>
            <w:tcW w:w="1872" w:type="dxa"/>
            <w:tcMar>
              <w:left w:w="105" w:type="dxa"/>
              <w:right w:w="105" w:type="dxa"/>
            </w:tcMar>
            <w:vAlign w:val="center"/>
          </w:tcPr>
          <w:p w14:paraId="5BC3ABF4" w14:textId="1D5E64B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0.0000211</w:t>
            </w:r>
          </w:p>
        </w:tc>
        <w:tc>
          <w:tcPr>
            <w:tcW w:w="1872" w:type="dxa"/>
            <w:tcMar>
              <w:left w:w="105" w:type="dxa"/>
              <w:right w:w="105" w:type="dxa"/>
            </w:tcMar>
            <w:vAlign w:val="center"/>
          </w:tcPr>
          <w:p w14:paraId="355FE8C5" w14:textId="7E3FD57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0.000169</w:t>
            </w:r>
          </w:p>
        </w:tc>
        <w:tc>
          <w:tcPr>
            <w:tcW w:w="1872" w:type="dxa"/>
            <w:tcMar>
              <w:left w:w="105" w:type="dxa"/>
              <w:right w:w="105" w:type="dxa"/>
            </w:tcMar>
            <w:vAlign w:val="center"/>
          </w:tcPr>
          <w:p w14:paraId="58AE7530" w14:textId="1B67F94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0.00497</w:t>
            </w:r>
          </w:p>
        </w:tc>
        <w:tc>
          <w:tcPr>
            <w:tcW w:w="1872" w:type="dxa"/>
            <w:tcMar>
              <w:left w:w="105" w:type="dxa"/>
              <w:right w:w="105" w:type="dxa"/>
            </w:tcMar>
            <w:vAlign w:val="center"/>
          </w:tcPr>
          <w:p w14:paraId="35B091AC" w14:textId="005C2B0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0.630</w:t>
            </w:r>
          </w:p>
        </w:tc>
      </w:tr>
      <w:tr w:rsidR="426EE3D5" w14:paraId="58126E56" w14:textId="77777777" w:rsidTr="426EE3D5">
        <w:trPr>
          <w:trHeight w:val="300"/>
        </w:trPr>
        <w:tc>
          <w:tcPr>
            <w:tcW w:w="1872" w:type="dxa"/>
            <w:tcMar>
              <w:left w:w="105" w:type="dxa"/>
              <w:right w:w="105" w:type="dxa"/>
            </w:tcMar>
            <w:vAlign w:val="center"/>
          </w:tcPr>
          <w:p w14:paraId="1FE1DA3A" w14:textId="44890B3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0.00207</w:t>
            </w:r>
          </w:p>
        </w:tc>
        <w:tc>
          <w:tcPr>
            <w:tcW w:w="1872" w:type="dxa"/>
            <w:tcMar>
              <w:left w:w="105" w:type="dxa"/>
              <w:right w:w="105" w:type="dxa"/>
            </w:tcMar>
            <w:vAlign w:val="center"/>
          </w:tcPr>
          <w:p w14:paraId="717753DA" w14:textId="193CE05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0.0000896</w:t>
            </w:r>
          </w:p>
        </w:tc>
        <w:tc>
          <w:tcPr>
            <w:tcW w:w="1872" w:type="dxa"/>
            <w:tcMar>
              <w:left w:w="105" w:type="dxa"/>
              <w:right w:w="105" w:type="dxa"/>
            </w:tcMar>
            <w:vAlign w:val="center"/>
          </w:tcPr>
          <w:p w14:paraId="42DB68CF" w14:textId="79EAE3B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0.000328</w:t>
            </w:r>
          </w:p>
        </w:tc>
        <w:tc>
          <w:tcPr>
            <w:tcW w:w="1872" w:type="dxa"/>
            <w:tcMar>
              <w:left w:w="105" w:type="dxa"/>
              <w:right w:w="105" w:type="dxa"/>
            </w:tcMar>
            <w:vAlign w:val="center"/>
          </w:tcPr>
          <w:p w14:paraId="711CF015" w14:textId="4BF780E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0.00400</w:t>
            </w:r>
          </w:p>
        </w:tc>
        <w:tc>
          <w:tcPr>
            <w:tcW w:w="1872" w:type="dxa"/>
            <w:tcMar>
              <w:left w:w="105" w:type="dxa"/>
              <w:right w:w="105" w:type="dxa"/>
            </w:tcMar>
            <w:vAlign w:val="center"/>
          </w:tcPr>
          <w:p w14:paraId="4887B9F3" w14:textId="0EB8EEA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0.895</w:t>
            </w:r>
          </w:p>
        </w:tc>
      </w:tr>
      <w:tr w:rsidR="426EE3D5" w14:paraId="7A7DDBCF" w14:textId="77777777" w:rsidTr="426EE3D5">
        <w:trPr>
          <w:trHeight w:val="300"/>
        </w:trPr>
        <w:tc>
          <w:tcPr>
            <w:tcW w:w="1872" w:type="dxa"/>
            <w:tcMar>
              <w:left w:w="105" w:type="dxa"/>
              <w:right w:w="105" w:type="dxa"/>
            </w:tcMar>
            <w:vAlign w:val="center"/>
          </w:tcPr>
          <w:p w14:paraId="311DC20E" w14:textId="1CACB1B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0.00121</w:t>
            </w:r>
          </w:p>
        </w:tc>
        <w:tc>
          <w:tcPr>
            <w:tcW w:w="1872" w:type="dxa"/>
            <w:tcMar>
              <w:left w:w="105" w:type="dxa"/>
              <w:right w:w="105" w:type="dxa"/>
            </w:tcMar>
            <w:vAlign w:val="center"/>
          </w:tcPr>
          <w:p w14:paraId="77ED3D97" w14:textId="6313CCC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0.0000438</w:t>
            </w:r>
          </w:p>
        </w:tc>
        <w:tc>
          <w:tcPr>
            <w:tcW w:w="1872" w:type="dxa"/>
            <w:tcMar>
              <w:left w:w="105" w:type="dxa"/>
              <w:right w:w="105" w:type="dxa"/>
            </w:tcMar>
            <w:vAlign w:val="center"/>
          </w:tcPr>
          <w:p w14:paraId="29A1E329" w14:textId="6B9A5B8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0.000276</w:t>
            </w:r>
          </w:p>
        </w:tc>
        <w:tc>
          <w:tcPr>
            <w:tcW w:w="1872" w:type="dxa"/>
            <w:tcMar>
              <w:left w:w="105" w:type="dxa"/>
              <w:right w:w="105" w:type="dxa"/>
            </w:tcMar>
            <w:vAlign w:val="center"/>
          </w:tcPr>
          <w:p w14:paraId="68F13039" w14:textId="7D27C11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0.00588</w:t>
            </w:r>
          </w:p>
        </w:tc>
        <w:tc>
          <w:tcPr>
            <w:tcW w:w="1872" w:type="dxa"/>
            <w:tcMar>
              <w:left w:w="105" w:type="dxa"/>
              <w:right w:w="105" w:type="dxa"/>
            </w:tcMar>
            <w:vAlign w:val="center"/>
          </w:tcPr>
          <w:p w14:paraId="555F53BE" w14:textId="6C8CAB3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0.387</w:t>
            </w:r>
          </w:p>
        </w:tc>
      </w:tr>
      <w:tr w:rsidR="426EE3D5" w14:paraId="71EA9BA7" w14:textId="77777777" w:rsidTr="426EE3D5">
        <w:trPr>
          <w:trHeight w:val="300"/>
        </w:trPr>
        <w:tc>
          <w:tcPr>
            <w:tcW w:w="1872" w:type="dxa"/>
            <w:tcMar>
              <w:left w:w="105" w:type="dxa"/>
              <w:right w:w="105" w:type="dxa"/>
            </w:tcMar>
            <w:vAlign w:val="center"/>
          </w:tcPr>
          <w:p w14:paraId="7C95B6CF" w14:textId="6E75166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0.00207</w:t>
            </w:r>
          </w:p>
        </w:tc>
        <w:tc>
          <w:tcPr>
            <w:tcW w:w="1872" w:type="dxa"/>
            <w:tcMar>
              <w:left w:w="105" w:type="dxa"/>
              <w:right w:w="105" w:type="dxa"/>
            </w:tcMar>
            <w:vAlign w:val="center"/>
          </w:tcPr>
          <w:p w14:paraId="551BDA9E" w14:textId="478C293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0.00000757</w:t>
            </w:r>
          </w:p>
        </w:tc>
        <w:tc>
          <w:tcPr>
            <w:tcW w:w="1872" w:type="dxa"/>
            <w:tcMar>
              <w:left w:w="105" w:type="dxa"/>
              <w:right w:w="105" w:type="dxa"/>
            </w:tcMar>
            <w:vAlign w:val="center"/>
          </w:tcPr>
          <w:p w14:paraId="75D598FA" w14:textId="3FC8463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0.000364</w:t>
            </w:r>
          </w:p>
        </w:tc>
        <w:tc>
          <w:tcPr>
            <w:tcW w:w="1872" w:type="dxa"/>
            <w:tcMar>
              <w:left w:w="105" w:type="dxa"/>
              <w:right w:w="105" w:type="dxa"/>
            </w:tcMar>
            <w:vAlign w:val="center"/>
          </w:tcPr>
          <w:p w14:paraId="62CEF1A1" w14:textId="6508408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0.00395</w:t>
            </w:r>
          </w:p>
        </w:tc>
        <w:tc>
          <w:tcPr>
            <w:tcW w:w="1872" w:type="dxa"/>
            <w:tcMar>
              <w:left w:w="105" w:type="dxa"/>
              <w:right w:w="105" w:type="dxa"/>
            </w:tcMar>
            <w:vAlign w:val="center"/>
          </w:tcPr>
          <w:p w14:paraId="3B4A61CB" w14:textId="003F8A2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1.07</w:t>
            </w:r>
          </w:p>
        </w:tc>
      </w:tr>
      <w:tr w:rsidR="426EE3D5" w14:paraId="6F8956C8" w14:textId="77777777" w:rsidTr="426EE3D5">
        <w:trPr>
          <w:trHeight w:val="300"/>
        </w:trPr>
        <w:tc>
          <w:tcPr>
            <w:tcW w:w="1872" w:type="dxa"/>
            <w:tcMar>
              <w:left w:w="105" w:type="dxa"/>
              <w:right w:w="105" w:type="dxa"/>
            </w:tcMar>
            <w:vAlign w:val="center"/>
          </w:tcPr>
          <w:p w14:paraId="45D3756C" w14:textId="1B4890B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0.000251</w:t>
            </w:r>
          </w:p>
        </w:tc>
        <w:tc>
          <w:tcPr>
            <w:tcW w:w="1872" w:type="dxa"/>
            <w:tcMar>
              <w:left w:w="105" w:type="dxa"/>
              <w:right w:w="105" w:type="dxa"/>
            </w:tcMar>
            <w:vAlign w:val="center"/>
          </w:tcPr>
          <w:p w14:paraId="6616638A" w14:textId="6AD5125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0.000249</w:t>
            </w:r>
          </w:p>
        </w:tc>
        <w:tc>
          <w:tcPr>
            <w:tcW w:w="1872" w:type="dxa"/>
            <w:tcMar>
              <w:left w:w="105" w:type="dxa"/>
              <w:right w:w="105" w:type="dxa"/>
            </w:tcMar>
            <w:vAlign w:val="center"/>
          </w:tcPr>
          <w:p w14:paraId="2CBAECBB" w14:textId="738D419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0.000201</w:t>
            </w:r>
          </w:p>
        </w:tc>
        <w:tc>
          <w:tcPr>
            <w:tcW w:w="1872" w:type="dxa"/>
            <w:tcMar>
              <w:left w:w="105" w:type="dxa"/>
              <w:right w:w="105" w:type="dxa"/>
            </w:tcMar>
            <w:vAlign w:val="center"/>
          </w:tcPr>
          <w:p w14:paraId="23F25E95" w14:textId="0F9D240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0.00483</w:t>
            </w:r>
          </w:p>
        </w:tc>
        <w:tc>
          <w:tcPr>
            <w:tcW w:w="1872" w:type="dxa"/>
            <w:tcMar>
              <w:left w:w="105" w:type="dxa"/>
              <w:right w:w="105" w:type="dxa"/>
            </w:tcMar>
            <w:vAlign w:val="center"/>
          </w:tcPr>
          <w:p w14:paraId="5B72CD67" w14:textId="633173A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1.04</w:t>
            </w:r>
          </w:p>
        </w:tc>
      </w:tr>
      <w:tr w:rsidR="426EE3D5" w14:paraId="46CAF5B1" w14:textId="77777777" w:rsidTr="426EE3D5">
        <w:trPr>
          <w:trHeight w:val="300"/>
        </w:trPr>
        <w:tc>
          <w:tcPr>
            <w:tcW w:w="1872" w:type="dxa"/>
            <w:tcMar>
              <w:left w:w="105" w:type="dxa"/>
              <w:right w:w="105" w:type="dxa"/>
            </w:tcMar>
            <w:vAlign w:val="center"/>
          </w:tcPr>
          <w:p w14:paraId="71DABD6F" w14:textId="3839A91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0.00102</w:t>
            </w:r>
          </w:p>
        </w:tc>
        <w:tc>
          <w:tcPr>
            <w:tcW w:w="1872" w:type="dxa"/>
            <w:tcMar>
              <w:left w:w="105" w:type="dxa"/>
              <w:right w:w="105" w:type="dxa"/>
            </w:tcMar>
            <w:vAlign w:val="center"/>
          </w:tcPr>
          <w:p w14:paraId="53A0C4E9" w14:textId="0DFCB84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0.000215</w:t>
            </w:r>
          </w:p>
        </w:tc>
        <w:tc>
          <w:tcPr>
            <w:tcW w:w="1872" w:type="dxa"/>
            <w:tcMar>
              <w:left w:w="105" w:type="dxa"/>
              <w:right w:w="105" w:type="dxa"/>
            </w:tcMar>
            <w:vAlign w:val="center"/>
          </w:tcPr>
          <w:p w14:paraId="21964656" w14:textId="3C3394A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0.000230</w:t>
            </w:r>
          </w:p>
        </w:tc>
        <w:tc>
          <w:tcPr>
            <w:tcW w:w="1872" w:type="dxa"/>
            <w:tcMar>
              <w:left w:w="105" w:type="dxa"/>
              <w:right w:w="105" w:type="dxa"/>
            </w:tcMar>
            <w:vAlign w:val="center"/>
          </w:tcPr>
          <w:p w14:paraId="73352CA0" w14:textId="7407878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0.00477</w:t>
            </w:r>
          </w:p>
        </w:tc>
        <w:tc>
          <w:tcPr>
            <w:tcW w:w="1872" w:type="dxa"/>
            <w:tcMar>
              <w:left w:w="105" w:type="dxa"/>
              <w:right w:w="105" w:type="dxa"/>
            </w:tcMar>
            <w:vAlign w:val="center"/>
          </w:tcPr>
          <w:p w14:paraId="7704CA4D" w14:textId="28F24D1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0.870</w:t>
            </w:r>
          </w:p>
        </w:tc>
      </w:tr>
      <w:tr w:rsidR="426EE3D5" w14:paraId="77FD1FBD" w14:textId="77777777" w:rsidTr="426EE3D5">
        <w:trPr>
          <w:trHeight w:val="300"/>
        </w:trPr>
        <w:tc>
          <w:tcPr>
            <w:tcW w:w="1872" w:type="dxa"/>
            <w:tcMar>
              <w:left w:w="105" w:type="dxa"/>
              <w:right w:w="105" w:type="dxa"/>
            </w:tcMar>
            <w:vAlign w:val="center"/>
          </w:tcPr>
          <w:p w14:paraId="5E765CA7" w14:textId="30C9C93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0.000149</w:t>
            </w:r>
          </w:p>
        </w:tc>
        <w:tc>
          <w:tcPr>
            <w:tcW w:w="1872" w:type="dxa"/>
            <w:tcMar>
              <w:left w:w="105" w:type="dxa"/>
              <w:right w:w="105" w:type="dxa"/>
            </w:tcMar>
            <w:vAlign w:val="center"/>
          </w:tcPr>
          <w:p w14:paraId="39BA17C2" w14:textId="0ADC9D9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0.000200</w:t>
            </w:r>
          </w:p>
        </w:tc>
        <w:tc>
          <w:tcPr>
            <w:tcW w:w="1872" w:type="dxa"/>
            <w:tcMar>
              <w:left w:w="105" w:type="dxa"/>
              <w:right w:w="105" w:type="dxa"/>
            </w:tcMar>
            <w:vAlign w:val="center"/>
          </w:tcPr>
          <w:p w14:paraId="7F7B9BFF" w14:textId="2885B0D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0.000344</w:t>
            </w:r>
          </w:p>
        </w:tc>
        <w:tc>
          <w:tcPr>
            <w:tcW w:w="1872" w:type="dxa"/>
            <w:tcMar>
              <w:left w:w="105" w:type="dxa"/>
              <w:right w:w="105" w:type="dxa"/>
            </w:tcMar>
            <w:vAlign w:val="center"/>
          </w:tcPr>
          <w:p w14:paraId="48E34D6A" w14:textId="5257AA6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0.00442</w:t>
            </w:r>
          </w:p>
        </w:tc>
        <w:tc>
          <w:tcPr>
            <w:tcW w:w="1872" w:type="dxa"/>
            <w:tcMar>
              <w:left w:w="105" w:type="dxa"/>
              <w:right w:w="105" w:type="dxa"/>
            </w:tcMar>
            <w:vAlign w:val="center"/>
          </w:tcPr>
          <w:p w14:paraId="447A2C98" w14:textId="4D09985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0.675</w:t>
            </w:r>
          </w:p>
        </w:tc>
      </w:tr>
      <w:tr w:rsidR="426EE3D5" w14:paraId="0ADD8C78" w14:textId="77777777" w:rsidTr="426EE3D5">
        <w:trPr>
          <w:trHeight w:val="300"/>
        </w:trPr>
        <w:tc>
          <w:tcPr>
            <w:tcW w:w="1872" w:type="dxa"/>
            <w:tcMar>
              <w:left w:w="105" w:type="dxa"/>
              <w:right w:w="105" w:type="dxa"/>
            </w:tcMar>
            <w:vAlign w:val="center"/>
          </w:tcPr>
          <w:p w14:paraId="7D130F71" w14:textId="7DC4C68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0.00130</w:t>
            </w:r>
          </w:p>
        </w:tc>
        <w:tc>
          <w:tcPr>
            <w:tcW w:w="1872" w:type="dxa"/>
            <w:tcMar>
              <w:left w:w="105" w:type="dxa"/>
              <w:right w:w="105" w:type="dxa"/>
            </w:tcMar>
            <w:vAlign w:val="center"/>
          </w:tcPr>
          <w:p w14:paraId="0918D3A4" w14:textId="6BA3CA2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0.000194</w:t>
            </w:r>
          </w:p>
        </w:tc>
        <w:tc>
          <w:tcPr>
            <w:tcW w:w="1872" w:type="dxa"/>
            <w:tcMar>
              <w:left w:w="105" w:type="dxa"/>
              <w:right w:w="105" w:type="dxa"/>
            </w:tcMar>
            <w:vAlign w:val="center"/>
          </w:tcPr>
          <w:p w14:paraId="7A89CC01" w14:textId="3CAF747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0.000141</w:t>
            </w:r>
          </w:p>
        </w:tc>
        <w:tc>
          <w:tcPr>
            <w:tcW w:w="1872" w:type="dxa"/>
            <w:tcMar>
              <w:left w:w="105" w:type="dxa"/>
              <w:right w:w="105" w:type="dxa"/>
            </w:tcMar>
            <w:vAlign w:val="center"/>
          </w:tcPr>
          <w:p w14:paraId="44D6FA84" w14:textId="215C88B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0.00888</w:t>
            </w:r>
          </w:p>
        </w:tc>
        <w:tc>
          <w:tcPr>
            <w:tcW w:w="1872" w:type="dxa"/>
            <w:tcMar>
              <w:left w:w="105" w:type="dxa"/>
              <w:right w:w="105" w:type="dxa"/>
            </w:tcMar>
            <w:vAlign w:val="center"/>
          </w:tcPr>
          <w:p w14:paraId="73260E26" w14:textId="6127B44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0.656</w:t>
            </w:r>
          </w:p>
        </w:tc>
      </w:tr>
      <w:tr w:rsidR="426EE3D5" w14:paraId="5BB65C4D" w14:textId="77777777" w:rsidTr="426EE3D5">
        <w:trPr>
          <w:trHeight w:val="300"/>
        </w:trPr>
        <w:tc>
          <w:tcPr>
            <w:tcW w:w="1872" w:type="dxa"/>
            <w:tcMar>
              <w:left w:w="105" w:type="dxa"/>
              <w:right w:w="105" w:type="dxa"/>
            </w:tcMar>
            <w:vAlign w:val="center"/>
          </w:tcPr>
          <w:p w14:paraId="666BC970" w14:textId="41447BB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0.000698</w:t>
            </w:r>
          </w:p>
        </w:tc>
        <w:tc>
          <w:tcPr>
            <w:tcW w:w="1872" w:type="dxa"/>
            <w:tcMar>
              <w:left w:w="105" w:type="dxa"/>
              <w:right w:w="105" w:type="dxa"/>
            </w:tcMar>
            <w:vAlign w:val="center"/>
          </w:tcPr>
          <w:p w14:paraId="3358D503" w14:textId="659853D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0.000189</w:t>
            </w:r>
          </w:p>
        </w:tc>
        <w:tc>
          <w:tcPr>
            <w:tcW w:w="1872" w:type="dxa"/>
            <w:tcMar>
              <w:left w:w="105" w:type="dxa"/>
              <w:right w:w="105" w:type="dxa"/>
            </w:tcMar>
            <w:vAlign w:val="center"/>
          </w:tcPr>
          <w:p w14:paraId="09C693B8" w14:textId="7C24667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0.000223</w:t>
            </w:r>
          </w:p>
        </w:tc>
        <w:tc>
          <w:tcPr>
            <w:tcW w:w="1872" w:type="dxa"/>
            <w:tcMar>
              <w:left w:w="105" w:type="dxa"/>
              <w:right w:w="105" w:type="dxa"/>
            </w:tcMar>
            <w:vAlign w:val="center"/>
          </w:tcPr>
          <w:p w14:paraId="7992BE2B" w14:textId="1E518F4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0.00704</w:t>
            </w:r>
          </w:p>
        </w:tc>
        <w:tc>
          <w:tcPr>
            <w:tcW w:w="1872" w:type="dxa"/>
            <w:tcMar>
              <w:left w:w="105" w:type="dxa"/>
              <w:right w:w="105" w:type="dxa"/>
            </w:tcMar>
            <w:vAlign w:val="center"/>
          </w:tcPr>
          <w:p w14:paraId="35AA9CF1" w14:textId="2809C6B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0.417</w:t>
            </w:r>
          </w:p>
        </w:tc>
      </w:tr>
      <w:tr w:rsidR="426EE3D5" w14:paraId="1019FA83" w14:textId="77777777" w:rsidTr="426EE3D5">
        <w:trPr>
          <w:trHeight w:val="300"/>
        </w:trPr>
        <w:tc>
          <w:tcPr>
            <w:tcW w:w="1872" w:type="dxa"/>
            <w:tcMar>
              <w:left w:w="105" w:type="dxa"/>
              <w:right w:w="105" w:type="dxa"/>
            </w:tcMar>
            <w:vAlign w:val="center"/>
          </w:tcPr>
          <w:p w14:paraId="365D5787" w14:textId="54C1C27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0.000260</w:t>
            </w:r>
          </w:p>
        </w:tc>
        <w:tc>
          <w:tcPr>
            <w:tcW w:w="1872" w:type="dxa"/>
            <w:tcMar>
              <w:left w:w="105" w:type="dxa"/>
              <w:right w:w="105" w:type="dxa"/>
            </w:tcMar>
            <w:vAlign w:val="center"/>
          </w:tcPr>
          <w:p w14:paraId="00D3F8C5" w14:textId="175AE63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0.000184</w:t>
            </w:r>
          </w:p>
        </w:tc>
        <w:tc>
          <w:tcPr>
            <w:tcW w:w="1872" w:type="dxa"/>
            <w:tcMar>
              <w:left w:w="105" w:type="dxa"/>
              <w:right w:w="105" w:type="dxa"/>
            </w:tcMar>
            <w:vAlign w:val="center"/>
          </w:tcPr>
          <w:p w14:paraId="0402E93C" w14:textId="79C95AA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0.000276</w:t>
            </w:r>
          </w:p>
        </w:tc>
        <w:tc>
          <w:tcPr>
            <w:tcW w:w="1872" w:type="dxa"/>
            <w:tcMar>
              <w:left w:w="105" w:type="dxa"/>
              <w:right w:w="105" w:type="dxa"/>
            </w:tcMar>
            <w:vAlign w:val="center"/>
          </w:tcPr>
          <w:p w14:paraId="186E48E8" w14:textId="412EBF1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0.00588</w:t>
            </w:r>
          </w:p>
        </w:tc>
        <w:tc>
          <w:tcPr>
            <w:tcW w:w="1872" w:type="dxa"/>
            <w:tcMar>
              <w:left w:w="105" w:type="dxa"/>
              <w:right w:w="105" w:type="dxa"/>
            </w:tcMar>
            <w:vAlign w:val="center"/>
          </w:tcPr>
          <w:p w14:paraId="59380A8B" w14:textId="4475B58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0.387</w:t>
            </w:r>
          </w:p>
        </w:tc>
      </w:tr>
      <w:tr w:rsidR="426EE3D5" w14:paraId="6B70A841" w14:textId="77777777" w:rsidTr="426EE3D5">
        <w:trPr>
          <w:trHeight w:val="300"/>
        </w:trPr>
        <w:tc>
          <w:tcPr>
            <w:tcW w:w="1872" w:type="dxa"/>
            <w:tcMar>
              <w:left w:w="105" w:type="dxa"/>
              <w:right w:w="105" w:type="dxa"/>
            </w:tcMar>
            <w:vAlign w:val="center"/>
          </w:tcPr>
          <w:p w14:paraId="4D798069" w14:textId="15E131F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lastRenderedPageBreak/>
              <w:t>0.00144</w:t>
            </w:r>
          </w:p>
        </w:tc>
        <w:tc>
          <w:tcPr>
            <w:tcW w:w="1872" w:type="dxa"/>
            <w:tcMar>
              <w:left w:w="105" w:type="dxa"/>
              <w:right w:w="105" w:type="dxa"/>
            </w:tcMar>
            <w:vAlign w:val="center"/>
          </w:tcPr>
          <w:p w14:paraId="56B68444" w14:textId="0160F73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0.000168</w:t>
            </w:r>
          </w:p>
        </w:tc>
        <w:tc>
          <w:tcPr>
            <w:tcW w:w="1872" w:type="dxa"/>
            <w:tcMar>
              <w:left w:w="105" w:type="dxa"/>
              <w:right w:w="105" w:type="dxa"/>
            </w:tcMar>
            <w:vAlign w:val="center"/>
          </w:tcPr>
          <w:p w14:paraId="0CF0F2F1" w14:textId="7A8CA88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0.000229</w:t>
            </w:r>
          </w:p>
        </w:tc>
        <w:tc>
          <w:tcPr>
            <w:tcW w:w="1872" w:type="dxa"/>
            <w:tcMar>
              <w:left w:w="105" w:type="dxa"/>
              <w:right w:w="105" w:type="dxa"/>
            </w:tcMar>
            <w:vAlign w:val="center"/>
          </w:tcPr>
          <w:p w14:paraId="7DB4C330" w14:textId="3805A9B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0.00718</w:t>
            </w:r>
          </w:p>
        </w:tc>
        <w:tc>
          <w:tcPr>
            <w:tcW w:w="1872" w:type="dxa"/>
            <w:tcMar>
              <w:left w:w="105" w:type="dxa"/>
              <w:right w:w="105" w:type="dxa"/>
            </w:tcMar>
            <w:vAlign w:val="center"/>
          </w:tcPr>
          <w:p w14:paraId="38154C26" w14:textId="3DC1262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0.505</w:t>
            </w:r>
          </w:p>
        </w:tc>
      </w:tr>
      <w:tr w:rsidR="426EE3D5" w14:paraId="4C8DE870" w14:textId="77777777" w:rsidTr="426EE3D5">
        <w:trPr>
          <w:trHeight w:val="300"/>
        </w:trPr>
        <w:tc>
          <w:tcPr>
            <w:tcW w:w="1872" w:type="dxa"/>
            <w:tcMar>
              <w:left w:w="105" w:type="dxa"/>
              <w:right w:w="105" w:type="dxa"/>
            </w:tcMar>
            <w:vAlign w:val="center"/>
          </w:tcPr>
          <w:p w14:paraId="26A250E2" w14:textId="2127479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0.000265</w:t>
            </w:r>
          </w:p>
        </w:tc>
        <w:tc>
          <w:tcPr>
            <w:tcW w:w="1872" w:type="dxa"/>
            <w:tcMar>
              <w:left w:w="105" w:type="dxa"/>
              <w:right w:w="105" w:type="dxa"/>
            </w:tcMar>
            <w:vAlign w:val="center"/>
          </w:tcPr>
          <w:p w14:paraId="40507943" w14:textId="084D136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0.000160</w:t>
            </w:r>
          </w:p>
        </w:tc>
        <w:tc>
          <w:tcPr>
            <w:tcW w:w="1872" w:type="dxa"/>
            <w:tcMar>
              <w:left w:w="105" w:type="dxa"/>
              <w:right w:w="105" w:type="dxa"/>
            </w:tcMar>
            <w:vAlign w:val="center"/>
          </w:tcPr>
          <w:p w14:paraId="5040620F" w14:textId="2C633A5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0.000338</w:t>
            </w:r>
          </w:p>
        </w:tc>
        <w:tc>
          <w:tcPr>
            <w:tcW w:w="1872" w:type="dxa"/>
            <w:tcMar>
              <w:left w:w="105" w:type="dxa"/>
              <w:right w:w="105" w:type="dxa"/>
            </w:tcMar>
            <w:vAlign w:val="center"/>
          </w:tcPr>
          <w:p w14:paraId="636FB46A" w14:textId="75DD93C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0.00502</w:t>
            </w:r>
          </w:p>
        </w:tc>
        <w:tc>
          <w:tcPr>
            <w:tcW w:w="1872" w:type="dxa"/>
            <w:tcMar>
              <w:left w:w="105" w:type="dxa"/>
              <w:right w:w="105" w:type="dxa"/>
            </w:tcMar>
            <w:vAlign w:val="center"/>
          </w:tcPr>
          <w:p w14:paraId="2A1B4566" w14:textId="7A689A7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0.518</w:t>
            </w:r>
          </w:p>
        </w:tc>
      </w:tr>
      <w:tr w:rsidR="426EE3D5" w14:paraId="10E3126F" w14:textId="77777777" w:rsidTr="426EE3D5">
        <w:trPr>
          <w:trHeight w:val="300"/>
        </w:trPr>
        <w:tc>
          <w:tcPr>
            <w:tcW w:w="1872" w:type="dxa"/>
            <w:tcMar>
              <w:left w:w="105" w:type="dxa"/>
              <w:right w:w="105" w:type="dxa"/>
            </w:tcMar>
            <w:vAlign w:val="center"/>
          </w:tcPr>
          <w:p w14:paraId="265A39E0" w14:textId="7653934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0.000938</w:t>
            </w:r>
          </w:p>
        </w:tc>
        <w:tc>
          <w:tcPr>
            <w:tcW w:w="1872" w:type="dxa"/>
            <w:tcMar>
              <w:left w:w="105" w:type="dxa"/>
              <w:right w:w="105" w:type="dxa"/>
            </w:tcMar>
            <w:vAlign w:val="center"/>
          </w:tcPr>
          <w:p w14:paraId="5B941B29" w14:textId="75DD48D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0.000140</w:t>
            </w:r>
          </w:p>
        </w:tc>
        <w:tc>
          <w:tcPr>
            <w:tcW w:w="1872" w:type="dxa"/>
            <w:tcMar>
              <w:left w:w="105" w:type="dxa"/>
              <w:right w:w="105" w:type="dxa"/>
            </w:tcMar>
            <w:vAlign w:val="center"/>
          </w:tcPr>
          <w:p w14:paraId="72564D8C" w14:textId="0E4E55B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0.000584</w:t>
            </w:r>
          </w:p>
        </w:tc>
        <w:tc>
          <w:tcPr>
            <w:tcW w:w="1872" w:type="dxa"/>
            <w:tcMar>
              <w:left w:w="105" w:type="dxa"/>
              <w:right w:w="105" w:type="dxa"/>
            </w:tcMar>
            <w:vAlign w:val="center"/>
          </w:tcPr>
          <w:p w14:paraId="41B1ABA5" w14:textId="258A6DD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0.00620</w:t>
            </w:r>
          </w:p>
        </w:tc>
        <w:tc>
          <w:tcPr>
            <w:tcW w:w="1872" w:type="dxa"/>
            <w:tcMar>
              <w:left w:w="105" w:type="dxa"/>
              <w:right w:w="105" w:type="dxa"/>
            </w:tcMar>
            <w:vAlign w:val="center"/>
          </w:tcPr>
          <w:p w14:paraId="498AC35F" w14:textId="657A050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0.473</w:t>
            </w:r>
          </w:p>
        </w:tc>
      </w:tr>
      <w:tr w:rsidR="426EE3D5" w14:paraId="60A87C79" w14:textId="77777777" w:rsidTr="426EE3D5">
        <w:trPr>
          <w:trHeight w:val="300"/>
        </w:trPr>
        <w:tc>
          <w:tcPr>
            <w:tcW w:w="1872" w:type="dxa"/>
            <w:tcMar>
              <w:left w:w="105" w:type="dxa"/>
              <w:right w:w="105" w:type="dxa"/>
            </w:tcMar>
            <w:vAlign w:val="center"/>
          </w:tcPr>
          <w:p w14:paraId="2D649930" w14:textId="5D01ADD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0.00118</w:t>
            </w:r>
          </w:p>
        </w:tc>
        <w:tc>
          <w:tcPr>
            <w:tcW w:w="1872" w:type="dxa"/>
            <w:tcMar>
              <w:left w:w="105" w:type="dxa"/>
              <w:right w:w="105" w:type="dxa"/>
            </w:tcMar>
            <w:vAlign w:val="center"/>
          </w:tcPr>
          <w:p w14:paraId="25C38B02" w14:textId="14C328C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0.000139</w:t>
            </w:r>
          </w:p>
        </w:tc>
        <w:tc>
          <w:tcPr>
            <w:tcW w:w="1872" w:type="dxa"/>
            <w:tcMar>
              <w:left w:w="105" w:type="dxa"/>
              <w:right w:w="105" w:type="dxa"/>
            </w:tcMar>
            <w:vAlign w:val="center"/>
          </w:tcPr>
          <w:p w14:paraId="32A0E90C" w14:textId="3AE477D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0.000219</w:t>
            </w:r>
          </w:p>
        </w:tc>
        <w:tc>
          <w:tcPr>
            <w:tcW w:w="1872" w:type="dxa"/>
            <w:tcMar>
              <w:left w:w="105" w:type="dxa"/>
              <w:right w:w="105" w:type="dxa"/>
            </w:tcMar>
            <w:vAlign w:val="center"/>
          </w:tcPr>
          <w:p w14:paraId="3AFD1A67" w14:textId="154BFF6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0.00596</w:t>
            </w:r>
          </w:p>
        </w:tc>
        <w:tc>
          <w:tcPr>
            <w:tcW w:w="1872" w:type="dxa"/>
            <w:tcMar>
              <w:left w:w="105" w:type="dxa"/>
              <w:right w:w="105" w:type="dxa"/>
            </w:tcMar>
            <w:vAlign w:val="center"/>
          </w:tcPr>
          <w:p w14:paraId="68669C24" w14:textId="4055A50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0.764</w:t>
            </w:r>
          </w:p>
        </w:tc>
      </w:tr>
      <w:tr w:rsidR="426EE3D5" w14:paraId="17A57AD0" w14:textId="77777777" w:rsidTr="426EE3D5">
        <w:trPr>
          <w:trHeight w:val="300"/>
        </w:trPr>
        <w:tc>
          <w:tcPr>
            <w:tcW w:w="1872" w:type="dxa"/>
            <w:tcMar>
              <w:left w:w="105" w:type="dxa"/>
              <w:right w:w="105" w:type="dxa"/>
            </w:tcMar>
            <w:vAlign w:val="center"/>
          </w:tcPr>
          <w:p w14:paraId="5B762686" w14:textId="404AE69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0.000368</w:t>
            </w:r>
          </w:p>
        </w:tc>
        <w:tc>
          <w:tcPr>
            <w:tcW w:w="1872" w:type="dxa"/>
            <w:tcMar>
              <w:left w:w="105" w:type="dxa"/>
              <w:right w:w="105" w:type="dxa"/>
            </w:tcMar>
            <w:vAlign w:val="center"/>
          </w:tcPr>
          <w:p w14:paraId="0EF29732" w14:textId="4A698A7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0.000109</w:t>
            </w:r>
          </w:p>
        </w:tc>
        <w:tc>
          <w:tcPr>
            <w:tcW w:w="1872" w:type="dxa"/>
            <w:tcMar>
              <w:left w:w="105" w:type="dxa"/>
              <w:right w:w="105" w:type="dxa"/>
            </w:tcMar>
            <w:vAlign w:val="center"/>
          </w:tcPr>
          <w:p w14:paraId="7F4D5C9A" w14:textId="3BFC238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0.000294</w:t>
            </w:r>
          </w:p>
        </w:tc>
        <w:tc>
          <w:tcPr>
            <w:tcW w:w="1872" w:type="dxa"/>
            <w:tcMar>
              <w:left w:w="105" w:type="dxa"/>
              <w:right w:w="105" w:type="dxa"/>
            </w:tcMar>
            <w:vAlign w:val="center"/>
          </w:tcPr>
          <w:p w14:paraId="4D79B114" w14:textId="150DBB8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0.00845</w:t>
            </w:r>
          </w:p>
        </w:tc>
        <w:tc>
          <w:tcPr>
            <w:tcW w:w="1872" w:type="dxa"/>
            <w:tcMar>
              <w:left w:w="105" w:type="dxa"/>
              <w:right w:w="105" w:type="dxa"/>
            </w:tcMar>
            <w:vAlign w:val="center"/>
          </w:tcPr>
          <w:p w14:paraId="1FCCB835" w14:textId="6E964F0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0.434</w:t>
            </w:r>
          </w:p>
        </w:tc>
      </w:tr>
      <w:tr w:rsidR="426EE3D5" w14:paraId="32D97B8C" w14:textId="77777777" w:rsidTr="426EE3D5">
        <w:trPr>
          <w:trHeight w:val="300"/>
        </w:trPr>
        <w:tc>
          <w:tcPr>
            <w:tcW w:w="1872" w:type="dxa"/>
            <w:tcMar>
              <w:left w:w="105" w:type="dxa"/>
              <w:right w:w="105" w:type="dxa"/>
            </w:tcMar>
            <w:vAlign w:val="center"/>
          </w:tcPr>
          <w:p w14:paraId="64E677CD" w14:textId="452C0CF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0.000224</w:t>
            </w:r>
          </w:p>
        </w:tc>
        <w:tc>
          <w:tcPr>
            <w:tcW w:w="1872" w:type="dxa"/>
            <w:tcMar>
              <w:left w:w="105" w:type="dxa"/>
              <w:right w:w="105" w:type="dxa"/>
            </w:tcMar>
            <w:vAlign w:val="center"/>
          </w:tcPr>
          <w:p w14:paraId="77F9AD1D" w14:textId="2725BFC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0.0000939</w:t>
            </w:r>
          </w:p>
        </w:tc>
        <w:tc>
          <w:tcPr>
            <w:tcW w:w="1872" w:type="dxa"/>
            <w:tcMar>
              <w:left w:w="105" w:type="dxa"/>
              <w:right w:w="105" w:type="dxa"/>
            </w:tcMar>
            <w:vAlign w:val="center"/>
          </w:tcPr>
          <w:p w14:paraId="408BB67A" w14:textId="08C61D8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0.000328</w:t>
            </w:r>
          </w:p>
        </w:tc>
        <w:tc>
          <w:tcPr>
            <w:tcW w:w="1872" w:type="dxa"/>
            <w:tcMar>
              <w:left w:w="105" w:type="dxa"/>
              <w:right w:w="105" w:type="dxa"/>
            </w:tcMar>
            <w:vAlign w:val="center"/>
          </w:tcPr>
          <w:p w14:paraId="7EBC13E3" w14:textId="06B71A8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0.00400</w:t>
            </w:r>
          </w:p>
        </w:tc>
        <w:tc>
          <w:tcPr>
            <w:tcW w:w="1872" w:type="dxa"/>
            <w:tcMar>
              <w:left w:w="105" w:type="dxa"/>
              <w:right w:w="105" w:type="dxa"/>
            </w:tcMar>
            <w:vAlign w:val="center"/>
          </w:tcPr>
          <w:p w14:paraId="0AD4EAA0" w14:textId="1D501B4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0.895</w:t>
            </w:r>
          </w:p>
        </w:tc>
      </w:tr>
      <w:tr w:rsidR="426EE3D5" w14:paraId="6C5B0D2D" w14:textId="77777777" w:rsidTr="426EE3D5">
        <w:trPr>
          <w:trHeight w:val="300"/>
        </w:trPr>
        <w:tc>
          <w:tcPr>
            <w:tcW w:w="1872" w:type="dxa"/>
            <w:tcMar>
              <w:left w:w="105" w:type="dxa"/>
              <w:right w:w="105" w:type="dxa"/>
            </w:tcMar>
            <w:vAlign w:val="center"/>
          </w:tcPr>
          <w:p w14:paraId="41D52261" w14:textId="032E592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0.00127</w:t>
            </w:r>
          </w:p>
        </w:tc>
        <w:tc>
          <w:tcPr>
            <w:tcW w:w="1872" w:type="dxa"/>
            <w:tcMar>
              <w:left w:w="105" w:type="dxa"/>
              <w:right w:w="105" w:type="dxa"/>
            </w:tcMar>
            <w:vAlign w:val="center"/>
          </w:tcPr>
          <w:p w14:paraId="3762D391" w14:textId="0C4D96F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0.0000146</w:t>
            </w:r>
          </w:p>
        </w:tc>
        <w:tc>
          <w:tcPr>
            <w:tcW w:w="1872" w:type="dxa"/>
            <w:tcMar>
              <w:left w:w="105" w:type="dxa"/>
              <w:right w:w="105" w:type="dxa"/>
            </w:tcMar>
            <w:vAlign w:val="center"/>
          </w:tcPr>
          <w:p w14:paraId="7A052D4C" w14:textId="0783F66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0.000437</w:t>
            </w:r>
          </w:p>
        </w:tc>
        <w:tc>
          <w:tcPr>
            <w:tcW w:w="1872" w:type="dxa"/>
            <w:tcMar>
              <w:left w:w="105" w:type="dxa"/>
              <w:right w:w="105" w:type="dxa"/>
            </w:tcMar>
            <w:vAlign w:val="center"/>
          </w:tcPr>
          <w:p w14:paraId="10F3AFF9" w14:textId="2FE5FCC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0.00374</w:t>
            </w:r>
          </w:p>
        </w:tc>
        <w:tc>
          <w:tcPr>
            <w:tcW w:w="1872" w:type="dxa"/>
            <w:tcMar>
              <w:left w:w="105" w:type="dxa"/>
              <w:right w:w="105" w:type="dxa"/>
            </w:tcMar>
            <w:vAlign w:val="center"/>
          </w:tcPr>
          <w:p w14:paraId="70643B49" w14:textId="2378502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0.705</w:t>
            </w:r>
          </w:p>
        </w:tc>
      </w:tr>
      <w:tr w:rsidR="426EE3D5" w14:paraId="4BC02322" w14:textId="77777777" w:rsidTr="426EE3D5">
        <w:trPr>
          <w:trHeight w:val="300"/>
        </w:trPr>
        <w:tc>
          <w:tcPr>
            <w:tcW w:w="1872" w:type="dxa"/>
            <w:tcMar>
              <w:left w:w="105" w:type="dxa"/>
              <w:right w:w="105" w:type="dxa"/>
            </w:tcMar>
            <w:vAlign w:val="center"/>
          </w:tcPr>
          <w:p w14:paraId="01CA86F3" w14:textId="70C3E45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0.00148</w:t>
            </w:r>
          </w:p>
        </w:tc>
        <w:tc>
          <w:tcPr>
            <w:tcW w:w="1872" w:type="dxa"/>
            <w:tcMar>
              <w:left w:w="105" w:type="dxa"/>
              <w:right w:w="105" w:type="dxa"/>
            </w:tcMar>
            <w:vAlign w:val="center"/>
          </w:tcPr>
          <w:p w14:paraId="107B5C43" w14:textId="0E8042C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0.0000181</w:t>
            </w:r>
          </w:p>
        </w:tc>
        <w:tc>
          <w:tcPr>
            <w:tcW w:w="1872" w:type="dxa"/>
            <w:tcMar>
              <w:left w:w="105" w:type="dxa"/>
              <w:right w:w="105" w:type="dxa"/>
            </w:tcMar>
            <w:vAlign w:val="center"/>
          </w:tcPr>
          <w:p w14:paraId="0ADF6295" w14:textId="5227E78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0.000344</w:t>
            </w:r>
          </w:p>
        </w:tc>
        <w:tc>
          <w:tcPr>
            <w:tcW w:w="1872" w:type="dxa"/>
            <w:tcMar>
              <w:left w:w="105" w:type="dxa"/>
              <w:right w:w="105" w:type="dxa"/>
            </w:tcMar>
            <w:vAlign w:val="center"/>
          </w:tcPr>
          <w:p w14:paraId="7B39EEA9" w14:textId="74E2437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0.00442</w:t>
            </w:r>
          </w:p>
        </w:tc>
        <w:tc>
          <w:tcPr>
            <w:tcW w:w="1872" w:type="dxa"/>
            <w:tcMar>
              <w:left w:w="105" w:type="dxa"/>
              <w:right w:w="105" w:type="dxa"/>
            </w:tcMar>
            <w:vAlign w:val="center"/>
          </w:tcPr>
          <w:p w14:paraId="735C453C" w14:textId="1E742FE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0.675</w:t>
            </w:r>
          </w:p>
        </w:tc>
      </w:tr>
      <w:tr w:rsidR="426EE3D5" w14:paraId="7B99C1B8" w14:textId="77777777" w:rsidTr="426EE3D5">
        <w:trPr>
          <w:trHeight w:val="300"/>
        </w:trPr>
        <w:tc>
          <w:tcPr>
            <w:tcW w:w="1872" w:type="dxa"/>
            <w:tcMar>
              <w:left w:w="105" w:type="dxa"/>
              <w:right w:w="105" w:type="dxa"/>
            </w:tcMar>
            <w:vAlign w:val="center"/>
          </w:tcPr>
          <w:p w14:paraId="448A1F5F" w14:textId="62323BC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0.00186</w:t>
            </w:r>
          </w:p>
        </w:tc>
        <w:tc>
          <w:tcPr>
            <w:tcW w:w="1872" w:type="dxa"/>
            <w:tcMar>
              <w:left w:w="105" w:type="dxa"/>
              <w:right w:w="105" w:type="dxa"/>
            </w:tcMar>
            <w:vAlign w:val="center"/>
          </w:tcPr>
          <w:p w14:paraId="4E7901EA" w14:textId="77CFAFB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0.0000864</w:t>
            </w:r>
          </w:p>
        </w:tc>
        <w:tc>
          <w:tcPr>
            <w:tcW w:w="1872" w:type="dxa"/>
            <w:tcMar>
              <w:left w:w="105" w:type="dxa"/>
              <w:right w:w="105" w:type="dxa"/>
            </w:tcMar>
            <w:vAlign w:val="center"/>
          </w:tcPr>
          <w:p w14:paraId="11AB58CA" w14:textId="3F65837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0.000158</w:t>
            </w:r>
          </w:p>
        </w:tc>
        <w:tc>
          <w:tcPr>
            <w:tcW w:w="1872" w:type="dxa"/>
            <w:tcMar>
              <w:left w:w="105" w:type="dxa"/>
              <w:right w:w="105" w:type="dxa"/>
            </w:tcMar>
            <w:vAlign w:val="center"/>
          </w:tcPr>
          <w:p w14:paraId="1AA37818" w14:textId="1C8AC7C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0.00450</w:t>
            </w:r>
          </w:p>
        </w:tc>
        <w:tc>
          <w:tcPr>
            <w:tcW w:w="1872" w:type="dxa"/>
            <w:tcMar>
              <w:left w:w="105" w:type="dxa"/>
              <w:right w:w="105" w:type="dxa"/>
            </w:tcMar>
            <w:vAlign w:val="center"/>
          </w:tcPr>
          <w:p w14:paraId="2F1DB884" w14:textId="45E1D28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0.754</w:t>
            </w:r>
          </w:p>
        </w:tc>
      </w:tr>
      <w:tr w:rsidR="426EE3D5" w14:paraId="70FC2D81" w14:textId="77777777" w:rsidTr="426EE3D5">
        <w:trPr>
          <w:trHeight w:val="300"/>
        </w:trPr>
        <w:tc>
          <w:tcPr>
            <w:tcW w:w="1872" w:type="dxa"/>
            <w:tcMar>
              <w:left w:w="105" w:type="dxa"/>
              <w:right w:w="105" w:type="dxa"/>
            </w:tcMar>
            <w:vAlign w:val="center"/>
          </w:tcPr>
          <w:p w14:paraId="1BB679EC" w14:textId="627DD76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0.00220</w:t>
            </w:r>
          </w:p>
        </w:tc>
        <w:tc>
          <w:tcPr>
            <w:tcW w:w="1872" w:type="dxa"/>
            <w:tcMar>
              <w:left w:w="105" w:type="dxa"/>
              <w:right w:w="105" w:type="dxa"/>
            </w:tcMar>
            <w:vAlign w:val="center"/>
          </w:tcPr>
          <w:p w14:paraId="1A292433" w14:textId="6DC47F1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0.0000261</w:t>
            </w:r>
          </w:p>
        </w:tc>
        <w:tc>
          <w:tcPr>
            <w:tcW w:w="1872" w:type="dxa"/>
            <w:tcMar>
              <w:left w:w="105" w:type="dxa"/>
              <w:right w:w="105" w:type="dxa"/>
            </w:tcMar>
            <w:vAlign w:val="center"/>
          </w:tcPr>
          <w:p w14:paraId="7CEDCB63" w14:textId="410E28E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0.000338</w:t>
            </w:r>
          </w:p>
        </w:tc>
        <w:tc>
          <w:tcPr>
            <w:tcW w:w="1872" w:type="dxa"/>
            <w:tcMar>
              <w:left w:w="105" w:type="dxa"/>
              <w:right w:w="105" w:type="dxa"/>
            </w:tcMar>
            <w:vAlign w:val="center"/>
          </w:tcPr>
          <w:p w14:paraId="0BC0A1D9" w14:textId="05C06D4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0.00502</w:t>
            </w:r>
          </w:p>
        </w:tc>
        <w:tc>
          <w:tcPr>
            <w:tcW w:w="1872" w:type="dxa"/>
            <w:tcMar>
              <w:left w:w="105" w:type="dxa"/>
              <w:right w:w="105" w:type="dxa"/>
            </w:tcMar>
            <w:vAlign w:val="center"/>
          </w:tcPr>
          <w:p w14:paraId="17C70590" w14:textId="7E615A6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0.518</w:t>
            </w:r>
          </w:p>
        </w:tc>
      </w:tr>
      <w:tr w:rsidR="426EE3D5" w14:paraId="486A8286" w14:textId="77777777" w:rsidTr="426EE3D5">
        <w:trPr>
          <w:trHeight w:val="300"/>
        </w:trPr>
        <w:tc>
          <w:tcPr>
            <w:tcW w:w="1872" w:type="dxa"/>
            <w:tcMar>
              <w:left w:w="105" w:type="dxa"/>
              <w:right w:w="105" w:type="dxa"/>
            </w:tcMar>
            <w:vAlign w:val="center"/>
          </w:tcPr>
          <w:p w14:paraId="18618658" w14:textId="6C2ACC0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0.00165</w:t>
            </w:r>
          </w:p>
        </w:tc>
        <w:tc>
          <w:tcPr>
            <w:tcW w:w="1872" w:type="dxa"/>
            <w:tcMar>
              <w:left w:w="105" w:type="dxa"/>
              <w:right w:w="105" w:type="dxa"/>
            </w:tcMar>
            <w:vAlign w:val="center"/>
          </w:tcPr>
          <w:p w14:paraId="565AB03E" w14:textId="4723400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0.0000211</w:t>
            </w:r>
          </w:p>
        </w:tc>
        <w:tc>
          <w:tcPr>
            <w:tcW w:w="1872" w:type="dxa"/>
            <w:tcMar>
              <w:left w:w="105" w:type="dxa"/>
              <w:right w:w="105" w:type="dxa"/>
            </w:tcMar>
            <w:vAlign w:val="center"/>
          </w:tcPr>
          <w:p w14:paraId="5E93E6CB" w14:textId="13715FF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0.000169</w:t>
            </w:r>
          </w:p>
        </w:tc>
        <w:tc>
          <w:tcPr>
            <w:tcW w:w="1872" w:type="dxa"/>
            <w:tcMar>
              <w:left w:w="105" w:type="dxa"/>
              <w:right w:w="105" w:type="dxa"/>
            </w:tcMar>
            <w:vAlign w:val="center"/>
          </w:tcPr>
          <w:p w14:paraId="696F593D" w14:textId="1158005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0.00497</w:t>
            </w:r>
          </w:p>
        </w:tc>
        <w:tc>
          <w:tcPr>
            <w:tcW w:w="1872" w:type="dxa"/>
            <w:tcMar>
              <w:left w:w="105" w:type="dxa"/>
              <w:right w:w="105" w:type="dxa"/>
            </w:tcMar>
            <w:vAlign w:val="center"/>
          </w:tcPr>
          <w:p w14:paraId="1D923889" w14:textId="4372356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0.630</w:t>
            </w:r>
          </w:p>
        </w:tc>
      </w:tr>
      <w:tr w:rsidR="426EE3D5" w14:paraId="617B08B4" w14:textId="77777777" w:rsidTr="426EE3D5">
        <w:trPr>
          <w:trHeight w:val="300"/>
        </w:trPr>
        <w:tc>
          <w:tcPr>
            <w:tcW w:w="1872" w:type="dxa"/>
            <w:tcMar>
              <w:left w:w="105" w:type="dxa"/>
              <w:right w:w="105" w:type="dxa"/>
            </w:tcMar>
            <w:vAlign w:val="center"/>
          </w:tcPr>
          <w:p w14:paraId="5DE6EA1E" w14:textId="6E62888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0.00207</w:t>
            </w:r>
          </w:p>
        </w:tc>
        <w:tc>
          <w:tcPr>
            <w:tcW w:w="1872" w:type="dxa"/>
            <w:tcMar>
              <w:left w:w="105" w:type="dxa"/>
              <w:right w:w="105" w:type="dxa"/>
            </w:tcMar>
            <w:vAlign w:val="center"/>
          </w:tcPr>
          <w:p w14:paraId="5700DEA1" w14:textId="0FD9C89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0.0000896</w:t>
            </w:r>
          </w:p>
        </w:tc>
        <w:tc>
          <w:tcPr>
            <w:tcW w:w="1872" w:type="dxa"/>
            <w:tcMar>
              <w:left w:w="105" w:type="dxa"/>
              <w:right w:w="105" w:type="dxa"/>
            </w:tcMar>
            <w:vAlign w:val="center"/>
          </w:tcPr>
          <w:p w14:paraId="0FC2FF6D" w14:textId="60B3865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0.000328</w:t>
            </w:r>
          </w:p>
        </w:tc>
        <w:tc>
          <w:tcPr>
            <w:tcW w:w="1872" w:type="dxa"/>
            <w:tcMar>
              <w:left w:w="105" w:type="dxa"/>
              <w:right w:w="105" w:type="dxa"/>
            </w:tcMar>
            <w:vAlign w:val="center"/>
          </w:tcPr>
          <w:p w14:paraId="36FD78D8" w14:textId="3E131B1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0.00400</w:t>
            </w:r>
          </w:p>
        </w:tc>
        <w:tc>
          <w:tcPr>
            <w:tcW w:w="1872" w:type="dxa"/>
            <w:tcMar>
              <w:left w:w="105" w:type="dxa"/>
              <w:right w:w="105" w:type="dxa"/>
            </w:tcMar>
            <w:vAlign w:val="center"/>
          </w:tcPr>
          <w:p w14:paraId="4FEB1A58" w14:textId="6FAE0DF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0.895</w:t>
            </w:r>
          </w:p>
        </w:tc>
      </w:tr>
      <w:tr w:rsidR="426EE3D5" w14:paraId="242B261B" w14:textId="77777777" w:rsidTr="426EE3D5">
        <w:trPr>
          <w:trHeight w:val="300"/>
        </w:trPr>
        <w:tc>
          <w:tcPr>
            <w:tcW w:w="1872" w:type="dxa"/>
            <w:tcMar>
              <w:left w:w="105" w:type="dxa"/>
              <w:right w:w="105" w:type="dxa"/>
            </w:tcMar>
            <w:vAlign w:val="center"/>
          </w:tcPr>
          <w:p w14:paraId="520C64A2" w14:textId="72D1A71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0.00121</w:t>
            </w:r>
          </w:p>
        </w:tc>
        <w:tc>
          <w:tcPr>
            <w:tcW w:w="1872" w:type="dxa"/>
            <w:tcMar>
              <w:left w:w="105" w:type="dxa"/>
              <w:right w:w="105" w:type="dxa"/>
            </w:tcMar>
            <w:vAlign w:val="center"/>
          </w:tcPr>
          <w:p w14:paraId="50BBCA01" w14:textId="4AE1124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0.0000438</w:t>
            </w:r>
          </w:p>
        </w:tc>
        <w:tc>
          <w:tcPr>
            <w:tcW w:w="1872" w:type="dxa"/>
            <w:tcMar>
              <w:left w:w="105" w:type="dxa"/>
              <w:right w:w="105" w:type="dxa"/>
            </w:tcMar>
            <w:vAlign w:val="center"/>
          </w:tcPr>
          <w:p w14:paraId="6FEFCB0D" w14:textId="28ACE54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0.000276</w:t>
            </w:r>
          </w:p>
        </w:tc>
        <w:tc>
          <w:tcPr>
            <w:tcW w:w="1872" w:type="dxa"/>
            <w:tcMar>
              <w:left w:w="105" w:type="dxa"/>
              <w:right w:w="105" w:type="dxa"/>
            </w:tcMar>
            <w:vAlign w:val="center"/>
          </w:tcPr>
          <w:p w14:paraId="2CB2B510" w14:textId="683B35A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0.00588</w:t>
            </w:r>
          </w:p>
        </w:tc>
        <w:tc>
          <w:tcPr>
            <w:tcW w:w="1872" w:type="dxa"/>
            <w:tcMar>
              <w:left w:w="105" w:type="dxa"/>
              <w:right w:w="105" w:type="dxa"/>
            </w:tcMar>
            <w:vAlign w:val="center"/>
          </w:tcPr>
          <w:p w14:paraId="36C0B784" w14:textId="3D1855B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0.387</w:t>
            </w:r>
          </w:p>
        </w:tc>
      </w:tr>
      <w:tr w:rsidR="426EE3D5" w14:paraId="1D8969B2" w14:textId="77777777" w:rsidTr="426EE3D5">
        <w:trPr>
          <w:trHeight w:val="300"/>
        </w:trPr>
        <w:tc>
          <w:tcPr>
            <w:tcW w:w="1872" w:type="dxa"/>
            <w:tcMar>
              <w:left w:w="105" w:type="dxa"/>
              <w:right w:w="105" w:type="dxa"/>
            </w:tcMar>
            <w:vAlign w:val="center"/>
          </w:tcPr>
          <w:p w14:paraId="62AC7CE1" w14:textId="57BAFFD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0.00207</w:t>
            </w:r>
          </w:p>
        </w:tc>
        <w:tc>
          <w:tcPr>
            <w:tcW w:w="1872" w:type="dxa"/>
            <w:tcMar>
              <w:left w:w="105" w:type="dxa"/>
              <w:right w:w="105" w:type="dxa"/>
            </w:tcMar>
            <w:vAlign w:val="center"/>
          </w:tcPr>
          <w:p w14:paraId="1EC6C1E6" w14:textId="2660F75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0.00000757</w:t>
            </w:r>
          </w:p>
        </w:tc>
        <w:tc>
          <w:tcPr>
            <w:tcW w:w="1872" w:type="dxa"/>
            <w:tcMar>
              <w:left w:w="105" w:type="dxa"/>
              <w:right w:w="105" w:type="dxa"/>
            </w:tcMar>
            <w:vAlign w:val="center"/>
          </w:tcPr>
          <w:p w14:paraId="723FAA9C" w14:textId="33BC0BD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0.000364</w:t>
            </w:r>
          </w:p>
        </w:tc>
        <w:tc>
          <w:tcPr>
            <w:tcW w:w="1872" w:type="dxa"/>
            <w:tcMar>
              <w:left w:w="105" w:type="dxa"/>
              <w:right w:w="105" w:type="dxa"/>
            </w:tcMar>
            <w:vAlign w:val="center"/>
          </w:tcPr>
          <w:p w14:paraId="10818855" w14:textId="160BB39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0.00395</w:t>
            </w:r>
          </w:p>
        </w:tc>
        <w:tc>
          <w:tcPr>
            <w:tcW w:w="1872" w:type="dxa"/>
            <w:tcMar>
              <w:left w:w="105" w:type="dxa"/>
              <w:right w:w="105" w:type="dxa"/>
            </w:tcMar>
            <w:vAlign w:val="center"/>
          </w:tcPr>
          <w:p w14:paraId="641C1B96" w14:textId="554AE76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1.07</w:t>
            </w:r>
          </w:p>
        </w:tc>
      </w:tr>
      <w:tr w:rsidR="426EE3D5" w14:paraId="2EEC3C2F" w14:textId="77777777" w:rsidTr="426EE3D5">
        <w:trPr>
          <w:trHeight w:val="300"/>
        </w:trPr>
        <w:tc>
          <w:tcPr>
            <w:tcW w:w="1872" w:type="dxa"/>
            <w:tcMar>
              <w:left w:w="105" w:type="dxa"/>
              <w:right w:w="105" w:type="dxa"/>
            </w:tcMar>
            <w:vAlign w:val="center"/>
          </w:tcPr>
          <w:p w14:paraId="2F568533" w14:textId="161782B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0.000251</w:t>
            </w:r>
          </w:p>
        </w:tc>
        <w:tc>
          <w:tcPr>
            <w:tcW w:w="1872" w:type="dxa"/>
            <w:tcMar>
              <w:left w:w="105" w:type="dxa"/>
              <w:right w:w="105" w:type="dxa"/>
            </w:tcMar>
            <w:vAlign w:val="center"/>
          </w:tcPr>
          <w:p w14:paraId="708917B1" w14:textId="70BD501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0.000249</w:t>
            </w:r>
          </w:p>
        </w:tc>
        <w:tc>
          <w:tcPr>
            <w:tcW w:w="1872" w:type="dxa"/>
            <w:tcMar>
              <w:left w:w="105" w:type="dxa"/>
              <w:right w:w="105" w:type="dxa"/>
            </w:tcMar>
            <w:vAlign w:val="center"/>
          </w:tcPr>
          <w:p w14:paraId="4FD961CA" w14:textId="0304A7E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0.000201</w:t>
            </w:r>
          </w:p>
        </w:tc>
        <w:tc>
          <w:tcPr>
            <w:tcW w:w="1872" w:type="dxa"/>
            <w:tcMar>
              <w:left w:w="105" w:type="dxa"/>
              <w:right w:w="105" w:type="dxa"/>
            </w:tcMar>
            <w:vAlign w:val="center"/>
          </w:tcPr>
          <w:p w14:paraId="3F2DCCC7" w14:textId="46A8488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0.00483</w:t>
            </w:r>
          </w:p>
        </w:tc>
        <w:tc>
          <w:tcPr>
            <w:tcW w:w="1872" w:type="dxa"/>
            <w:tcMar>
              <w:left w:w="105" w:type="dxa"/>
              <w:right w:w="105" w:type="dxa"/>
            </w:tcMar>
            <w:vAlign w:val="center"/>
          </w:tcPr>
          <w:p w14:paraId="3C6FDB30" w14:textId="50DF7F4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1.04</w:t>
            </w:r>
          </w:p>
        </w:tc>
      </w:tr>
      <w:tr w:rsidR="426EE3D5" w14:paraId="51F468C5" w14:textId="77777777" w:rsidTr="426EE3D5">
        <w:trPr>
          <w:trHeight w:val="300"/>
        </w:trPr>
        <w:tc>
          <w:tcPr>
            <w:tcW w:w="1872" w:type="dxa"/>
            <w:tcMar>
              <w:left w:w="105" w:type="dxa"/>
              <w:right w:w="105" w:type="dxa"/>
            </w:tcMar>
            <w:vAlign w:val="center"/>
          </w:tcPr>
          <w:p w14:paraId="44E1663D" w14:textId="083557A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0.00102</w:t>
            </w:r>
          </w:p>
        </w:tc>
        <w:tc>
          <w:tcPr>
            <w:tcW w:w="1872" w:type="dxa"/>
            <w:tcMar>
              <w:left w:w="105" w:type="dxa"/>
              <w:right w:w="105" w:type="dxa"/>
            </w:tcMar>
            <w:vAlign w:val="center"/>
          </w:tcPr>
          <w:p w14:paraId="2C9B45C4" w14:textId="71EA6EB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0.000215</w:t>
            </w:r>
          </w:p>
        </w:tc>
        <w:tc>
          <w:tcPr>
            <w:tcW w:w="1872" w:type="dxa"/>
            <w:tcMar>
              <w:left w:w="105" w:type="dxa"/>
              <w:right w:w="105" w:type="dxa"/>
            </w:tcMar>
            <w:vAlign w:val="center"/>
          </w:tcPr>
          <w:p w14:paraId="2E1A82AC" w14:textId="21A635D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0.000230</w:t>
            </w:r>
          </w:p>
        </w:tc>
        <w:tc>
          <w:tcPr>
            <w:tcW w:w="1872" w:type="dxa"/>
            <w:tcMar>
              <w:left w:w="105" w:type="dxa"/>
              <w:right w:w="105" w:type="dxa"/>
            </w:tcMar>
            <w:vAlign w:val="center"/>
          </w:tcPr>
          <w:p w14:paraId="3AF00933" w14:textId="67DD459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0.00477</w:t>
            </w:r>
          </w:p>
        </w:tc>
        <w:tc>
          <w:tcPr>
            <w:tcW w:w="1872" w:type="dxa"/>
            <w:tcMar>
              <w:left w:w="105" w:type="dxa"/>
              <w:right w:w="105" w:type="dxa"/>
            </w:tcMar>
            <w:vAlign w:val="center"/>
          </w:tcPr>
          <w:p w14:paraId="5E3677B0" w14:textId="635C36C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0.870</w:t>
            </w:r>
          </w:p>
        </w:tc>
      </w:tr>
      <w:tr w:rsidR="426EE3D5" w14:paraId="6C773127" w14:textId="77777777" w:rsidTr="426EE3D5">
        <w:trPr>
          <w:trHeight w:val="300"/>
        </w:trPr>
        <w:tc>
          <w:tcPr>
            <w:tcW w:w="1872" w:type="dxa"/>
            <w:tcMar>
              <w:left w:w="105" w:type="dxa"/>
              <w:right w:w="105" w:type="dxa"/>
            </w:tcMar>
            <w:vAlign w:val="center"/>
          </w:tcPr>
          <w:p w14:paraId="6946D8EA" w14:textId="6A468EC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0.000149</w:t>
            </w:r>
          </w:p>
        </w:tc>
        <w:tc>
          <w:tcPr>
            <w:tcW w:w="1872" w:type="dxa"/>
            <w:tcMar>
              <w:left w:w="105" w:type="dxa"/>
              <w:right w:w="105" w:type="dxa"/>
            </w:tcMar>
            <w:vAlign w:val="center"/>
          </w:tcPr>
          <w:p w14:paraId="78136722" w14:textId="057AE4E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0.000200</w:t>
            </w:r>
          </w:p>
        </w:tc>
        <w:tc>
          <w:tcPr>
            <w:tcW w:w="1872" w:type="dxa"/>
            <w:tcMar>
              <w:left w:w="105" w:type="dxa"/>
              <w:right w:w="105" w:type="dxa"/>
            </w:tcMar>
            <w:vAlign w:val="center"/>
          </w:tcPr>
          <w:p w14:paraId="117BC593" w14:textId="058B6D5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0.000344</w:t>
            </w:r>
          </w:p>
        </w:tc>
        <w:tc>
          <w:tcPr>
            <w:tcW w:w="1872" w:type="dxa"/>
            <w:tcMar>
              <w:left w:w="105" w:type="dxa"/>
              <w:right w:w="105" w:type="dxa"/>
            </w:tcMar>
            <w:vAlign w:val="center"/>
          </w:tcPr>
          <w:p w14:paraId="711DFFC0" w14:textId="7CFD194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0.00442</w:t>
            </w:r>
          </w:p>
        </w:tc>
        <w:tc>
          <w:tcPr>
            <w:tcW w:w="1872" w:type="dxa"/>
            <w:tcMar>
              <w:left w:w="105" w:type="dxa"/>
              <w:right w:w="105" w:type="dxa"/>
            </w:tcMar>
            <w:vAlign w:val="center"/>
          </w:tcPr>
          <w:p w14:paraId="43168CAF" w14:textId="7A1D0D0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0.675</w:t>
            </w:r>
          </w:p>
        </w:tc>
      </w:tr>
      <w:tr w:rsidR="426EE3D5" w14:paraId="4006B1FB" w14:textId="77777777" w:rsidTr="426EE3D5">
        <w:trPr>
          <w:trHeight w:val="300"/>
        </w:trPr>
        <w:tc>
          <w:tcPr>
            <w:tcW w:w="1872" w:type="dxa"/>
            <w:tcMar>
              <w:left w:w="105" w:type="dxa"/>
              <w:right w:w="105" w:type="dxa"/>
            </w:tcMar>
            <w:vAlign w:val="center"/>
          </w:tcPr>
          <w:p w14:paraId="506DD398" w14:textId="6C783DC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0.00130</w:t>
            </w:r>
          </w:p>
        </w:tc>
        <w:tc>
          <w:tcPr>
            <w:tcW w:w="1872" w:type="dxa"/>
            <w:tcMar>
              <w:left w:w="105" w:type="dxa"/>
              <w:right w:w="105" w:type="dxa"/>
            </w:tcMar>
            <w:vAlign w:val="center"/>
          </w:tcPr>
          <w:p w14:paraId="46D00040" w14:textId="6B27AC4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0.000194</w:t>
            </w:r>
          </w:p>
        </w:tc>
        <w:tc>
          <w:tcPr>
            <w:tcW w:w="1872" w:type="dxa"/>
            <w:tcMar>
              <w:left w:w="105" w:type="dxa"/>
              <w:right w:w="105" w:type="dxa"/>
            </w:tcMar>
            <w:vAlign w:val="center"/>
          </w:tcPr>
          <w:p w14:paraId="002BA183" w14:textId="4732E8D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0.000141</w:t>
            </w:r>
          </w:p>
        </w:tc>
        <w:tc>
          <w:tcPr>
            <w:tcW w:w="1872" w:type="dxa"/>
            <w:tcMar>
              <w:left w:w="105" w:type="dxa"/>
              <w:right w:w="105" w:type="dxa"/>
            </w:tcMar>
            <w:vAlign w:val="center"/>
          </w:tcPr>
          <w:p w14:paraId="505BB048" w14:textId="3B704DAF"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0.00888</w:t>
            </w:r>
          </w:p>
        </w:tc>
        <w:tc>
          <w:tcPr>
            <w:tcW w:w="1872" w:type="dxa"/>
            <w:tcMar>
              <w:left w:w="105" w:type="dxa"/>
              <w:right w:w="105" w:type="dxa"/>
            </w:tcMar>
            <w:vAlign w:val="center"/>
          </w:tcPr>
          <w:p w14:paraId="6A49972E" w14:textId="4FF78A9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0.656</w:t>
            </w:r>
          </w:p>
        </w:tc>
      </w:tr>
      <w:tr w:rsidR="426EE3D5" w14:paraId="210FF11B" w14:textId="77777777" w:rsidTr="426EE3D5">
        <w:trPr>
          <w:trHeight w:val="300"/>
        </w:trPr>
        <w:tc>
          <w:tcPr>
            <w:tcW w:w="1872" w:type="dxa"/>
            <w:tcMar>
              <w:left w:w="105" w:type="dxa"/>
              <w:right w:w="105" w:type="dxa"/>
            </w:tcMar>
            <w:vAlign w:val="center"/>
          </w:tcPr>
          <w:p w14:paraId="5B28C464" w14:textId="739CA69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0.000698</w:t>
            </w:r>
          </w:p>
        </w:tc>
        <w:tc>
          <w:tcPr>
            <w:tcW w:w="1872" w:type="dxa"/>
            <w:tcMar>
              <w:left w:w="105" w:type="dxa"/>
              <w:right w:w="105" w:type="dxa"/>
            </w:tcMar>
            <w:vAlign w:val="center"/>
          </w:tcPr>
          <w:p w14:paraId="1FDC90EB" w14:textId="40D2D41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0.000189</w:t>
            </w:r>
          </w:p>
        </w:tc>
        <w:tc>
          <w:tcPr>
            <w:tcW w:w="1872" w:type="dxa"/>
            <w:tcMar>
              <w:left w:w="105" w:type="dxa"/>
              <w:right w:w="105" w:type="dxa"/>
            </w:tcMar>
            <w:vAlign w:val="center"/>
          </w:tcPr>
          <w:p w14:paraId="719F1D1D" w14:textId="2B753BB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0.000223</w:t>
            </w:r>
          </w:p>
        </w:tc>
        <w:tc>
          <w:tcPr>
            <w:tcW w:w="1872" w:type="dxa"/>
            <w:tcMar>
              <w:left w:w="105" w:type="dxa"/>
              <w:right w:w="105" w:type="dxa"/>
            </w:tcMar>
            <w:vAlign w:val="center"/>
          </w:tcPr>
          <w:p w14:paraId="1FD0BBE9" w14:textId="5DF6F7A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0.00704</w:t>
            </w:r>
          </w:p>
        </w:tc>
        <w:tc>
          <w:tcPr>
            <w:tcW w:w="1872" w:type="dxa"/>
            <w:tcMar>
              <w:left w:w="105" w:type="dxa"/>
              <w:right w:w="105" w:type="dxa"/>
            </w:tcMar>
            <w:vAlign w:val="center"/>
          </w:tcPr>
          <w:p w14:paraId="5CDFEA06" w14:textId="3991F81C"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0.417</w:t>
            </w:r>
          </w:p>
        </w:tc>
      </w:tr>
      <w:tr w:rsidR="426EE3D5" w14:paraId="7168C420" w14:textId="77777777" w:rsidTr="426EE3D5">
        <w:trPr>
          <w:trHeight w:val="300"/>
        </w:trPr>
        <w:tc>
          <w:tcPr>
            <w:tcW w:w="1872" w:type="dxa"/>
            <w:tcMar>
              <w:left w:w="105" w:type="dxa"/>
              <w:right w:w="105" w:type="dxa"/>
            </w:tcMar>
            <w:vAlign w:val="center"/>
          </w:tcPr>
          <w:p w14:paraId="7944AD5D" w14:textId="0D0A14A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0.000260</w:t>
            </w:r>
          </w:p>
        </w:tc>
        <w:tc>
          <w:tcPr>
            <w:tcW w:w="1872" w:type="dxa"/>
            <w:tcMar>
              <w:left w:w="105" w:type="dxa"/>
              <w:right w:w="105" w:type="dxa"/>
            </w:tcMar>
            <w:vAlign w:val="center"/>
          </w:tcPr>
          <w:p w14:paraId="5563B003" w14:textId="6004730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0.000184</w:t>
            </w:r>
          </w:p>
        </w:tc>
        <w:tc>
          <w:tcPr>
            <w:tcW w:w="1872" w:type="dxa"/>
            <w:tcMar>
              <w:left w:w="105" w:type="dxa"/>
              <w:right w:w="105" w:type="dxa"/>
            </w:tcMar>
            <w:vAlign w:val="center"/>
          </w:tcPr>
          <w:p w14:paraId="0485EC2F" w14:textId="0C17A23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0.000276</w:t>
            </w:r>
          </w:p>
        </w:tc>
        <w:tc>
          <w:tcPr>
            <w:tcW w:w="1872" w:type="dxa"/>
            <w:tcMar>
              <w:left w:w="105" w:type="dxa"/>
              <w:right w:w="105" w:type="dxa"/>
            </w:tcMar>
            <w:vAlign w:val="center"/>
          </w:tcPr>
          <w:p w14:paraId="56B616D9" w14:textId="4E19450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0.00588</w:t>
            </w:r>
          </w:p>
        </w:tc>
        <w:tc>
          <w:tcPr>
            <w:tcW w:w="1872" w:type="dxa"/>
            <w:tcMar>
              <w:left w:w="105" w:type="dxa"/>
              <w:right w:w="105" w:type="dxa"/>
            </w:tcMar>
            <w:vAlign w:val="center"/>
          </w:tcPr>
          <w:p w14:paraId="116DA1EB" w14:textId="5F393F2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0.387</w:t>
            </w:r>
          </w:p>
        </w:tc>
      </w:tr>
      <w:tr w:rsidR="426EE3D5" w14:paraId="74EB5349" w14:textId="77777777" w:rsidTr="426EE3D5">
        <w:trPr>
          <w:trHeight w:val="300"/>
        </w:trPr>
        <w:tc>
          <w:tcPr>
            <w:tcW w:w="1872" w:type="dxa"/>
            <w:tcMar>
              <w:left w:w="105" w:type="dxa"/>
              <w:right w:w="105" w:type="dxa"/>
            </w:tcMar>
            <w:vAlign w:val="center"/>
          </w:tcPr>
          <w:p w14:paraId="67A9A996" w14:textId="2A81CEE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0.00144</w:t>
            </w:r>
          </w:p>
        </w:tc>
        <w:tc>
          <w:tcPr>
            <w:tcW w:w="1872" w:type="dxa"/>
            <w:tcMar>
              <w:left w:w="105" w:type="dxa"/>
              <w:right w:w="105" w:type="dxa"/>
            </w:tcMar>
            <w:vAlign w:val="center"/>
          </w:tcPr>
          <w:p w14:paraId="0248A02A" w14:textId="584336A1"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0.000168</w:t>
            </w:r>
          </w:p>
        </w:tc>
        <w:tc>
          <w:tcPr>
            <w:tcW w:w="1872" w:type="dxa"/>
            <w:tcMar>
              <w:left w:w="105" w:type="dxa"/>
              <w:right w:w="105" w:type="dxa"/>
            </w:tcMar>
            <w:vAlign w:val="center"/>
          </w:tcPr>
          <w:p w14:paraId="7AAA8138" w14:textId="61A69CDE"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0.000229</w:t>
            </w:r>
          </w:p>
        </w:tc>
        <w:tc>
          <w:tcPr>
            <w:tcW w:w="1872" w:type="dxa"/>
            <w:tcMar>
              <w:left w:w="105" w:type="dxa"/>
              <w:right w:w="105" w:type="dxa"/>
            </w:tcMar>
            <w:vAlign w:val="center"/>
          </w:tcPr>
          <w:p w14:paraId="63D8DE78" w14:textId="08D2C96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0.00718</w:t>
            </w:r>
          </w:p>
        </w:tc>
        <w:tc>
          <w:tcPr>
            <w:tcW w:w="1872" w:type="dxa"/>
            <w:tcMar>
              <w:left w:w="105" w:type="dxa"/>
              <w:right w:w="105" w:type="dxa"/>
            </w:tcMar>
            <w:vAlign w:val="center"/>
          </w:tcPr>
          <w:p w14:paraId="6D0A2B6E" w14:textId="73C4362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0.505</w:t>
            </w:r>
          </w:p>
        </w:tc>
      </w:tr>
      <w:tr w:rsidR="426EE3D5" w14:paraId="4666A888" w14:textId="77777777" w:rsidTr="426EE3D5">
        <w:trPr>
          <w:trHeight w:val="300"/>
        </w:trPr>
        <w:tc>
          <w:tcPr>
            <w:tcW w:w="1872" w:type="dxa"/>
            <w:tcMar>
              <w:left w:w="105" w:type="dxa"/>
              <w:right w:w="105" w:type="dxa"/>
            </w:tcMar>
            <w:vAlign w:val="center"/>
          </w:tcPr>
          <w:p w14:paraId="6EBB2277" w14:textId="2BA659C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0.000265</w:t>
            </w:r>
          </w:p>
        </w:tc>
        <w:tc>
          <w:tcPr>
            <w:tcW w:w="1872" w:type="dxa"/>
            <w:tcMar>
              <w:left w:w="105" w:type="dxa"/>
              <w:right w:w="105" w:type="dxa"/>
            </w:tcMar>
            <w:vAlign w:val="center"/>
          </w:tcPr>
          <w:p w14:paraId="0D1DCD6D" w14:textId="70E4FC82"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0.000160</w:t>
            </w:r>
          </w:p>
        </w:tc>
        <w:tc>
          <w:tcPr>
            <w:tcW w:w="1872" w:type="dxa"/>
            <w:tcMar>
              <w:left w:w="105" w:type="dxa"/>
              <w:right w:w="105" w:type="dxa"/>
            </w:tcMar>
            <w:vAlign w:val="center"/>
          </w:tcPr>
          <w:p w14:paraId="169A260A" w14:textId="1882446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0.000338</w:t>
            </w:r>
          </w:p>
        </w:tc>
        <w:tc>
          <w:tcPr>
            <w:tcW w:w="1872" w:type="dxa"/>
            <w:tcMar>
              <w:left w:w="105" w:type="dxa"/>
              <w:right w:w="105" w:type="dxa"/>
            </w:tcMar>
            <w:vAlign w:val="center"/>
          </w:tcPr>
          <w:p w14:paraId="7F239BA6" w14:textId="773CF529"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0.00502</w:t>
            </w:r>
          </w:p>
        </w:tc>
        <w:tc>
          <w:tcPr>
            <w:tcW w:w="1872" w:type="dxa"/>
            <w:tcMar>
              <w:left w:w="105" w:type="dxa"/>
              <w:right w:w="105" w:type="dxa"/>
            </w:tcMar>
            <w:vAlign w:val="center"/>
          </w:tcPr>
          <w:p w14:paraId="4AF0C1DC" w14:textId="2170EF40"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0.518</w:t>
            </w:r>
          </w:p>
        </w:tc>
      </w:tr>
      <w:tr w:rsidR="426EE3D5" w14:paraId="76654289" w14:textId="77777777" w:rsidTr="426EE3D5">
        <w:trPr>
          <w:trHeight w:val="300"/>
        </w:trPr>
        <w:tc>
          <w:tcPr>
            <w:tcW w:w="1872" w:type="dxa"/>
            <w:tcMar>
              <w:left w:w="105" w:type="dxa"/>
              <w:right w:w="105" w:type="dxa"/>
            </w:tcMar>
            <w:vAlign w:val="center"/>
          </w:tcPr>
          <w:p w14:paraId="55E43CB6" w14:textId="28011367"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0.000938</w:t>
            </w:r>
          </w:p>
        </w:tc>
        <w:tc>
          <w:tcPr>
            <w:tcW w:w="1872" w:type="dxa"/>
            <w:tcMar>
              <w:left w:w="105" w:type="dxa"/>
              <w:right w:w="105" w:type="dxa"/>
            </w:tcMar>
            <w:vAlign w:val="center"/>
          </w:tcPr>
          <w:p w14:paraId="5DE50DFB" w14:textId="2E834286"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0.000140</w:t>
            </w:r>
          </w:p>
        </w:tc>
        <w:tc>
          <w:tcPr>
            <w:tcW w:w="1872" w:type="dxa"/>
            <w:tcMar>
              <w:left w:w="105" w:type="dxa"/>
              <w:right w:w="105" w:type="dxa"/>
            </w:tcMar>
            <w:vAlign w:val="center"/>
          </w:tcPr>
          <w:p w14:paraId="5E123B46" w14:textId="2DE0D71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0.000584</w:t>
            </w:r>
          </w:p>
        </w:tc>
        <w:tc>
          <w:tcPr>
            <w:tcW w:w="1872" w:type="dxa"/>
            <w:tcMar>
              <w:left w:w="105" w:type="dxa"/>
              <w:right w:w="105" w:type="dxa"/>
            </w:tcMar>
            <w:vAlign w:val="center"/>
          </w:tcPr>
          <w:p w14:paraId="14F5DE6E" w14:textId="333E3F2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0.00620</w:t>
            </w:r>
          </w:p>
        </w:tc>
        <w:tc>
          <w:tcPr>
            <w:tcW w:w="1872" w:type="dxa"/>
            <w:tcMar>
              <w:left w:w="105" w:type="dxa"/>
              <w:right w:w="105" w:type="dxa"/>
            </w:tcMar>
            <w:vAlign w:val="center"/>
          </w:tcPr>
          <w:p w14:paraId="3B140DF9" w14:textId="1CBFC3B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0.473</w:t>
            </w:r>
          </w:p>
        </w:tc>
      </w:tr>
      <w:tr w:rsidR="426EE3D5" w14:paraId="4F8A43FF" w14:textId="77777777" w:rsidTr="426EE3D5">
        <w:trPr>
          <w:trHeight w:val="300"/>
        </w:trPr>
        <w:tc>
          <w:tcPr>
            <w:tcW w:w="1872" w:type="dxa"/>
            <w:tcMar>
              <w:left w:w="105" w:type="dxa"/>
              <w:right w:w="105" w:type="dxa"/>
            </w:tcMar>
            <w:vAlign w:val="center"/>
          </w:tcPr>
          <w:p w14:paraId="1FA9E7D6" w14:textId="51FDD9BD"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0.00118</w:t>
            </w:r>
          </w:p>
        </w:tc>
        <w:tc>
          <w:tcPr>
            <w:tcW w:w="1872" w:type="dxa"/>
            <w:tcMar>
              <w:left w:w="105" w:type="dxa"/>
              <w:right w:w="105" w:type="dxa"/>
            </w:tcMar>
            <w:vAlign w:val="center"/>
          </w:tcPr>
          <w:p w14:paraId="467D7D24" w14:textId="741AA71B"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0.000139</w:t>
            </w:r>
          </w:p>
        </w:tc>
        <w:tc>
          <w:tcPr>
            <w:tcW w:w="1872" w:type="dxa"/>
            <w:tcMar>
              <w:left w:w="105" w:type="dxa"/>
              <w:right w:w="105" w:type="dxa"/>
            </w:tcMar>
            <w:vAlign w:val="center"/>
          </w:tcPr>
          <w:p w14:paraId="553F51F7" w14:textId="4F4DCCD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0.000219</w:t>
            </w:r>
          </w:p>
        </w:tc>
        <w:tc>
          <w:tcPr>
            <w:tcW w:w="1872" w:type="dxa"/>
            <w:tcMar>
              <w:left w:w="105" w:type="dxa"/>
              <w:right w:w="105" w:type="dxa"/>
            </w:tcMar>
            <w:vAlign w:val="center"/>
          </w:tcPr>
          <w:p w14:paraId="65DDBCC8" w14:textId="1BD288E5"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0.00596</w:t>
            </w:r>
          </w:p>
        </w:tc>
        <w:tc>
          <w:tcPr>
            <w:tcW w:w="1872" w:type="dxa"/>
            <w:tcMar>
              <w:left w:w="105" w:type="dxa"/>
              <w:right w:w="105" w:type="dxa"/>
            </w:tcMar>
            <w:vAlign w:val="center"/>
          </w:tcPr>
          <w:p w14:paraId="23D9D589" w14:textId="220DDFF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0.764</w:t>
            </w:r>
          </w:p>
        </w:tc>
      </w:tr>
      <w:tr w:rsidR="426EE3D5" w14:paraId="6407E0BC" w14:textId="77777777" w:rsidTr="426EE3D5">
        <w:trPr>
          <w:trHeight w:val="300"/>
        </w:trPr>
        <w:tc>
          <w:tcPr>
            <w:tcW w:w="1872" w:type="dxa"/>
            <w:tcMar>
              <w:left w:w="105" w:type="dxa"/>
              <w:right w:w="105" w:type="dxa"/>
            </w:tcMar>
            <w:vAlign w:val="center"/>
          </w:tcPr>
          <w:p w14:paraId="66D38C78" w14:textId="2CF7E50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0.000368</w:t>
            </w:r>
          </w:p>
        </w:tc>
        <w:tc>
          <w:tcPr>
            <w:tcW w:w="1872" w:type="dxa"/>
            <w:tcMar>
              <w:left w:w="105" w:type="dxa"/>
              <w:right w:w="105" w:type="dxa"/>
            </w:tcMar>
            <w:vAlign w:val="center"/>
          </w:tcPr>
          <w:p w14:paraId="474C0BA7" w14:textId="0663197A"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0.000109</w:t>
            </w:r>
          </w:p>
        </w:tc>
        <w:tc>
          <w:tcPr>
            <w:tcW w:w="1872" w:type="dxa"/>
            <w:tcMar>
              <w:left w:w="105" w:type="dxa"/>
              <w:right w:w="105" w:type="dxa"/>
            </w:tcMar>
            <w:vAlign w:val="center"/>
          </w:tcPr>
          <w:p w14:paraId="5B98010B" w14:textId="581113C3"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0.000294</w:t>
            </w:r>
          </w:p>
        </w:tc>
        <w:tc>
          <w:tcPr>
            <w:tcW w:w="1872" w:type="dxa"/>
            <w:tcMar>
              <w:left w:w="105" w:type="dxa"/>
              <w:right w:w="105" w:type="dxa"/>
            </w:tcMar>
            <w:vAlign w:val="center"/>
          </w:tcPr>
          <w:p w14:paraId="1D0F78E2" w14:textId="5944EED8"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0.00845</w:t>
            </w:r>
          </w:p>
        </w:tc>
        <w:tc>
          <w:tcPr>
            <w:tcW w:w="1872" w:type="dxa"/>
            <w:tcMar>
              <w:left w:w="105" w:type="dxa"/>
              <w:right w:w="105" w:type="dxa"/>
            </w:tcMar>
            <w:vAlign w:val="center"/>
          </w:tcPr>
          <w:p w14:paraId="555F9DA7" w14:textId="736F9344" w:rsidR="426EE3D5" w:rsidRDefault="426EE3D5" w:rsidP="426EE3D5">
            <w:pPr>
              <w:jc w:val="right"/>
              <w:rPr>
                <w:rFonts w:ascii="Calibri" w:eastAsia="Calibri" w:hAnsi="Calibri" w:cs="Calibri"/>
                <w:sz w:val="22"/>
                <w:szCs w:val="22"/>
              </w:rPr>
            </w:pPr>
            <w:r w:rsidRPr="426EE3D5">
              <w:rPr>
                <w:rFonts w:ascii="Calibri" w:eastAsia="Calibri" w:hAnsi="Calibri" w:cs="Calibri"/>
                <w:sz w:val="22"/>
                <w:szCs w:val="22"/>
              </w:rPr>
              <w:t>0.434</w:t>
            </w:r>
          </w:p>
        </w:tc>
      </w:tr>
    </w:tbl>
    <w:p w14:paraId="243CC513" w14:textId="4926DACE" w:rsidR="426EE3D5" w:rsidRDefault="426EE3D5" w:rsidP="426EE3D5">
      <w:pPr>
        <w:rPr>
          <w:rFonts w:ascii="Calibri" w:eastAsia="Calibri" w:hAnsi="Calibri" w:cs="Calibri"/>
          <w:color w:val="000000" w:themeColor="text1"/>
          <w:sz w:val="22"/>
          <w:szCs w:val="22"/>
        </w:rPr>
      </w:pPr>
    </w:p>
    <w:tbl>
      <w:tblPr>
        <w:tblW w:w="949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111"/>
        <w:gridCol w:w="2134"/>
        <w:gridCol w:w="1134"/>
        <w:gridCol w:w="3119"/>
      </w:tblGrid>
      <w:tr w:rsidR="00792B26" w14:paraId="181D566F" w14:textId="5B8EBF85" w:rsidTr="00792B26">
        <w:trPr>
          <w:trHeight w:val="15"/>
        </w:trPr>
        <w:tc>
          <w:tcPr>
            <w:tcW w:w="9498" w:type="dxa"/>
            <w:gridSpan w:val="4"/>
            <w:tcBorders>
              <w:top w:val="nil"/>
              <w:left w:val="nil"/>
              <w:bottom w:val="single" w:sz="6" w:space="0" w:color="auto"/>
              <w:right w:val="nil"/>
            </w:tcBorders>
            <w:tcMar>
              <w:top w:w="15" w:type="dxa"/>
              <w:left w:w="15" w:type="dxa"/>
              <w:right w:w="15" w:type="dxa"/>
            </w:tcMar>
            <w:vAlign w:val="center"/>
          </w:tcPr>
          <w:p w14:paraId="0E5634D3" w14:textId="2BA0B058" w:rsidR="00792B26" w:rsidRPr="426EE3D5" w:rsidRDefault="00792B26" w:rsidP="426EE3D5">
            <w:pPr>
              <w:spacing w:after="0" w:line="240" w:lineRule="auto"/>
              <w:rPr>
                <w:rFonts w:ascii="Calibri" w:eastAsia="Calibri" w:hAnsi="Calibri" w:cs="Calibri"/>
                <w:i/>
                <w:iCs/>
                <w:sz w:val="22"/>
                <w:szCs w:val="22"/>
              </w:rPr>
            </w:pPr>
            <w:r w:rsidRPr="426EE3D5">
              <w:rPr>
                <w:rFonts w:ascii="Calibri" w:eastAsia="Calibri" w:hAnsi="Calibri" w:cs="Calibri"/>
                <w:i/>
                <w:iCs/>
                <w:sz w:val="22"/>
                <w:szCs w:val="22"/>
              </w:rPr>
              <w:t>Table A4: Summary of parameters used in the model, the default value and whether it is fixed throughout, varies in scenarios, or varies in iterations.</w:t>
            </w:r>
          </w:p>
        </w:tc>
      </w:tr>
      <w:tr w:rsidR="00792B26" w14:paraId="13187163" w14:textId="0AFFBD8B"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4A2EF99" w14:textId="071251A0" w:rsidR="00792B26" w:rsidRDefault="00792B26"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rPr>
              <w:t xml:space="preserve">Parameter </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75DFC72" w14:textId="70939CED" w:rsidR="00792B26" w:rsidRDefault="00792B26"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rPr>
              <w:t>Default Value</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75E8842" w14:textId="740AEFCD" w:rsidR="00792B26" w:rsidRDefault="00792B26"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rPr>
              <w:t>Type</w:t>
            </w:r>
          </w:p>
        </w:tc>
        <w:tc>
          <w:tcPr>
            <w:tcW w:w="3119" w:type="dxa"/>
            <w:tcBorders>
              <w:top w:val="single" w:sz="6" w:space="0" w:color="auto"/>
              <w:left w:val="single" w:sz="6" w:space="0" w:color="auto"/>
              <w:bottom w:val="single" w:sz="6" w:space="0" w:color="auto"/>
              <w:right w:val="single" w:sz="6" w:space="0" w:color="auto"/>
            </w:tcBorders>
          </w:tcPr>
          <w:p w14:paraId="101728F5" w14:textId="2215B630" w:rsidR="00792B26" w:rsidRPr="426EE3D5" w:rsidRDefault="00792B26" w:rsidP="426EE3D5">
            <w:pPr>
              <w:spacing w:after="0" w:line="240" w:lineRule="auto"/>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Reference</w:t>
            </w:r>
          </w:p>
        </w:tc>
      </w:tr>
      <w:tr w:rsidR="00DD6481" w14:paraId="547308BF" w14:textId="6D3932C4"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C5E573C" w14:textId="29202B33"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Number of hospital beds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1F8676A" w14:textId="190CE9E6"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1008</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B39C826" w14:textId="3804E652"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val="restart"/>
            <w:tcBorders>
              <w:top w:val="single" w:sz="6" w:space="0" w:color="auto"/>
              <w:left w:val="single" w:sz="6" w:space="0" w:color="auto"/>
              <w:right w:val="single" w:sz="6" w:space="0" w:color="auto"/>
            </w:tcBorders>
          </w:tcPr>
          <w:p w14:paraId="465D7480" w14:textId="2C10DEEE" w:rsidR="00DD6481" w:rsidRPr="426EE3D5" w:rsidRDefault="00DD6481" w:rsidP="426EE3D5">
            <w:pPr>
              <w:spacing w:after="0" w:line="240" w:lineRule="auto"/>
              <w:rPr>
                <w:rFonts w:ascii="Calibri" w:eastAsia="Calibri" w:hAnsi="Calibri" w:cs="Calibri"/>
                <w:color w:val="000000" w:themeColor="text1"/>
                <w:sz w:val="22"/>
                <w:szCs w:val="22"/>
              </w:rPr>
            </w:pPr>
            <w:r w:rsidRPr="009C28BD">
              <w:rPr>
                <w:rFonts w:ascii="Calibri" w:eastAsia="Calibri" w:hAnsi="Calibri" w:cs="Calibri"/>
                <w:color w:val="000000" w:themeColor="text1"/>
                <w:sz w:val="22"/>
                <w:szCs w:val="22"/>
              </w:rPr>
              <w:t>Pople et al [1], Evans et al [2]</w:t>
            </w:r>
          </w:p>
        </w:tc>
      </w:tr>
      <w:tr w:rsidR="00DD6481" w14:paraId="39C7B3FD" w14:textId="51E6C20F"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DF03F18" w14:textId="3FA3F918"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Number of wards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B19A560" w14:textId="216A1444"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42</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461CC0E" w14:textId="4CCA4998"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1CAF9CA8" w14:textId="0889CF8F"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33771DBE" w14:textId="73035EA9"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8514E78" w14:textId="042ABC55"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Number of bays per ward</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8DF41C1" w14:textId="08109365"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4</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DD2772A" w14:textId="7E9C3185"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63536C42" w14:textId="29EC5B9F"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040EB41E" w14:textId="061FC964"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93ADFF0" w14:textId="6AA75017"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Number of beds per bay</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F75E778" w14:textId="47314430"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6</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466349A" w14:textId="3E7AA712"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0C7DB435" w14:textId="6B839EDA"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4D9E8CF6" w14:textId="5D4A3200"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1A6E9ED" w14:textId="74ADF931"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Number of HCWs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BD17638" w14:textId="33F03E68"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8000</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4B30D67" w14:textId="75796A4A"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026D11EE" w14:textId="337204F6"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14BC80BB" w14:textId="378E43EC"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DFC2BD8" w14:textId="2A392D98"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Probability HCW is ward-based</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AAF93AC" w14:textId="3926335F" w:rsidR="00DD6481" w:rsidRDefault="00DD6481" w:rsidP="426EE3D5">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3</w:t>
            </w:r>
            <w:r w:rsidRPr="426EE3D5">
              <w:rPr>
                <w:rFonts w:ascii="Calibri" w:eastAsia="Calibri" w:hAnsi="Calibri" w:cs="Calibri"/>
                <w:color w:val="000000" w:themeColor="text1"/>
                <w:sz w:val="22"/>
                <w:szCs w:val="22"/>
              </w:rPr>
              <w:t>0%</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EC00006" w14:textId="25E05EF0"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67D093E4" w14:textId="38351D45"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7AE40447" w14:textId="36924E33" w:rsidTr="00081D94">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6334DAD" w14:textId="67F4E58F"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HCW work pattern</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CE2ED7A" w14:textId="1C8BFE5C"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12 hours on/off</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E60FF27" w14:textId="15D458B8"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bottom w:val="single" w:sz="6" w:space="0" w:color="auto"/>
              <w:right w:val="single" w:sz="6" w:space="0" w:color="auto"/>
            </w:tcBorders>
          </w:tcPr>
          <w:p w14:paraId="25CEDA83" w14:textId="68B0B9FA"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21DB389F" w14:textId="290C8211" w:rsidTr="00FA59CC">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C2F56A6" w14:textId="74304869"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Patient admission rate</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F12DA37" w14:textId="2D3DE791"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120/day</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C0B9D66" w14:textId="6C56B870"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val="restart"/>
            <w:tcBorders>
              <w:top w:val="single" w:sz="6" w:space="0" w:color="auto"/>
              <w:left w:val="single" w:sz="6" w:space="0" w:color="auto"/>
              <w:right w:val="single" w:sz="6" w:space="0" w:color="auto"/>
            </w:tcBorders>
          </w:tcPr>
          <w:p w14:paraId="5FE67DB2" w14:textId="6CD72542" w:rsidR="00DD6481" w:rsidRPr="426EE3D5" w:rsidRDefault="00DD6481" w:rsidP="426EE3D5">
            <w:pPr>
              <w:spacing w:after="0" w:line="240" w:lineRule="auto"/>
              <w:rPr>
                <w:rFonts w:ascii="Calibri" w:eastAsia="Calibri" w:hAnsi="Calibri" w:cs="Calibri"/>
                <w:color w:val="000000" w:themeColor="text1"/>
                <w:sz w:val="22"/>
                <w:szCs w:val="22"/>
              </w:rPr>
            </w:pPr>
            <w:r w:rsidRPr="00516435">
              <w:rPr>
                <w:rFonts w:ascii="Calibri" w:eastAsia="Calibri" w:hAnsi="Calibri" w:cs="Calibri"/>
                <w:color w:val="000000" w:themeColor="text1"/>
                <w:sz w:val="22"/>
                <w:szCs w:val="22"/>
              </w:rPr>
              <w:t>Based on Hospital Episode Statistics (HES APC) and modeling described in appendix</w:t>
            </w:r>
          </w:p>
        </w:tc>
      </w:tr>
      <w:tr w:rsidR="00DD6481" w14:paraId="7DD84A4D" w14:textId="0F75FED1" w:rsidTr="00BC6755">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35C9B1F" w14:textId="4A472A1F"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Patient length of stay (lognormal shape)</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7A36DA0" w14:textId="63F19205"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0.887</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C7257BF" w14:textId="415F7AB3"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3CBD3EF7" w14:textId="046CFF4A"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35A956D3" w14:textId="3F312AF4" w:rsidTr="00BC6755">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9E4CD2C" w14:textId="3DF0BA9B"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Patient length of stay (lognormal rate)</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D761DB5" w14:textId="02C98BAD"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0.259</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2A656D5" w14:textId="55ABC292" w:rsidR="00DD6481" w:rsidRDefault="00DD6481" w:rsidP="426EE3D5">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bottom w:val="single" w:sz="6" w:space="0" w:color="auto"/>
              <w:right w:val="single" w:sz="6" w:space="0" w:color="auto"/>
            </w:tcBorders>
          </w:tcPr>
          <w:p w14:paraId="5C49A788" w14:textId="77777777" w:rsidR="00DD6481" w:rsidRPr="426EE3D5" w:rsidRDefault="00DD6481" w:rsidP="426EE3D5">
            <w:pPr>
              <w:spacing w:after="0" w:line="240" w:lineRule="auto"/>
              <w:rPr>
                <w:rFonts w:ascii="Calibri" w:eastAsia="Calibri" w:hAnsi="Calibri" w:cs="Calibri"/>
                <w:color w:val="000000" w:themeColor="text1"/>
                <w:sz w:val="22"/>
                <w:szCs w:val="22"/>
              </w:rPr>
            </w:pPr>
          </w:p>
        </w:tc>
      </w:tr>
      <w:tr w:rsidR="00DD6481" w14:paraId="139949B8" w14:textId="4612049F" w:rsidTr="009B1C55">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1FCD62A" w14:textId="484A33AE"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Age coefficient for patient LOS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97DF7F9" w14:textId="6AFB8B7A"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-0.0129</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28EFEEA" w14:textId="4AA43979"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val="restart"/>
            <w:tcBorders>
              <w:top w:val="single" w:sz="6" w:space="0" w:color="auto"/>
              <w:left w:val="single" w:sz="6" w:space="0" w:color="auto"/>
              <w:right w:val="single" w:sz="6" w:space="0" w:color="auto"/>
            </w:tcBorders>
          </w:tcPr>
          <w:p w14:paraId="3C4815C3" w14:textId="63C98D61" w:rsidR="00DD6481" w:rsidRPr="426EE3D5" w:rsidRDefault="00DD6481" w:rsidP="00DD6481">
            <w:pPr>
              <w:spacing w:after="0" w:line="240" w:lineRule="auto"/>
              <w:rPr>
                <w:rFonts w:ascii="Calibri" w:eastAsia="Calibri" w:hAnsi="Calibri" w:cs="Calibri"/>
                <w:color w:val="000000" w:themeColor="text1"/>
                <w:sz w:val="22"/>
                <w:szCs w:val="22"/>
              </w:rPr>
            </w:pPr>
            <w:r w:rsidRPr="009C28BD">
              <w:rPr>
                <w:rFonts w:ascii="Calibri" w:eastAsia="Calibri" w:hAnsi="Calibri" w:cs="Calibri"/>
                <w:color w:val="000000" w:themeColor="text1"/>
                <w:sz w:val="22"/>
                <w:szCs w:val="22"/>
              </w:rPr>
              <w:t>Pople et al [1], Evans et al [2]</w:t>
            </w:r>
          </w:p>
        </w:tc>
      </w:tr>
      <w:tr w:rsidR="00DD6481" w14:paraId="0C108055" w14:textId="3EAAB392" w:rsidTr="009B1C55">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5B00B78" w14:textId="1A127D8C"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lastRenderedPageBreak/>
              <w:t>Sex coefficient for patient LOS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B554837" w14:textId="6687F223"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0.0512</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F575A66" w14:textId="2A577B76"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bottom w:val="single" w:sz="6" w:space="0" w:color="auto"/>
              <w:right w:val="single" w:sz="6" w:space="0" w:color="auto"/>
            </w:tcBorders>
          </w:tcPr>
          <w:p w14:paraId="35B7C746" w14:textId="77777777" w:rsidR="00DD6481" w:rsidRPr="426EE3D5" w:rsidRDefault="00DD6481" w:rsidP="00DD6481">
            <w:pPr>
              <w:spacing w:after="0" w:line="240" w:lineRule="auto"/>
              <w:rPr>
                <w:rFonts w:ascii="Calibri" w:eastAsia="Calibri" w:hAnsi="Calibri" w:cs="Calibri"/>
                <w:color w:val="000000" w:themeColor="text1"/>
                <w:sz w:val="22"/>
                <w:szCs w:val="22"/>
              </w:rPr>
            </w:pPr>
          </w:p>
        </w:tc>
      </w:tr>
      <w:tr w:rsidR="00AB74B6" w14:paraId="1E634204" w14:textId="38255B98" w:rsidTr="004E35C2">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D84C626" w14:textId="6FD06A8C" w:rsidR="00AB74B6" w:rsidRDefault="00AB74B6"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E to I disease transition (lognormal mean)</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942E284" w14:textId="1391AFCC" w:rsidR="00AB74B6" w:rsidRDefault="00AB74B6"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1.6112</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03995A6" w14:textId="6CA0C579" w:rsidR="00AB74B6" w:rsidRDefault="00AB74B6"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val="restart"/>
            <w:tcBorders>
              <w:top w:val="single" w:sz="6" w:space="0" w:color="auto"/>
              <w:left w:val="single" w:sz="6" w:space="0" w:color="auto"/>
              <w:right w:val="single" w:sz="6" w:space="0" w:color="auto"/>
            </w:tcBorders>
          </w:tcPr>
          <w:p w14:paraId="0C37B0F6" w14:textId="6B4CAFA7" w:rsidR="00AB74B6" w:rsidRPr="426EE3D5" w:rsidRDefault="00AB74B6" w:rsidP="00DD6481">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Bayes et al [4]</w:t>
            </w:r>
          </w:p>
        </w:tc>
      </w:tr>
      <w:tr w:rsidR="00AB74B6" w14:paraId="3E579158" w14:textId="0CC02654" w:rsidTr="004E35C2">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13A6317" w14:textId="029DF46B" w:rsidR="00AB74B6" w:rsidRDefault="00AB74B6"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E to I disease transition (lognormal std)</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F0C057F" w14:textId="21C80B9D" w:rsidR="00AB74B6" w:rsidRDefault="00AB74B6"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0.47238</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6318BD1" w14:textId="5E48842B" w:rsidR="00AB74B6" w:rsidRDefault="00AB74B6"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bottom w:val="single" w:sz="6" w:space="0" w:color="auto"/>
              <w:right w:val="single" w:sz="6" w:space="0" w:color="auto"/>
            </w:tcBorders>
          </w:tcPr>
          <w:p w14:paraId="428B2C5F" w14:textId="34C76AB1" w:rsidR="00AB74B6" w:rsidRPr="426EE3D5" w:rsidRDefault="00AB74B6" w:rsidP="00DD6481">
            <w:pPr>
              <w:spacing w:after="0" w:line="240" w:lineRule="auto"/>
              <w:rPr>
                <w:rFonts w:ascii="Calibri" w:eastAsia="Calibri" w:hAnsi="Calibri" w:cs="Calibri"/>
                <w:color w:val="000000" w:themeColor="text1"/>
                <w:sz w:val="22"/>
                <w:szCs w:val="22"/>
              </w:rPr>
            </w:pPr>
          </w:p>
        </w:tc>
      </w:tr>
      <w:tr w:rsidR="00DD6481" w14:paraId="54BA5CE9" w14:textId="7D125AC9"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31916FB" w14:textId="5BA9D6A2"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I to R disease transition function</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C15DE4E" w14:textId="6F059EA9"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2 + </w:t>
            </w:r>
            <w:proofErr w:type="gramStart"/>
            <w:r w:rsidRPr="426EE3D5">
              <w:rPr>
                <w:rFonts w:ascii="Calibri" w:eastAsia="Calibri" w:hAnsi="Calibri" w:cs="Calibri"/>
                <w:color w:val="000000" w:themeColor="text1"/>
                <w:sz w:val="22"/>
                <w:szCs w:val="22"/>
              </w:rPr>
              <w:t>Gamma(</w:t>
            </w:r>
            <w:proofErr w:type="gramEnd"/>
            <w:r w:rsidRPr="426EE3D5">
              <w:rPr>
                <w:rFonts w:ascii="Calibri" w:eastAsia="Calibri" w:hAnsi="Calibri" w:cs="Calibri"/>
                <w:color w:val="000000" w:themeColor="text1"/>
                <w:sz w:val="22"/>
                <w:szCs w:val="22"/>
              </w:rPr>
              <w:t>2,2.1)</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873B7D5" w14:textId="7CFC13B3"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tcBorders>
              <w:top w:val="single" w:sz="6" w:space="0" w:color="auto"/>
              <w:left w:val="single" w:sz="6" w:space="0" w:color="auto"/>
              <w:bottom w:val="single" w:sz="6" w:space="0" w:color="auto"/>
              <w:right w:val="single" w:sz="6" w:space="0" w:color="auto"/>
            </w:tcBorders>
          </w:tcPr>
          <w:p w14:paraId="4431CB4D" w14:textId="2DA52D4B" w:rsidR="00DD6481" w:rsidRPr="426EE3D5" w:rsidRDefault="00AB74B6" w:rsidP="00DD6481">
            <w:pPr>
              <w:spacing w:after="0" w:line="240" w:lineRule="auto"/>
              <w:rPr>
                <w:rFonts w:ascii="Calibri" w:eastAsia="Calibri" w:hAnsi="Calibri" w:cs="Calibri"/>
                <w:color w:val="000000" w:themeColor="text1"/>
                <w:sz w:val="22"/>
                <w:szCs w:val="22"/>
              </w:rPr>
            </w:pPr>
            <w:proofErr w:type="spellStart"/>
            <w:r>
              <w:rPr>
                <w:rFonts w:ascii="Calibri" w:eastAsia="Calibri" w:hAnsi="Calibri" w:cs="Calibri"/>
                <w:color w:val="000000" w:themeColor="text1"/>
                <w:sz w:val="22"/>
                <w:szCs w:val="22"/>
              </w:rPr>
              <w:t>Quilty</w:t>
            </w:r>
            <w:proofErr w:type="spellEnd"/>
            <w:r>
              <w:rPr>
                <w:rFonts w:ascii="Calibri" w:eastAsia="Calibri" w:hAnsi="Calibri" w:cs="Calibri"/>
                <w:color w:val="000000" w:themeColor="text1"/>
                <w:sz w:val="22"/>
                <w:szCs w:val="22"/>
              </w:rPr>
              <w:t xml:space="preserve"> et al [5]</w:t>
            </w:r>
          </w:p>
        </w:tc>
      </w:tr>
      <w:tr w:rsidR="00F53F67" w14:paraId="56BBA278" w14:textId="300919B2" w:rsidTr="009B0F5E">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1D3E724" w14:textId="6CE7F371" w:rsidR="00F53F67" w:rsidRDefault="00F53F6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R to S transition (mean)</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9F6B2B6" w14:textId="02355862" w:rsidR="00F53F67" w:rsidRDefault="00F53F6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100 days</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47BD5AE" w14:textId="1CCDD65C" w:rsidR="00F53F67" w:rsidRDefault="00F53F6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val="restart"/>
            <w:tcBorders>
              <w:top w:val="single" w:sz="6" w:space="0" w:color="auto"/>
              <w:left w:val="single" w:sz="6" w:space="0" w:color="auto"/>
              <w:right w:val="single" w:sz="6" w:space="0" w:color="auto"/>
            </w:tcBorders>
          </w:tcPr>
          <w:p w14:paraId="682B9715" w14:textId="1B0CC5BA" w:rsidR="00F53F67" w:rsidRPr="426EE3D5" w:rsidRDefault="00F53F67" w:rsidP="00DD6481">
            <w:pPr>
              <w:spacing w:after="0" w:line="240" w:lineRule="auto"/>
              <w:rPr>
                <w:rFonts w:ascii="Calibri" w:eastAsia="Calibri" w:hAnsi="Calibri" w:cs="Calibri"/>
                <w:color w:val="000000" w:themeColor="text1"/>
                <w:sz w:val="22"/>
                <w:szCs w:val="22"/>
              </w:rPr>
            </w:pPr>
            <w:r w:rsidRPr="00F53F67">
              <w:rPr>
                <w:rFonts w:ascii="Calibri" w:eastAsia="Calibri" w:hAnsi="Calibri" w:cs="Calibri"/>
                <w:color w:val="000000" w:themeColor="text1"/>
                <w:sz w:val="22"/>
                <w:szCs w:val="22"/>
              </w:rPr>
              <w:t>Assumed based on literature [6–8]</w:t>
            </w:r>
          </w:p>
        </w:tc>
      </w:tr>
      <w:tr w:rsidR="00F53F67" w14:paraId="7D40EFFE" w14:textId="6540914E" w:rsidTr="009B0F5E">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FF482AB" w14:textId="1A7D3866" w:rsidR="00F53F67" w:rsidRDefault="00F53F6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R to S transition (std deviation)</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BE0D325" w14:textId="41214D83" w:rsidR="00F53F67" w:rsidRDefault="00F53F6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10 days</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7AF1748" w14:textId="5ECDC9B4" w:rsidR="00F53F67" w:rsidRDefault="00F53F6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bottom w:val="single" w:sz="6" w:space="0" w:color="auto"/>
              <w:right w:val="single" w:sz="6" w:space="0" w:color="auto"/>
            </w:tcBorders>
          </w:tcPr>
          <w:p w14:paraId="7913470E" w14:textId="77777777" w:rsidR="00F53F67" w:rsidRPr="426EE3D5" w:rsidRDefault="00F53F67" w:rsidP="00DD6481">
            <w:pPr>
              <w:spacing w:after="0" w:line="240" w:lineRule="auto"/>
              <w:rPr>
                <w:rFonts w:ascii="Calibri" w:eastAsia="Calibri" w:hAnsi="Calibri" w:cs="Calibri"/>
                <w:color w:val="000000" w:themeColor="text1"/>
                <w:sz w:val="22"/>
                <w:szCs w:val="22"/>
              </w:rPr>
            </w:pPr>
          </w:p>
        </w:tc>
      </w:tr>
      <w:tr w:rsidR="00DD6481" w14:paraId="140D1680" w14:textId="07F7A249"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975216F" w14:textId="3BBDC766"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Probability of symptom onset</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B0829E6" w14:textId="156156AB"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70%</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1D08CFD" w14:textId="0EA96E4B"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tcBorders>
              <w:top w:val="single" w:sz="6" w:space="0" w:color="auto"/>
              <w:left w:val="single" w:sz="6" w:space="0" w:color="auto"/>
              <w:bottom w:val="single" w:sz="6" w:space="0" w:color="auto"/>
              <w:right w:val="single" w:sz="6" w:space="0" w:color="auto"/>
            </w:tcBorders>
          </w:tcPr>
          <w:p w14:paraId="42198364" w14:textId="59917623" w:rsidR="00DD6481" w:rsidRPr="426EE3D5" w:rsidRDefault="002442FA" w:rsidP="00DD6481">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Shang et al [14]</w:t>
            </w:r>
          </w:p>
        </w:tc>
      </w:tr>
      <w:tr w:rsidR="00DD6481" w14:paraId="7E35F92E" w14:textId="45BF782E"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6BD469F" w14:textId="1AB854E2"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Disease protection from prior infection</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D37D9B3" w14:textId="783C12E9"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10%</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8FB70BE" w14:textId="5DF50ECD"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tcBorders>
              <w:top w:val="single" w:sz="6" w:space="0" w:color="auto"/>
              <w:left w:val="single" w:sz="6" w:space="0" w:color="auto"/>
              <w:bottom w:val="single" w:sz="6" w:space="0" w:color="auto"/>
              <w:right w:val="single" w:sz="6" w:space="0" w:color="auto"/>
            </w:tcBorders>
          </w:tcPr>
          <w:p w14:paraId="5D725773" w14:textId="601A6047" w:rsidR="00DD6481" w:rsidRPr="426EE3D5" w:rsidRDefault="00CC4296" w:rsidP="00DD6481">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Andrews et al [12]</w:t>
            </w:r>
          </w:p>
        </w:tc>
      </w:tr>
      <w:tr w:rsidR="00DD6481" w14:paraId="059F6BE0" w14:textId="16D1D6CA"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819DA03" w14:textId="2994F8FE"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Base transmissibility (β0)</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AC4240C" w14:textId="64F76844"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0.4</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6267687" w14:textId="021D28AB"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tcBorders>
              <w:top w:val="single" w:sz="6" w:space="0" w:color="auto"/>
              <w:left w:val="single" w:sz="6" w:space="0" w:color="auto"/>
              <w:bottom w:val="single" w:sz="6" w:space="0" w:color="auto"/>
              <w:right w:val="single" w:sz="6" w:space="0" w:color="auto"/>
            </w:tcBorders>
          </w:tcPr>
          <w:p w14:paraId="0B29CB3E" w14:textId="12E0E8CD" w:rsidR="00DD6481" w:rsidRPr="426EE3D5" w:rsidRDefault="00732557" w:rsidP="00DD6481">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Adapted from Evans et al [2]</w:t>
            </w:r>
          </w:p>
        </w:tc>
      </w:tr>
      <w:tr w:rsidR="00732557" w14:paraId="2595EEBD" w14:textId="2D42E50D" w:rsidTr="008175E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288CF5F" w14:textId="60B2C815"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Contact rate for patient-to-patient (ward)</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E88AD8D" w14:textId="3F6A36DF"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13</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90634A5" w14:textId="0A011FA1"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val="restart"/>
            <w:tcBorders>
              <w:top w:val="single" w:sz="6" w:space="0" w:color="auto"/>
              <w:left w:val="single" w:sz="6" w:space="0" w:color="auto"/>
              <w:right w:val="single" w:sz="6" w:space="0" w:color="auto"/>
            </w:tcBorders>
          </w:tcPr>
          <w:p w14:paraId="7A59F0AC" w14:textId="55059CDE" w:rsidR="00732557" w:rsidRPr="426EE3D5" w:rsidRDefault="00732557" w:rsidP="00DD6481">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Adapted from Pople et al [1]</w:t>
            </w:r>
          </w:p>
        </w:tc>
      </w:tr>
      <w:tr w:rsidR="00732557" w14:paraId="15A6E36C" w14:textId="0E778C48" w:rsidTr="008175E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2612630" w14:textId="432478BC"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HCWs per patient (ward-based)</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7E7967C" w14:textId="50E66E41"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18</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79200F8" w14:textId="6D20E43F"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1B4D6194" w14:textId="77777777" w:rsidR="00732557" w:rsidRPr="426EE3D5" w:rsidRDefault="00732557" w:rsidP="00DD6481">
            <w:pPr>
              <w:spacing w:after="0" w:line="240" w:lineRule="auto"/>
              <w:rPr>
                <w:rFonts w:ascii="Calibri" w:eastAsia="Calibri" w:hAnsi="Calibri" w:cs="Calibri"/>
                <w:color w:val="000000" w:themeColor="text1"/>
                <w:sz w:val="22"/>
                <w:szCs w:val="22"/>
              </w:rPr>
            </w:pPr>
          </w:p>
        </w:tc>
      </w:tr>
      <w:tr w:rsidR="00732557" w14:paraId="5519CCCA" w14:textId="22D5C143" w:rsidTr="008175E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20643BD" w14:textId="484CE8AA"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HCWs per patient (non-ward-based)</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0A8FBFFF" w14:textId="132B5263"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30</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B8CE4D7" w14:textId="199E0540"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right w:val="single" w:sz="6" w:space="0" w:color="auto"/>
            </w:tcBorders>
          </w:tcPr>
          <w:p w14:paraId="7D63EE12" w14:textId="77777777" w:rsidR="00732557" w:rsidRPr="426EE3D5" w:rsidRDefault="00732557" w:rsidP="00DD6481">
            <w:pPr>
              <w:spacing w:after="0" w:line="240" w:lineRule="auto"/>
              <w:rPr>
                <w:rFonts w:ascii="Calibri" w:eastAsia="Calibri" w:hAnsi="Calibri" w:cs="Calibri"/>
                <w:color w:val="000000" w:themeColor="text1"/>
                <w:sz w:val="22"/>
                <w:szCs w:val="22"/>
              </w:rPr>
            </w:pPr>
          </w:p>
        </w:tc>
      </w:tr>
      <w:tr w:rsidR="00732557" w14:paraId="028C0385" w14:textId="41F62DBD" w:rsidTr="008175E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6228808" w14:textId="016CAD97"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HCW to HCW contacts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FDE9716" w14:textId="46A9E93B"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18</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2774F9B" w14:textId="31D51207" w:rsidR="00732557" w:rsidRDefault="00732557"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Fixed</w:t>
            </w:r>
          </w:p>
        </w:tc>
        <w:tc>
          <w:tcPr>
            <w:tcW w:w="3119" w:type="dxa"/>
            <w:vMerge/>
            <w:tcBorders>
              <w:left w:val="single" w:sz="6" w:space="0" w:color="auto"/>
              <w:bottom w:val="single" w:sz="6" w:space="0" w:color="auto"/>
              <w:right w:val="single" w:sz="6" w:space="0" w:color="auto"/>
            </w:tcBorders>
          </w:tcPr>
          <w:p w14:paraId="1C4589EC" w14:textId="77777777" w:rsidR="00732557" w:rsidRPr="426EE3D5" w:rsidRDefault="00732557" w:rsidP="00DD6481">
            <w:pPr>
              <w:spacing w:after="0" w:line="240" w:lineRule="auto"/>
              <w:rPr>
                <w:rFonts w:ascii="Calibri" w:eastAsia="Calibri" w:hAnsi="Calibri" w:cs="Calibri"/>
                <w:color w:val="000000" w:themeColor="text1"/>
                <w:sz w:val="22"/>
                <w:szCs w:val="22"/>
              </w:rPr>
            </w:pPr>
          </w:p>
        </w:tc>
      </w:tr>
      <w:tr w:rsidR="00DD6481" w14:paraId="16A2D083" w14:textId="7EEB530F"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B9B5922" w14:textId="24A68A94"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Community prevalence</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E83FB1E" w14:textId="6B106E8C"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2%</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AAF59D6" w14:textId="1B6CC79F" w:rsidR="00DD6481" w:rsidRDefault="00DD6481" w:rsidP="00DD6481">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tcBorders>
              <w:top w:val="single" w:sz="6" w:space="0" w:color="auto"/>
              <w:left w:val="single" w:sz="6" w:space="0" w:color="auto"/>
              <w:bottom w:val="single" w:sz="6" w:space="0" w:color="auto"/>
              <w:right w:val="single" w:sz="6" w:space="0" w:color="auto"/>
            </w:tcBorders>
          </w:tcPr>
          <w:p w14:paraId="24DE6EF8" w14:textId="4F28F6F8" w:rsidR="00DD6481" w:rsidRPr="426EE3D5" w:rsidRDefault="0025000F" w:rsidP="00DD6481">
            <w:pPr>
              <w:spacing w:after="0" w:line="240" w:lineRule="auto"/>
              <w:rPr>
                <w:rFonts w:ascii="Calibri" w:eastAsia="Calibri" w:hAnsi="Calibri" w:cs="Calibri"/>
                <w:color w:val="000000" w:themeColor="text1"/>
                <w:sz w:val="22"/>
                <w:szCs w:val="22"/>
              </w:rPr>
            </w:pPr>
            <w:r w:rsidRPr="0025000F">
              <w:rPr>
                <w:rFonts w:ascii="Calibri" w:eastAsia="Calibri" w:hAnsi="Calibri" w:cs="Calibri"/>
                <w:color w:val="000000" w:themeColor="text1"/>
                <w:sz w:val="22"/>
                <w:szCs w:val="22"/>
              </w:rPr>
              <w:t>Derived from UKHSA 2023-2024 prevalence estimates [9–11]</w:t>
            </w:r>
          </w:p>
        </w:tc>
      </w:tr>
      <w:tr w:rsidR="00832358" w14:paraId="3B34FE5E" w14:textId="09004F27" w:rsidTr="009570C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C7AC53E" w14:textId="757083E4"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Mask adherence (HCWs with patients)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CFF48A5" w14:textId="52D0ADC0"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75%</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8EFF00F" w14:textId="7F48D1E5"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vMerge w:val="restart"/>
            <w:tcBorders>
              <w:top w:val="single" w:sz="6" w:space="0" w:color="auto"/>
              <w:left w:val="single" w:sz="6" w:space="0" w:color="auto"/>
              <w:right w:val="single" w:sz="6" w:space="0" w:color="auto"/>
            </w:tcBorders>
          </w:tcPr>
          <w:p w14:paraId="6BE95066" w14:textId="46B84919" w:rsidR="00832358" w:rsidRPr="426EE3D5" w:rsidRDefault="00832358" w:rsidP="0025000F">
            <w:pPr>
              <w:spacing w:after="0" w:line="240" w:lineRule="auto"/>
              <w:rPr>
                <w:rFonts w:ascii="Calibri" w:eastAsia="Calibri" w:hAnsi="Calibri" w:cs="Calibri"/>
                <w:color w:val="000000" w:themeColor="text1"/>
                <w:sz w:val="22"/>
                <w:szCs w:val="22"/>
              </w:rPr>
            </w:pPr>
            <w:r w:rsidRPr="009C28BD">
              <w:rPr>
                <w:rFonts w:ascii="Calibri" w:eastAsia="Calibri" w:hAnsi="Calibri" w:cs="Calibri"/>
                <w:color w:val="000000" w:themeColor="text1"/>
                <w:sz w:val="22"/>
                <w:szCs w:val="22"/>
              </w:rPr>
              <w:t>Pople et al [1], Evans et al [2]</w:t>
            </w:r>
          </w:p>
        </w:tc>
      </w:tr>
      <w:tr w:rsidR="00832358" w14:paraId="53A812FC" w14:textId="16547CD4" w:rsidTr="009570C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AA00E92" w14:textId="1540DDC5"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Mask adherence (HCWs with HCWs)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36CEF406" w14:textId="1F1D31CB"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75%</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7092BBD" w14:textId="6957F0FA"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vMerge/>
            <w:tcBorders>
              <w:left w:val="single" w:sz="6" w:space="0" w:color="auto"/>
              <w:right w:val="single" w:sz="6" w:space="0" w:color="auto"/>
            </w:tcBorders>
          </w:tcPr>
          <w:p w14:paraId="4245829E" w14:textId="77777777" w:rsidR="00832358" w:rsidRPr="426EE3D5" w:rsidRDefault="00832358" w:rsidP="0025000F">
            <w:pPr>
              <w:spacing w:after="0" w:line="240" w:lineRule="auto"/>
              <w:rPr>
                <w:rFonts w:ascii="Calibri" w:eastAsia="Calibri" w:hAnsi="Calibri" w:cs="Calibri"/>
                <w:color w:val="000000" w:themeColor="text1"/>
                <w:sz w:val="22"/>
                <w:szCs w:val="22"/>
              </w:rPr>
            </w:pPr>
          </w:p>
        </w:tc>
      </w:tr>
      <w:tr w:rsidR="00832358" w14:paraId="7577E93B" w14:textId="3A716CFE" w:rsidTr="009570C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468D3B48" w14:textId="3CEF7307"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Mask effectiveness (for wearer)</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4B42239" w14:textId="29245428"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45%</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DC8E325" w14:textId="0D543622"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vMerge/>
            <w:tcBorders>
              <w:left w:val="single" w:sz="6" w:space="0" w:color="auto"/>
              <w:right w:val="single" w:sz="6" w:space="0" w:color="auto"/>
            </w:tcBorders>
          </w:tcPr>
          <w:p w14:paraId="2C6F2357" w14:textId="77777777" w:rsidR="00832358" w:rsidRPr="426EE3D5" w:rsidRDefault="00832358" w:rsidP="0025000F">
            <w:pPr>
              <w:spacing w:after="0" w:line="240" w:lineRule="auto"/>
              <w:rPr>
                <w:rFonts w:ascii="Calibri" w:eastAsia="Calibri" w:hAnsi="Calibri" w:cs="Calibri"/>
                <w:color w:val="000000" w:themeColor="text1"/>
                <w:sz w:val="22"/>
                <w:szCs w:val="22"/>
              </w:rPr>
            </w:pPr>
          </w:p>
        </w:tc>
      </w:tr>
      <w:tr w:rsidR="00832358" w14:paraId="5CE623F4" w14:textId="55FF0AAA" w:rsidTr="009570C6">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5A4DFF25" w14:textId="62F594BB"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Mask effectiveness (from wearer)</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FC55A21" w14:textId="45324D9B"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60%</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4256C25" w14:textId="0C6EF8BE" w:rsidR="00832358" w:rsidRDefault="00832358"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vMerge/>
            <w:tcBorders>
              <w:left w:val="single" w:sz="6" w:space="0" w:color="auto"/>
              <w:bottom w:val="single" w:sz="6" w:space="0" w:color="auto"/>
              <w:right w:val="single" w:sz="6" w:space="0" w:color="auto"/>
            </w:tcBorders>
          </w:tcPr>
          <w:p w14:paraId="3448F6B9" w14:textId="77777777" w:rsidR="00832358" w:rsidRPr="426EE3D5" w:rsidRDefault="00832358" w:rsidP="0025000F">
            <w:pPr>
              <w:spacing w:after="0" w:line="240" w:lineRule="auto"/>
              <w:rPr>
                <w:rFonts w:ascii="Calibri" w:eastAsia="Calibri" w:hAnsi="Calibri" w:cs="Calibri"/>
                <w:color w:val="000000" w:themeColor="text1"/>
                <w:sz w:val="22"/>
                <w:szCs w:val="22"/>
              </w:rPr>
            </w:pPr>
          </w:p>
        </w:tc>
      </w:tr>
      <w:tr w:rsidR="0025000F" w14:paraId="51B5E4F0" w14:textId="260D42A2" w:rsidTr="009C28BD">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AE0011E" w14:textId="4A4C07E9" w:rsidR="0025000F" w:rsidRDefault="0025000F"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Unmasked breakroom interactions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EDCD276" w14:textId="688915D8" w:rsidR="0025000F" w:rsidRDefault="0025000F"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25%</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B01E5F2" w14:textId="7DDF5BE2" w:rsidR="0025000F" w:rsidRDefault="0025000F"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scenarios</w:t>
            </w:r>
          </w:p>
        </w:tc>
        <w:tc>
          <w:tcPr>
            <w:tcW w:w="3119" w:type="dxa"/>
            <w:tcBorders>
              <w:top w:val="single" w:sz="6" w:space="0" w:color="auto"/>
              <w:left w:val="single" w:sz="6" w:space="0" w:color="auto"/>
              <w:bottom w:val="single" w:sz="6" w:space="0" w:color="auto"/>
              <w:right w:val="single" w:sz="6" w:space="0" w:color="auto"/>
            </w:tcBorders>
          </w:tcPr>
          <w:p w14:paraId="65C1FE37" w14:textId="2CC2A7A1" w:rsidR="0025000F" w:rsidRPr="426EE3D5" w:rsidRDefault="008A43BC" w:rsidP="0025000F">
            <w:pPr>
              <w:spacing w:after="0" w:line="240" w:lineRule="auto"/>
              <w:rPr>
                <w:rFonts w:ascii="Calibri" w:eastAsia="Calibri" w:hAnsi="Calibri" w:cs="Calibri"/>
                <w:color w:val="000000" w:themeColor="text1"/>
                <w:sz w:val="22"/>
                <w:szCs w:val="22"/>
              </w:rPr>
            </w:pPr>
            <w:r>
              <w:rPr>
                <w:rFonts w:ascii="Calibri" w:eastAsia="Calibri" w:hAnsi="Calibri" w:cs="Calibri"/>
                <w:color w:val="000000" w:themeColor="text1"/>
                <w:sz w:val="22"/>
                <w:szCs w:val="22"/>
              </w:rPr>
              <w:t>Assumption</w:t>
            </w:r>
          </w:p>
        </w:tc>
      </w:tr>
      <w:tr w:rsidR="006F2B7E" w14:paraId="78E122EB" w14:textId="5E6DFC01" w:rsidTr="00F2618C">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712A87E9" w14:textId="031813E3" w:rsidR="006F2B7E"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Community contact rate (HCWs)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69CBA01C" w14:textId="7DF45E92" w:rsidR="006F2B7E"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across iterations</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5C82F11" w14:textId="00C9AFE4" w:rsidR="006F2B7E"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40 iterations</w:t>
            </w:r>
          </w:p>
        </w:tc>
        <w:tc>
          <w:tcPr>
            <w:tcW w:w="3119" w:type="dxa"/>
            <w:vMerge w:val="restart"/>
            <w:tcBorders>
              <w:top w:val="single" w:sz="6" w:space="0" w:color="auto"/>
              <w:left w:val="single" w:sz="6" w:space="0" w:color="auto"/>
              <w:right w:val="single" w:sz="6" w:space="0" w:color="auto"/>
            </w:tcBorders>
          </w:tcPr>
          <w:p w14:paraId="3C699FFC" w14:textId="292627B5" w:rsidR="006F2B7E" w:rsidRPr="426EE3D5"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Evans et al [2]</w:t>
            </w:r>
          </w:p>
        </w:tc>
      </w:tr>
      <w:tr w:rsidR="006F2B7E" w14:paraId="66BD04A0" w14:textId="5F544E25" w:rsidTr="00F2618C">
        <w:trPr>
          <w:trHeight w:val="15"/>
        </w:trPr>
        <w:tc>
          <w:tcPr>
            <w:tcW w:w="3111"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1173D5AE" w14:textId="196C2988" w:rsidR="006F2B7E"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Transmission rate (various interactions)</w:t>
            </w:r>
          </w:p>
        </w:tc>
        <w:tc>
          <w:tcPr>
            <w:tcW w:w="2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4CA05DF" w14:textId="1C82A02B" w:rsidR="006F2B7E"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across iterations</w:t>
            </w:r>
          </w:p>
        </w:tc>
        <w:tc>
          <w:tcPr>
            <w:tcW w:w="1134" w:type="dxa"/>
            <w:tcBorders>
              <w:top w:val="single" w:sz="6" w:space="0" w:color="auto"/>
              <w:left w:val="single" w:sz="6" w:space="0" w:color="auto"/>
              <w:bottom w:val="single" w:sz="6" w:space="0" w:color="auto"/>
              <w:right w:val="single" w:sz="6" w:space="0" w:color="auto"/>
            </w:tcBorders>
            <w:tcMar>
              <w:top w:w="15" w:type="dxa"/>
              <w:left w:w="15" w:type="dxa"/>
              <w:right w:w="15" w:type="dxa"/>
            </w:tcMar>
            <w:vAlign w:val="center"/>
          </w:tcPr>
          <w:p w14:paraId="2F9C5DA0" w14:textId="50093850" w:rsidR="006F2B7E" w:rsidRDefault="006F2B7E" w:rsidP="0025000F">
            <w:pPr>
              <w:spacing w:after="0" w:line="240" w:lineRule="auto"/>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Varies in 40 iterations</w:t>
            </w:r>
          </w:p>
        </w:tc>
        <w:tc>
          <w:tcPr>
            <w:tcW w:w="3119" w:type="dxa"/>
            <w:vMerge/>
            <w:tcBorders>
              <w:left w:val="single" w:sz="6" w:space="0" w:color="auto"/>
              <w:bottom w:val="single" w:sz="6" w:space="0" w:color="auto"/>
              <w:right w:val="single" w:sz="6" w:space="0" w:color="auto"/>
            </w:tcBorders>
          </w:tcPr>
          <w:p w14:paraId="4046CA91" w14:textId="77777777" w:rsidR="006F2B7E" w:rsidRPr="426EE3D5" w:rsidRDefault="006F2B7E" w:rsidP="0025000F">
            <w:pPr>
              <w:spacing w:after="0" w:line="240" w:lineRule="auto"/>
              <w:rPr>
                <w:rFonts w:ascii="Calibri" w:eastAsia="Calibri" w:hAnsi="Calibri" w:cs="Calibri"/>
                <w:color w:val="000000" w:themeColor="text1"/>
                <w:sz w:val="22"/>
                <w:szCs w:val="22"/>
              </w:rPr>
            </w:pPr>
          </w:p>
        </w:tc>
      </w:tr>
    </w:tbl>
    <w:p w14:paraId="624F4E32" w14:textId="207418FD"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 xml:space="preserve"> </w:t>
      </w:r>
    </w:p>
    <w:p w14:paraId="681DD0BD" w14:textId="585F9E95" w:rsidR="426EE3D5" w:rsidRDefault="426EE3D5" w:rsidP="426EE3D5">
      <w:pPr>
        <w:rPr>
          <w:rFonts w:ascii="Calibri" w:eastAsia="Calibri" w:hAnsi="Calibri" w:cs="Calibri"/>
          <w:color w:val="000000" w:themeColor="text1"/>
          <w:sz w:val="22"/>
          <w:szCs w:val="22"/>
        </w:rPr>
      </w:pPr>
    </w:p>
    <w:p w14:paraId="05EC1AE1" w14:textId="2BDBCAB5"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b/>
          <w:bCs/>
          <w:color w:val="000000" w:themeColor="text1"/>
          <w:sz w:val="22"/>
          <w:szCs w:val="22"/>
          <w:u w:val="single"/>
          <w:lang w:val="en-GB"/>
        </w:rPr>
        <w:t>References</w:t>
      </w:r>
    </w:p>
    <w:p w14:paraId="6C1002B0" w14:textId="541D7F53"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[1] Pople D, Monk EJM, Evans S, Foulkes S, Islam J, Wellington E, et al. Burden of SARS-CoV-2 infection in healthcare workers during second wave in England and impact of vaccines: prospective multicentre cohort study (SIREN) and mathematical model. BMJ. 2022;378. doi:10.1136/bmj-2022-070379.</w:t>
      </w:r>
    </w:p>
    <w:p w14:paraId="59FBB8E6" w14:textId="496E449C"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lastRenderedPageBreak/>
        <w:t>[2] Evans S, Stimson J, Pople D, White PJ, Wilcox MH, Robotham JV. Impact of interventions to reduce nosocomial transmission of SARS-CoV-2 in English NHS Trusts: a computational modelling study. BMC Infect Dis. 2024;24(475). doi:10.1186/s12879-024-09330-z.</w:t>
      </w:r>
    </w:p>
    <w:p w14:paraId="72056684" w14:textId="12D1F2FC"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[3] </w:t>
      </w:r>
      <w:proofErr w:type="spellStart"/>
      <w:r w:rsidRPr="426EE3D5">
        <w:rPr>
          <w:rFonts w:ascii="Calibri" w:eastAsia="Calibri" w:hAnsi="Calibri" w:cs="Calibri"/>
          <w:color w:val="000000" w:themeColor="text1"/>
          <w:sz w:val="22"/>
          <w:szCs w:val="22"/>
          <w:lang w:val="en-GB"/>
        </w:rPr>
        <w:t>Kazil</w:t>
      </w:r>
      <w:proofErr w:type="spellEnd"/>
      <w:r w:rsidRPr="426EE3D5">
        <w:rPr>
          <w:rFonts w:ascii="Calibri" w:eastAsia="Calibri" w:hAnsi="Calibri" w:cs="Calibri"/>
          <w:color w:val="000000" w:themeColor="text1"/>
          <w:sz w:val="22"/>
          <w:szCs w:val="22"/>
          <w:lang w:val="en-GB"/>
        </w:rPr>
        <w:t xml:space="preserve"> J, </w:t>
      </w:r>
      <w:proofErr w:type="spellStart"/>
      <w:r w:rsidRPr="426EE3D5">
        <w:rPr>
          <w:rFonts w:ascii="Calibri" w:eastAsia="Calibri" w:hAnsi="Calibri" w:cs="Calibri"/>
          <w:color w:val="000000" w:themeColor="text1"/>
          <w:sz w:val="22"/>
          <w:szCs w:val="22"/>
          <w:lang w:val="en-GB"/>
        </w:rPr>
        <w:t>Masad</w:t>
      </w:r>
      <w:proofErr w:type="spellEnd"/>
      <w:r w:rsidRPr="426EE3D5">
        <w:rPr>
          <w:rFonts w:ascii="Calibri" w:eastAsia="Calibri" w:hAnsi="Calibri" w:cs="Calibri"/>
          <w:color w:val="000000" w:themeColor="text1"/>
          <w:sz w:val="22"/>
          <w:szCs w:val="22"/>
          <w:lang w:val="en-GB"/>
        </w:rPr>
        <w:t xml:space="preserve"> D, Crooks A. Utilizing Python for agent-based </w:t>
      </w:r>
      <w:proofErr w:type="spellStart"/>
      <w:r w:rsidRPr="426EE3D5">
        <w:rPr>
          <w:rFonts w:ascii="Calibri" w:eastAsia="Calibri" w:hAnsi="Calibri" w:cs="Calibri"/>
          <w:color w:val="000000" w:themeColor="text1"/>
          <w:sz w:val="22"/>
          <w:szCs w:val="22"/>
          <w:lang w:val="en-GB"/>
        </w:rPr>
        <w:t>modeling</w:t>
      </w:r>
      <w:proofErr w:type="spellEnd"/>
      <w:r w:rsidRPr="426EE3D5">
        <w:rPr>
          <w:rFonts w:ascii="Calibri" w:eastAsia="Calibri" w:hAnsi="Calibri" w:cs="Calibri"/>
          <w:color w:val="000000" w:themeColor="text1"/>
          <w:sz w:val="22"/>
          <w:szCs w:val="22"/>
          <w:lang w:val="en-GB"/>
        </w:rPr>
        <w:t xml:space="preserve">: The Mesa framework. In: Thomson R, </w:t>
      </w:r>
      <w:proofErr w:type="spellStart"/>
      <w:r w:rsidRPr="426EE3D5">
        <w:rPr>
          <w:rFonts w:ascii="Calibri" w:eastAsia="Calibri" w:hAnsi="Calibri" w:cs="Calibri"/>
          <w:color w:val="000000" w:themeColor="text1"/>
          <w:sz w:val="22"/>
          <w:szCs w:val="22"/>
          <w:lang w:val="en-GB"/>
        </w:rPr>
        <w:t>Bisgin</w:t>
      </w:r>
      <w:proofErr w:type="spellEnd"/>
      <w:r w:rsidRPr="426EE3D5">
        <w:rPr>
          <w:rFonts w:ascii="Calibri" w:eastAsia="Calibri" w:hAnsi="Calibri" w:cs="Calibri"/>
          <w:color w:val="000000" w:themeColor="text1"/>
          <w:sz w:val="22"/>
          <w:szCs w:val="22"/>
          <w:lang w:val="en-GB"/>
        </w:rPr>
        <w:t xml:space="preserve"> H, Dancy C, Hyder A, Hussain M, eds. Social, Cultural, and </w:t>
      </w:r>
      <w:proofErr w:type="spellStart"/>
      <w:r w:rsidRPr="426EE3D5">
        <w:rPr>
          <w:rFonts w:ascii="Calibri" w:eastAsia="Calibri" w:hAnsi="Calibri" w:cs="Calibri"/>
          <w:color w:val="000000" w:themeColor="text1"/>
          <w:sz w:val="22"/>
          <w:szCs w:val="22"/>
          <w:lang w:val="en-GB"/>
        </w:rPr>
        <w:t>Behavioral</w:t>
      </w:r>
      <w:proofErr w:type="spellEnd"/>
      <w:r w:rsidRPr="426EE3D5">
        <w:rPr>
          <w:rFonts w:ascii="Calibri" w:eastAsia="Calibri" w:hAnsi="Calibri" w:cs="Calibri"/>
          <w:color w:val="000000" w:themeColor="text1"/>
          <w:sz w:val="22"/>
          <w:szCs w:val="22"/>
          <w:lang w:val="en-GB"/>
        </w:rPr>
        <w:t xml:space="preserve"> </w:t>
      </w:r>
      <w:proofErr w:type="spellStart"/>
      <w:r w:rsidRPr="426EE3D5">
        <w:rPr>
          <w:rFonts w:ascii="Calibri" w:eastAsia="Calibri" w:hAnsi="Calibri" w:cs="Calibri"/>
          <w:color w:val="000000" w:themeColor="text1"/>
          <w:sz w:val="22"/>
          <w:szCs w:val="22"/>
          <w:lang w:val="en-GB"/>
        </w:rPr>
        <w:t>Modeling</w:t>
      </w:r>
      <w:proofErr w:type="spellEnd"/>
      <w:r w:rsidRPr="426EE3D5">
        <w:rPr>
          <w:rFonts w:ascii="Calibri" w:eastAsia="Calibri" w:hAnsi="Calibri" w:cs="Calibri"/>
          <w:color w:val="000000" w:themeColor="text1"/>
          <w:sz w:val="22"/>
          <w:szCs w:val="22"/>
          <w:lang w:val="en-GB"/>
        </w:rPr>
        <w:t>. Cham: Springer International Publishing; 2020:308-317.</w:t>
      </w:r>
    </w:p>
    <w:p w14:paraId="4125FE73" w14:textId="480B76E6"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[4] Bays, D., Whiteley, T., Williams, H., Finnie, T. and Gent, N., 2022. Mitigating isolation: further comparing the effect of LFD testing for early release from self-isolation for COVID-19 cases. </w:t>
      </w:r>
      <w:proofErr w:type="spellStart"/>
      <w:r w:rsidRPr="426EE3D5">
        <w:rPr>
          <w:rFonts w:ascii="Calibri" w:eastAsia="Calibri" w:hAnsi="Calibri" w:cs="Calibri"/>
          <w:color w:val="000000" w:themeColor="text1"/>
          <w:sz w:val="22"/>
          <w:szCs w:val="22"/>
          <w:lang w:val="en-GB"/>
        </w:rPr>
        <w:t>MedRxiv</w:t>
      </w:r>
      <w:proofErr w:type="spellEnd"/>
      <w:r w:rsidRPr="426EE3D5">
        <w:rPr>
          <w:rFonts w:ascii="Calibri" w:eastAsia="Calibri" w:hAnsi="Calibri" w:cs="Calibri"/>
          <w:color w:val="000000" w:themeColor="text1"/>
          <w:sz w:val="22"/>
          <w:szCs w:val="22"/>
          <w:lang w:val="en-GB"/>
        </w:rPr>
        <w:t>, pp.2022-01.</w:t>
      </w:r>
    </w:p>
    <w:p w14:paraId="1A9E31E1" w14:textId="5290F06B"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[5]</w:t>
      </w:r>
      <w:r w:rsidRPr="426EE3D5">
        <w:rPr>
          <w:rFonts w:ascii="Calibri" w:eastAsia="Calibri" w:hAnsi="Calibri" w:cs="Calibri"/>
          <w:color w:val="000000" w:themeColor="text1"/>
          <w:sz w:val="22"/>
          <w:szCs w:val="22"/>
        </w:rPr>
        <w:t xml:space="preserve"> </w:t>
      </w:r>
      <w:proofErr w:type="spellStart"/>
      <w:r w:rsidRPr="426EE3D5">
        <w:rPr>
          <w:rFonts w:ascii="Calibri" w:eastAsia="Calibri" w:hAnsi="Calibri" w:cs="Calibri"/>
          <w:color w:val="000000" w:themeColor="text1"/>
          <w:sz w:val="22"/>
          <w:szCs w:val="22"/>
        </w:rPr>
        <w:t>Quilty</w:t>
      </w:r>
      <w:proofErr w:type="spellEnd"/>
      <w:r w:rsidRPr="426EE3D5">
        <w:rPr>
          <w:rFonts w:ascii="Calibri" w:eastAsia="Calibri" w:hAnsi="Calibri" w:cs="Calibri"/>
          <w:color w:val="000000" w:themeColor="text1"/>
          <w:sz w:val="22"/>
          <w:szCs w:val="22"/>
        </w:rPr>
        <w:t xml:space="preserve">, B.J., Clifford, S., </w:t>
      </w:r>
      <w:proofErr w:type="spellStart"/>
      <w:r w:rsidRPr="426EE3D5">
        <w:rPr>
          <w:rFonts w:ascii="Calibri" w:eastAsia="Calibri" w:hAnsi="Calibri" w:cs="Calibri"/>
          <w:color w:val="000000" w:themeColor="text1"/>
          <w:sz w:val="22"/>
          <w:szCs w:val="22"/>
        </w:rPr>
        <w:t>Hellewell</w:t>
      </w:r>
      <w:proofErr w:type="spellEnd"/>
      <w:r w:rsidRPr="426EE3D5">
        <w:rPr>
          <w:rFonts w:ascii="Calibri" w:eastAsia="Calibri" w:hAnsi="Calibri" w:cs="Calibri"/>
          <w:color w:val="000000" w:themeColor="text1"/>
          <w:sz w:val="22"/>
          <w:szCs w:val="22"/>
        </w:rPr>
        <w:t xml:space="preserve">, J., Russell, T.W., Kucharski, A.J., </w:t>
      </w:r>
      <w:proofErr w:type="spellStart"/>
      <w:r w:rsidRPr="426EE3D5">
        <w:rPr>
          <w:rFonts w:ascii="Calibri" w:eastAsia="Calibri" w:hAnsi="Calibri" w:cs="Calibri"/>
          <w:color w:val="000000" w:themeColor="text1"/>
          <w:sz w:val="22"/>
          <w:szCs w:val="22"/>
        </w:rPr>
        <w:t>Flasche</w:t>
      </w:r>
      <w:proofErr w:type="spellEnd"/>
      <w:r w:rsidRPr="426EE3D5">
        <w:rPr>
          <w:rFonts w:ascii="Calibri" w:eastAsia="Calibri" w:hAnsi="Calibri" w:cs="Calibri"/>
          <w:color w:val="000000" w:themeColor="text1"/>
          <w:sz w:val="22"/>
          <w:szCs w:val="22"/>
        </w:rPr>
        <w:t xml:space="preserve">, S., Edmunds, W.J., Atkins, K.E., Foss, A.M., </w:t>
      </w:r>
      <w:proofErr w:type="spellStart"/>
      <w:r w:rsidRPr="426EE3D5">
        <w:rPr>
          <w:rFonts w:ascii="Calibri" w:eastAsia="Calibri" w:hAnsi="Calibri" w:cs="Calibri"/>
          <w:color w:val="000000" w:themeColor="text1"/>
          <w:sz w:val="22"/>
          <w:szCs w:val="22"/>
        </w:rPr>
        <w:t>Waterlow</w:t>
      </w:r>
      <w:proofErr w:type="spellEnd"/>
      <w:r w:rsidRPr="426EE3D5">
        <w:rPr>
          <w:rFonts w:ascii="Calibri" w:eastAsia="Calibri" w:hAnsi="Calibri" w:cs="Calibri"/>
          <w:color w:val="000000" w:themeColor="text1"/>
          <w:sz w:val="22"/>
          <w:szCs w:val="22"/>
        </w:rPr>
        <w:t xml:space="preserve">, N.R. and Abbas, K., 2021. Quarantine and testing strategies in contact tracing for SARS-CoV-2: a modelling study. The Lancet Public Health, 6(3), </w:t>
      </w:r>
      <w:proofErr w:type="gramStart"/>
      <w:r w:rsidRPr="426EE3D5">
        <w:rPr>
          <w:rFonts w:ascii="Calibri" w:eastAsia="Calibri" w:hAnsi="Calibri" w:cs="Calibri"/>
          <w:color w:val="000000" w:themeColor="text1"/>
          <w:sz w:val="22"/>
          <w:szCs w:val="22"/>
        </w:rPr>
        <w:t>pp.e</w:t>
      </w:r>
      <w:proofErr w:type="gramEnd"/>
      <w:r w:rsidRPr="426EE3D5">
        <w:rPr>
          <w:rFonts w:ascii="Calibri" w:eastAsia="Calibri" w:hAnsi="Calibri" w:cs="Calibri"/>
          <w:color w:val="000000" w:themeColor="text1"/>
          <w:sz w:val="22"/>
          <w:szCs w:val="22"/>
        </w:rPr>
        <w:t>175-e183</w:t>
      </w:r>
    </w:p>
    <w:p w14:paraId="3FABD6FE" w14:textId="7A6BDA22"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[6] </w:t>
      </w:r>
      <w:proofErr w:type="spellStart"/>
      <w:r w:rsidRPr="426EE3D5">
        <w:rPr>
          <w:rFonts w:ascii="Calibri" w:eastAsia="Calibri" w:hAnsi="Calibri" w:cs="Calibri"/>
          <w:color w:val="000000" w:themeColor="text1"/>
          <w:sz w:val="22"/>
          <w:szCs w:val="22"/>
          <w:lang w:val="en-GB"/>
        </w:rPr>
        <w:t>Kissler</w:t>
      </w:r>
      <w:proofErr w:type="spellEnd"/>
      <w:r w:rsidRPr="426EE3D5">
        <w:rPr>
          <w:rFonts w:ascii="Calibri" w:eastAsia="Calibri" w:hAnsi="Calibri" w:cs="Calibri"/>
          <w:color w:val="000000" w:themeColor="text1"/>
          <w:sz w:val="22"/>
          <w:szCs w:val="22"/>
          <w:lang w:val="en-GB"/>
        </w:rPr>
        <w:t xml:space="preserve">, S.M., et al., 2021. Projecting the transmission dynamics of SARS-CoV-2 through the </w:t>
      </w:r>
      <w:proofErr w:type="spellStart"/>
      <w:r w:rsidRPr="426EE3D5">
        <w:rPr>
          <w:rFonts w:ascii="Calibri" w:eastAsia="Calibri" w:hAnsi="Calibri" w:cs="Calibri"/>
          <w:color w:val="000000" w:themeColor="text1"/>
          <w:sz w:val="22"/>
          <w:szCs w:val="22"/>
          <w:lang w:val="en-GB"/>
        </w:rPr>
        <w:t>postpandemic</w:t>
      </w:r>
      <w:proofErr w:type="spellEnd"/>
      <w:r w:rsidRPr="426EE3D5">
        <w:rPr>
          <w:rFonts w:ascii="Calibri" w:eastAsia="Calibri" w:hAnsi="Calibri" w:cs="Calibri"/>
          <w:color w:val="000000" w:themeColor="text1"/>
          <w:sz w:val="22"/>
          <w:szCs w:val="22"/>
          <w:lang w:val="en-GB"/>
        </w:rPr>
        <w:t xml:space="preserve"> period. The Lancet. Available at: </w:t>
      </w:r>
      <w:hyperlink r:id="rId5">
        <w:r w:rsidRPr="426EE3D5">
          <w:rPr>
            <w:rStyle w:val="Hyperlink"/>
            <w:rFonts w:ascii="Calibri" w:eastAsia="Calibri" w:hAnsi="Calibri" w:cs="Calibri"/>
            <w:sz w:val="22"/>
            <w:szCs w:val="22"/>
            <w:lang w:val="en-GB"/>
          </w:rPr>
          <w:t>https://doi.org/10.1016/S0140-6736(20)30792-9</w:t>
        </w:r>
      </w:hyperlink>
      <w:r w:rsidRPr="426EE3D5">
        <w:rPr>
          <w:rFonts w:ascii="Calibri" w:eastAsia="Calibri" w:hAnsi="Calibri" w:cs="Calibri"/>
          <w:color w:val="000000" w:themeColor="text1"/>
          <w:sz w:val="22"/>
          <w:szCs w:val="22"/>
          <w:lang w:val="en-GB"/>
        </w:rPr>
        <w:t xml:space="preserve"> [Accessed 27 August 2024].</w:t>
      </w:r>
    </w:p>
    <w:p w14:paraId="50FD2EC9" w14:textId="2D258CD1"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[7] Hall, V.J., et al., 2021. Effectiveness of BNT162b2 mRNA vaccine against infection and COVID-19 vaccine coverage in healthcare workers in England, multicentre prospective cohort study (the SIREN study). ScienceDirect. Available at: </w:t>
      </w:r>
      <w:hyperlink r:id="rId6">
        <w:r w:rsidRPr="426EE3D5">
          <w:rPr>
            <w:rStyle w:val="Hyperlink"/>
            <w:rFonts w:ascii="Calibri" w:eastAsia="Calibri" w:hAnsi="Calibri" w:cs="Calibri"/>
            <w:sz w:val="22"/>
            <w:szCs w:val="22"/>
            <w:lang w:val="en-GB"/>
          </w:rPr>
          <w:t>https://doi.org/10.1016/j.jinf.2021.02.010</w:t>
        </w:r>
      </w:hyperlink>
      <w:r w:rsidRPr="426EE3D5">
        <w:rPr>
          <w:rFonts w:ascii="Calibri" w:eastAsia="Calibri" w:hAnsi="Calibri" w:cs="Calibri"/>
          <w:color w:val="000000" w:themeColor="text1"/>
          <w:sz w:val="22"/>
          <w:szCs w:val="22"/>
          <w:lang w:val="en-GB"/>
        </w:rPr>
        <w:t xml:space="preserve"> [Accessed 27 August 2024].</w:t>
      </w:r>
    </w:p>
    <w:p w14:paraId="571817B9" w14:textId="6D959D80"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t xml:space="preserve">[8] </w:t>
      </w:r>
      <w:proofErr w:type="spellStart"/>
      <w:r w:rsidRPr="426EE3D5">
        <w:rPr>
          <w:rFonts w:ascii="Calibri" w:eastAsia="Calibri" w:hAnsi="Calibri" w:cs="Calibri"/>
          <w:color w:val="000000" w:themeColor="text1"/>
          <w:sz w:val="22"/>
          <w:szCs w:val="22"/>
          <w:lang w:val="en-GB"/>
        </w:rPr>
        <w:t>Chitnis</w:t>
      </w:r>
      <w:proofErr w:type="spellEnd"/>
      <w:r w:rsidRPr="426EE3D5">
        <w:rPr>
          <w:rFonts w:ascii="Calibri" w:eastAsia="Calibri" w:hAnsi="Calibri" w:cs="Calibri"/>
          <w:color w:val="000000" w:themeColor="text1"/>
          <w:sz w:val="22"/>
          <w:szCs w:val="22"/>
          <w:lang w:val="en-GB"/>
        </w:rPr>
        <w:t xml:space="preserve">, N., et al., 2020. SEIR model for COVID-19 dynamics incorporating the environment and social distancing. BMC Research Notes. Available at: </w:t>
      </w:r>
      <w:hyperlink r:id="rId7">
        <w:r w:rsidRPr="426EE3D5">
          <w:rPr>
            <w:rStyle w:val="Hyperlink"/>
            <w:rFonts w:ascii="Calibri" w:eastAsia="Calibri" w:hAnsi="Calibri" w:cs="Calibri"/>
            <w:sz w:val="22"/>
            <w:szCs w:val="22"/>
            <w:lang w:val="en-GB"/>
          </w:rPr>
          <w:t>https://doi.org/10.1186/s13104-020-05192-1</w:t>
        </w:r>
      </w:hyperlink>
      <w:r w:rsidRPr="426EE3D5">
        <w:rPr>
          <w:rFonts w:ascii="Calibri" w:eastAsia="Calibri" w:hAnsi="Calibri" w:cs="Calibri"/>
          <w:color w:val="000000" w:themeColor="text1"/>
          <w:sz w:val="22"/>
          <w:szCs w:val="22"/>
          <w:lang w:val="en-GB"/>
        </w:rPr>
        <w:t xml:space="preserve"> [Accessed 27 August 2024].</w:t>
      </w:r>
    </w:p>
    <w:p w14:paraId="0213598F" w14:textId="04C2FB41"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[9] UK Health Security Agency. Winter coronavirus (COVID-19) infection study: estimates of epidemiological characteristics, </w:t>
      </w:r>
      <w:proofErr w:type="gramStart"/>
      <w:r w:rsidRPr="426EE3D5">
        <w:rPr>
          <w:rFonts w:ascii="Calibri" w:eastAsia="Calibri" w:hAnsi="Calibri" w:cs="Calibri"/>
          <w:color w:val="000000" w:themeColor="text1"/>
          <w:sz w:val="22"/>
          <w:szCs w:val="22"/>
        </w:rPr>
        <w:t>England</w:t>
      </w:r>
      <w:proofErr w:type="gramEnd"/>
      <w:r w:rsidRPr="426EE3D5">
        <w:rPr>
          <w:rFonts w:ascii="Calibri" w:eastAsia="Calibri" w:hAnsi="Calibri" w:cs="Calibri"/>
          <w:color w:val="000000" w:themeColor="text1"/>
          <w:sz w:val="22"/>
          <w:szCs w:val="22"/>
        </w:rPr>
        <w:t xml:space="preserve"> and Scotland, 2023 to 2024: 21 December 2023. Available from: </w:t>
      </w:r>
      <w:hyperlink r:id="rId8">
        <w:r w:rsidRPr="426EE3D5">
          <w:rPr>
            <w:rStyle w:val="Hyperlink"/>
            <w:rFonts w:ascii="Calibri" w:eastAsia="Calibri" w:hAnsi="Calibri" w:cs="Calibri"/>
            <w:sz w:val="22"/>
            <w:szCs w:val="22"/>
          </w:rPr>
          <w:t>https://www.gov.uk/government/statistics/winter-coronavirus-covid-19-infection-study-estimates-of-epidemiological-characteristics-england-and-scotland-2023-to-2024/winter-coronavirus-covid-19-infection-study-estimates-of-epidemiological-characteristics-21-december-2023</w:t>
        </w:r>
      </w:hyperlink>
    </w:p>
    <w:p w14:paraId="5FFF4473" w14:textId="21EF5142"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[10] UK Health Security Agency. Winter coronavirus (COVID-19) infection study: estimates of epidemiological characteristics, </w:t>
      </w:r>
      <w:proofErr w:type="gramStart"/>
      <w:r w:rsidRPr="426EE3D5">
        <w:rPr>
          <w:rFonts w:ascii="Calibri" w:eastAsia="Calibri" w:hAnsi="Calibri" w:cs="Calibri"/>
          <w:color w:val="000000" w:themeColor="text1"/>
          <w:sz w:val="22"/>
          <w:szCs w:val="22"/>
        </w:rPr>
        <w:t>England</w:t>
      </w:r>
      <w:proofErr w:type="gramEnd"/>
      <w:r w:rsidRPr="426EE3D5">
        <w:rPr>
          <w:rFonts w:ascii="Calibri" w:eastAsia="Calibri" w:hAnsi="Calibri" w:cs="Calibri"/>
          <w:color w:val="000000" w:themeColor="text1"/>
          <w:sz w:val="22"/>
          <w:szCs w:val="22"/>
        </w:rPr>
        <w:t xml:space="preserve"> and Scotland, 2023 to 2024: 11 January 2024. Available from: </w:t>
      </w:r>
      <w:hyperlink r:id="rId9">
        <w:r w:rsidRPr="426EE3D5">
          <w:rPr>
            <w:rStyle w:val="Hyperlink"/>
            <w:rFonts w:ascii="Calibri" w:eastAsia="Calibri" w:hAnsi="Calibri" w:cs="Calibri"/>
            <w:sz w:val="22"/>
            <w:szCs w:val="22"/>
          </w:rPr>
          <w:t>https://www.gov.uk/government/statistics/winter-coronavirus-covid-19-infection-study-estimates-of-epidemiological-characteristics-england-and-scotland-2023-to-2024/winter-coronavirus-covid-19-infection-study-estimates-of-epidemiological-characteristics-11-january-2024</w:t>
        </w:r>
      </w:hyperlink>
    </w:p>
    <w:p w14:paraId="688CA7B5" w14:textId="78AEAC67"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rPr>
        <w:t xml:space="preserve">[11] UK Health Security Agency. Winter coronavirus (COVID-19) infection study: estimates of epidemiological characteristics, </w:t>
      </w:r>
      <w:proofErr w:type="gramStart"/>
      <w:r w:rsidRPr="426EE3D5">
        <w:rPr>
          <w:rFonts w:ascii="Calibri" w:eastAsia="Calibri" w:hAnsi="Calibri" w:cs="Calibri"/>
          <w:color w:val="000000" w:themeColor="text1"/>
          <w:sz w:val="22"/>
          <w:szCs w:val="22"/>
        </w:rPr>
        <w:t>England</w:t>
      </w:r>
      <w:proofErr w:type="gramEnd"/>
      <w:r w:rsidRPr="426EE3D5">
        <w:rPr>
          <w:rFonts w:ascii="Calibri" w:eastAsia="Calibri" w:hAnsi="Calibri" w:cs="Calibri"/>
          <w:color w:val="000000" w:themeColor="text1"/>
          <w:sz w:val="22"/>
          <w:szCs w:val="22"/>
        </w:rPr>
        <w:t xml:space="preserve"> and Scotland, 2023 to 2024: 15 February 2024. Available from: </w:t>
      </w:r>
      <w:hyperlink r:id="rId10">
        <w:r w:rsidRPr="426EE3D5">
          <w:rPr>
            <w:rStyle w:val="Hyperlink"/>
            <w:rFonts w:ascii="Calibri" w:eastAsia="Calibri" w:hAnsi="Calibri" w:cs="Calibri"/>
            <w:sz w:val="22"/>
            <w:szCs w:val="22"/>
          </w:rPr>
          <w:t>https://www.gov.uk/government/statistics/winter-coronavirus-covid-19-infection-study-estimates-of-epidemiological-characteristics-england-and-scotland-2023-to-2024/winter-coronavirus-covid-19-infection-study-estimates-of-epidemiological-characteristics-15-february-2024</w:t>
        </w:r>
      </w:hyperlink>
    </w:p>
    <w:p w14:paraId="7E065179" w14:textId="6CE07A6D" w:rsidR="26FB5932" w:rsidRDefault="26FB5932" w:rsidP="426EE3D5">
      <w:pPr>
        <w:rPr>
          <w:rFonts w:ascii="Calibri" w:eastAsia="Calibri" w:hAnsi="Calibri" w:cs="Calibri"/>
          <w:color w:val="000000" w:themeColor="text1"/>
          <w:sz w:val="22"/>
          <w:szCs w:val="22"/>
        </w:rPr>
      </w:pPr>
      <w:r w:rsidRPr="426EE3D5">
        <w:rPr>
          <w:rFonts w:ascii="Calibri" w:eastAsia="Calibri" w:hAnsi="Calibri" w:cs="Calibri"/>
          <w:color w:val="000000" w:themeColor="text1"/>
          <w:sz w:val="22"/>
          <w:szCs w:val="22"/>
          <w:lang w:val="en-GB"/>
        </w:rPr>
        <w:lastRenderedPageBreak/>
        <w:t xml:space="preserve">[12] Andrews N, Tessier E, Stowe J, Gower C, </w:t>
      </w:r>
      <w:proofErr w:type="spellStart"/>
      <w:r w:rsidRPr="426EE3D5">
        <w:rPr>
          <w:rFonts w:ascii="Calibri" w:eastAsia="Calibri" w:hAnsi="Calibri" w:cs="Calibri"/>
          <w:color w:val="000000" w:themeColor="text1"/>
          <w:sz w:val="22"/>
          <w:szCs w:val="22"/>
          <w:lang w:val="en-GB"/>
        </w:rPr>
        <w:t>Kirsebom</w:t>
      </w:r>
      <w:proofErr w:type="spellEnd"/>
      <w:r w:rsidRPr="426EE3D5">
        <w:rPr>
          <w:rFonts w:ascii="Calibri" w:eastAsia="Calibri" w:hAnsi="Calibri" w:cs="Calibri"/>
          <w:color w:val="000000" w:themeColor="text1"/>
          <w:sz w:val="22"/>
          <w:szCs w:val="22"/>
          <w:lang w:val="en-GB"/>
        </w:rPr>
        <w:t xml:space="preserve"> F, Simmons R, et al. Vaccine effectiveness and duration of protection of Comirnaty, </w:t>
      </w:r>
      <w:proofErr w:type="spellStart"/>
      <w:r w:rsidRPr="426EE3D5">
        <w:rPr>
          <w:rFonts w:ascii="Calibri" w:eastAsia="Calibri" w:hAnsi="Calibri" w:cs="Calibri"/>
          <w:color w:val="000000" w:themeColor="text1"/>
          <w:sz w:val="22"/>
          <w:szCs w:val="22"/>
          <w:lang w:val="en-GB"/>
        </w:rPr>
        <w:t>Vaxzevria</w:t>
      </w:r>
      <w:proofErr w:type="spellEnd"/>
      <w:r w:rsidRPr="426EE3D5">
        <w:rPr>
          <w:rFonts w:ascii="Calibri" w:eastAsia="Calibri" w:hAnsi="Calibri" w:cs="Calibri"/>
          <w:color w:val="000000" w:themeColor="text1"/>
          <w:sz w:val="22"/>
          <w:szCs w:val="22"/>
          <w:lang w:val="en-GB"/>
        </w:rPr>
        <w:t xml:space="preserve"> and Spikevax against mild and severe COVID-19 in the UK. </w:t>
      </w:r>
      <w:proofErr w:type="spellStart"/>
      <w:r w:rsidRPr="426EE3D5">
        <w:rPr>
          <w:rFonts w:ascii="Calibri" w:eastAsia="Calibri" w:hAnsi="Calibri" w:cs="Calibri"/>
          <w:color w:val="000000" w:themeColor="text1"/>
          <w:sz w:val="22"/>
          <w:szCs w:val="22"/>
          <w:lang w:val="en-GB"/>
        </w:rPr>
        <w:t>medRxiv</w:t>
      </w:r>
      <w:proofErr w:type="spellEnd"/>
      <w:r w:rsidRPr="426EE3D5">
        <w:rPr>
          <w:rFonts w:ascii="Calibri" w:eastAsia="Calibri" w:hAnsi="Calibri" w:cs="Calibri"/>
          <w:color w:val="000000" w:themeColor="text1"/>
          <w:sz w:val="22"/>
          <w:szCs w:val="22"/>
          <w:lang w:val="en-GB"/>
        </w:rPr>
        <w:t>. 2021. doi:10.1101/2021.09.15.21263583.</w:t>
      </w:r>
    </w:p>
    <w:p w14:paraId="7E71C36C" w14:textId="43CC8456" w:rsidR="26FB5932" w:rsidRDefault="26FB5932" w:rsidP="426EE3D5">
      <w:pPr>
        <w:rPr>
          <w:rStyle w:val="Hyperlink"/>
          <w:rFonts w:ascii="Calibri" w:eastAsia="Calibri" w:hAnsi="Calibri" w:cs="Calibri"/>
          <w:sz w:val="22"/>
          <w:szCs w:val="22"/>
          <w:lang w:val="en-GB"/>
        </w:rPr>
      </w:pPr>
      <w:r w:rsidRPr="426EE3D5">
        <w:rPr>
          <w:rFonts w:ascii="Calibri" w:eastAsia="Calibri" w:hAnsi="Calibri" w:cs="Calibri"/>
          <w:color w:val="000000" w:themeColor="text1"/>
          <w:sz w:val="22"/>
          <w:szCs w:val="22"/>
          <w:lang w:val="en-GB"/>
        </w:rPr>
        <w:t xml:space="preserve">[13] UK Health Security Agency. Managing healthcare staff with symptoms of a respiratory infection or a positive COVID-19 test result [Internet]. GOV.UK; 2024 [cited 2024 Sep 26]. Available from: </w:t>
      </w:r>
      <w:hyperlink r:id="rId11">
        <w:r w:rsidRPr="426EE3D5">
          <w:rPr>
            <w:rStyle w:val="Hyperlink"/>
            <w:rFonts w:ascii="Calibri" w:eastAsia="Calibri" w:hAnsi="Calibri" w:cs="Calibri"/>
            <w:sz w:val="22"/>
            <w:szCs w:val="22"/>
            <w:lang w:val="en-GB"/>
          </w:rPr>
          <w:t>https://www.gov.uk/government/publications/covid-19-managing-healthcare-staff-with-symptoms-of-a-respiratory-infection/managing-healthcare-staff-with-symptoms-of-a-respiratory-infection-or-a-positive-covid-19-test-result</w:t>
        </w:r>
      </w:hyperlink>
    </w:p>
    <w:p w14:paraId="1C198097" w14:textId="56911F64" w:rsidR="426EE3D5" w:rsidRPr="00F3291B" w:rsidRDefault="002442FA">
      <w:pPr>
        <w:rPr>
          <w:rFonts w:ascii="Calibri" w:eastAsia="Calibri" w:hAnsi="Calibri" w:cs="Calibri"/>
          <w:color w:val="000000" w:themeColor="text1"/>
          <w:sz w:val="22"/>
          <w:szCs w:val="22"/>
        </w:rPr>
      </w:pPr>
      <w:r w:rsidRPr="002442FA">
        <w:rPr>
          <w:rStyle w:val="Hyperlink"/>
          <w:rFonts w:ascii="Calibri" w:eastAsia="Calibri" w:hAnsi="Calibri" w:cs="Calibri"/>
          <w:color w:val="auto"/>
          <w:sz w:val="22"/>
          <w:szCs w:val="22"/>
          <w:u w:val="none"/>
          <w:lang w:val="en-GB"/>
        </w:rPr>
        <w:t xml:space="preserve">[14] </w:t>
      </w:r>
      <w:r w:rsidRPr="002442FA">
        <w:rPr>
          <w:rFonts w:ascii="Calibri" w:eastAsia="Calibri" w:hAnsi="Calibri" w:cs="Calibri"/>
          <w:sz w:val="22"/>
          <w:szCs w:val="22"/>
          <w:lang w:val="en-GB"/>
        </w:rPr>
        <w:t xml:space="preserve">Shang, W., Kang, L., Cao, G., Wang, Y., Gao, P., Liu, J. and Liu, M., 2022. Percentage of asymptomatic infections </w:t>
      </w:r>
      <w:r w:rsidRPr="426EE3D5">
        <w:rPr>
          <w:rFonts w:ascii="Calibri" w:eastAsia="Calibri" w:hAnsi="Calibri" w:cs="Calibri"/>
          <w:color w:val="000000" w:themeColor="text1"/>
          <w:sz w:val="22"/>
          <w:szCs w:val="22"/>
          <w:lang w:val="en-GB"/>
        </w:rPr>
        <w:t>among SARS-CoV-2 omicron variant-positive individuals: a systematic review and meta-analysis. Vaccines, 10(7), p.1049.</w:t>
      </w:r>
    </w:p>
    <w:sectPr w:rsidR="426EE3D5" w:rsidRPr="00F329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C93F8"/>
    <w:multiLevelType w:val="hybridMultilevel"/>
    <w:tmpl w:val="52702CB6"/>
    <w:lvl w:ilvl="0" w:tplc="C7325DB6">
      <w:numFmt w:val="bullet"/>
      <w:lvlText w:val="-"/>
      <w:lvlJc w:val="left"/>
      <w:pPr>
        <w:ind w:left="720" w:hanging="360"/>
      </w:pPr>
      <w:rPr>
        <w:rFonts w:ascii="Calibri" w:hAnsi="Calibri" w:hint="default"/>
      </w:rPr>
    </w:lvl>
    <w:lvl w:ilvl="1" w:tplc="6406BC08">
      <w:start w:val="1"/>
      <w:numFmt w:val="bullet"/>
      <w:lvlText w:val="o"/>
      <w:lvlJc w:val="left"/>
      <w:pPr>
        <w:ind w:left="1440" w:hanging="360"/>
      </w:pPr>
      <w:rPr>
        <w:rFonts w:ascii="Courier New" w:hAnsi="Courier New" w:hint="default"/>
      </w:rPr>
    </w:lvl>
    <w:lvl w:ilvl="2" w:tplc="0644DA8E">
      <w:start w:val="1"/>
      <w:numFmt w:val="bullet"/>
      <w:lvlText w:val=""/>
      <w:lvlJc w:val="left"/>
      <w:pPr>
        <w:ind w:left="2160" w:hanging="360"/>
      </w:pPr>
      <w:rPr>
        <w:rFonts w:ascii="Wingdings" w:hAnsi="Wingdings" w:hint="default"/>
      </w:rPr>
    </w:lvl>
    <w:lvl w:ilvl="3" w:tplc="20302F80">
      <w:start w:val="1"/>
      <w:numFmt w:val="bullet"/>
      <w:lvlText w:val=""/>
      <w:lvlJc w:val="left"/>
      <w:pPr>
        <w:ind w:left="2880" w:hanging="360"/>
      </w:pPr>
      <w:rPr>
        <w:rFonts w:ascii="Symbol" w:hAnsi="Symbol" w:hint="default"/>
      </w:rPr>
    </w:lvl>
    <w:lvl w:ilvl="4" w:tplc="AEEC356A">
      <w:start w:val="1"/>
      <w:numFmt w:val="bullet"/>
      <w:lvlText w:val="o"/>
      <w:lvlJc w:val="left"/>
      <w:pPr>
        <w:ind w:left="3600" w:hanging="360"/>
      </w:pPr>
      <w:rPr>
        <w:rFonts w:ascii="Courier New" w:hAnsi="Courier New" w:hint="default"/>
      </w:rPr>
    </w:lvl>
    <w:lvl w:ilvl="5" w:tplc="836AF9C8">
      <w:start w:val="1"/>
      <w:numFmt w:val="bullet"/>
      <w:lvlText w:val=""/>
      <w:lvlJc w:val="left"/>
      <w:pPr>
        <w:ind w:left="4320" w:hanging="360"/>
      </w:pPr>
      <w:rPr>
        <w:rFonts w:ascii="Wingdings" w:hAnsi="Wingdings" w:hint="default"/>
      </w:rPr>
    </w:lvl>
    <w:lvl w:ilvl="6" w:tplc="F1E0B4D4">
      <w:start w:val="1"/>
      <w:numFmt w:val="bullet"/>
      <w:lvlText w:val=""/>
      <w:lvlJc w:val="left"/>
      <w:pPr>
        <w:ind w:left="5040" w:hanging="360"/>
      </w:pPr>
      <w:rPr>
        <w:rFonts w:ascii="Symbol" w:hAnsi="Symbol" w:hint="default"/>
      </w:rPr>
    </w:lvl>
    <w:lvl w:ilvl="7" w:tplc="9FD8A0F8">
      <w:start w:val="1"/>
      <w:numFmt w:val="bullet"/>
      <w:lvlText w:val="o"/>
      <w:lvlJc w:val="left"/>
      <w:pPr>
        <w:ind w:left="5760" w:hanging="360"/>
      </w:pPr>
      <w:rPr>
        <w:rFonts w:ascii="Courier New" w:hAnsi="Courier New" w:hint="default"/>
      </w:rPr>
    </w:lvl>
    <w:lvl w:ilvl="8" w:tplc="D3D8B89E">
      <w:start w:val="1"/>
      <w:numFmt w:val="bullet"/>
      <w:lvlText w:val=""/>
      <w:lvlJc w:val="left"/>
      <w:pPr>
        <w:ind w:left="6480" w:hanging="360"/>
      </w:pPr>
      <w:rPr>
        <w:rFonts w:ascii="Wingdings" w:hAnsi="Wingdings" w:hint="default"/>
      </w:rPr>
    </w:lvl>
  </w:abstractNum>
  <w:abstractNum w:abstractNumId="1" w15:restartNumberingAfterBreak="0">
    <w:nsid w:val="649CBF4E"/>
    <w:multiLevelType w:val="hybridMultilevel"/>
    <w:tmpl w:val="70DE5532"/>
    <w:lvl w:ilvl="0" w:tplc="D6C86DC0">
      <w:numFmt w:val="bullet"/>
      <w:lvlText w:val="-"/>
      <w:lvlJc w:val="left"/>
      <w:pPr>
        <w:ind w:left="720" w:hanging="360"/>
      </w:pPr>
      <w:rPr>
        <w:rFonts w:ascii="Calibri" w:hAnsi="Calibri" w:hint="default"/>
      </w:rPr>
    </w:lvl>
    <w:lvl w:ilvl="1" w:tplc="BC4EA112">
      <w:start w:val="1"/>
      <w:numFmt w:val="bullet"/>
      <w:lvlText w:val="o"/>
      <w:lvlJc w:val="left"/>
      <w:pPr>
        <w:ind w:left="1440" w:hanging="360"/>
      </w:pPr>
      <w:rPr>
        <w:rFonts w:ascii="Courier New" w:hAnsi="Courier New" w:hint="default"/>
      </w:rPr>
    </w:lvl>
    <w:lvl w:ilvl="2" w:tplc="CD060F72">
      <w:start w:val="1"/>
      <w:numFmt w:val="bullet"/>
      <w:lvlText w:val=""/>
      <w:lvlJc w:val="left"/>
      <w:pPr>
        <w:ind w:left="2160" w:hanging="360"/>
      </w:pPr>
      <w:rPr>
        <w:rFonts w:ascii="Wingdings" w:hAnsi="Wingdings" w:hint="default"/>
      </w:rPr>
    </w:lvl>
    <w:lvl w:ilvl="3" w:tplc="0CAA2606">
      <w:start w:val="1"/>
      <w:numFmt w:val="bullet"/>
      <w:lvlText w:val=""/>
      <w:lvlJc w:val="left"/>
      <w:pPr>
        <w:ind w:left="2880" w:hanging="360"/>
      </w:pPr>
      <w:rPr>
        <w:rFonts w:ascii="Symbol" w:hAnsi="Symbol" w:hint="default"/>
      </w:rPr>
    </w:lvl>
    <w:lvl w:ilvl="4" w:tplc="2ECC9828">
      <w:start w:val="1"/>
      <w:numFmt w:val="bullet"/>
      <w:lvlText w:val="o"/>
      <w:lvlJc w:val="left"/>
      <w:pPr>
        <w:ind w:left="3600" w:hanging="360"/>
      </w:pPr>
      <w:rPr>
        <w:rFonts w:ascii="Courier New" w:hAnsi="Courier New" w:hint="default"/>
      </w:rPr>
    </w:lvl>
    <w:lvl w:ilvl="5" w:tplc="AA040A80">
      <w:start w:val="1"/>
      <w:numFmt w:val="bullet"/>
      <w:lvlText w:val=""/>
      <w:lvlJc w:val="left"/>
      <w:pPr>
        <w:ind w:left="4320" w:hanging="360"/>
      </w:pPr>
      <w:rPr>
        <w:rFonts w:ascii="Wingdings" w:hAnsi="Wingdings" w:hint="default"/>
      </w:rPr>
    </w:lvl>
    <w:lvl w:ilvl="6" w:tplc="198C53A0">
      <w:start w:val="1"/>
      <w:numFmt w:val="bullet"/>
      <w:lvlText w:val=""/>
      <w:lvlJc w:val="left"/>
      <w:pPr>
        <w:ind w:left="5040" w:hanging="360"/>
      </w:pPr>
      <w:rPr>
        <w:rFonts w:ascii="Symbol" w:hAnsi="Symbol" w:hint="default"/>
      </w:rPr>
    </w:lvl>
    <w:lvl w:ilvl="7" w:tplc="A53A2262">
      <w:start w:val="1"/>
      <w:numFmt w:val="bullet"/>
      <w:lvlText w:val="o"/>
      <w:lvlJc w:val="left"/>
      <w:pPr>
        <w:ind w:left="5760" w:hanging="360"/>
      </w:pPr>
      <w:rPr>
        <w:rFonts w:ascii="Courier New" w:hAnsi="Courier New" w:hint="default"/>
      </w:rPr>
    </w:lvl>
    <w:lvl w:ilvl="8" w:tplc="6E3440D0">
      <w:start w:val="1"/>
      <w:numFmt w:val="bullet"/>
      <w:lvlText w:val=""/>
      <w:lvlJc w:val="left"/>
      <w:pPr>
        <w:ind w:left="6480" w:hanging="360"/>
      </w:pPr>
      <w:rPr>
        <w:rFonts w:ascii="Wingdings" w:hAnsi="Wingdings" w:hint="default"/>
      </w:rPr>
    </w:lvl>
  </w:abstractNum>
  <w:num w:numId="1" w16cid:durableId="2024696634">
    <w:abstractNumId w:val="1"/>
  </w:num>
  <w:num w:numId="2" w16cid:durableId="1369178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CFF2930"/>
    <w:rsid w:val="00017FE6"/>
    <w:rsid w:val="00025EFE"/>
    <w:rsid w:val="00026BB3"/>
    <w:rsid w:val="000403A1"/>
    <w:rsid w:val="000445D7"/>
    <w:rsid w:val="0005415C"/>
    <w:rsid w:val="00055181"/>
    <w:rsid w:val="00057D84"/>
    <w:rsid w:val="000778EA"/>
    <w:rsid w:val="00096172"/>
    <w:rsid w:val="000E14A2"/>
    <w:rsid w:val="001040BD"/>
    <w:rsid w:val="001114C3"/>
    <w:rsid w:val="00124AD1"/>
    <w:rsid w:val="00131EDB"/>
    <w:rsid w:val="00142BB5"/>
    <w:rsid w:val="00145E79"/>
    <w:rsid w:val="00172E94"/>
    <w:rsid w:val="00191C1F"/>
    <w:rsid w:val="001A318A"/>
    <w:rsid w:val="001B556A"/>
    <w:rsid w:val="001D01B1"/>
    <w:rsid w:val="00212B54"/>
    <w:rsid w:val="00236C7F"/>
    <w:rsid w:val="002442FA"/>
    <w:rsid w:val="00246850"/>
    <w:rsid w:val="0025000F"/>
    <w:rsid w:val="0026516A"/>
    <w:rsid w:val="00270AA2"/>
    <w:rsid w:val="002B2736"/>
    <w:rsid w:val="002C7A07"/>
    <w:rsid w:val="002D7054"/>
    <w:rsid w:val="00306ECF"/>
    <w:rsid w:val="00317E86"/>
    <w:rsid w:val="003326CB"/>
    <w:rsid w:val="00343470"/>
    <w:rsid w:val="0035321E"/>
    <w:rsid w:val="0035568D"/>
    <w:rsid w:val="00366742"/>
    <w:rsid w:val="003956F2"/>
    <w:rsid w:val="00396629"/>
    <w:rsid w:val="003B34CC"/>
    <w:rsid w:val="003C41B7"/>
    <w:rsid w:val="003C6047"/>
    <w:rsid w:val="004262F9"/>
    <w:rsid w:val="0044025E"/>
    <w:rsid w:val="00470D56"/>
    <w:rsid w:val="00476BEE"/>
    <w:rsid w:val="004A316B"/>
    <w:rsid w:val="004B486C"/>
    <w:rsid w:val="004B5D6F"/>
    <w:rsid w:val="004D7753"/>
    <w:rsid w:val="004D7A92"/>
    <w:rsid w:val="004F720D"/>
    <w:rsid w:val="0051304C"/>
    <w:rsid w:val="00516435"/>
    <w:rsid w:val="00543C2F"/>
    <w:rsid w:val="005825C2"/>
    <w:rsid w:val="005A03C3"/>
    <w:rsid w:val="005C7F6F"/>
    <w:rsid w:val="005E15CE"/>
    <w:rsid w:val="005E2FFE"/>
    <w:rsid w:val="0062251C"/>
    <w:rsid w:val="00652BD5"/>
    <w:rsid w:val="0065565A"/>
    <w:rsid w:val="0066348F"/>
    <w:rsid w:val="00665884"/>
    <w:rsid w:val="00666DB6"/>
    <w:rsid w:val="006730F3"/>
    <w:rsid w:val="0068350E"/>
    <w:rsid w:val="0068755F"/>
    <w:rsid w:val="00693EC0"/>
    <w:rsid w:val="00696ED8"/>
    <w:rsid w:val="006F2B7E"/>
    <w:rsid w:val="006F724B"/>
    <w:rsid w:val="00700E9B"/>
    <w:rsid w:val="00714ACE"/>
    <w:rsid w:val="00732557"/>
    <w:rsid w:val="00747BA6"/>
    <w:rsid w:val="0076458B"/>
    <w:rsid w:val="00765D6C"/>
    <w:rsid w:val="00775ED1"/>
    <w:rsid w:val="00790AE1"/>
    <w:rsid w:val="00792B26"/>
    <w:rsid w:val="00796E46"/>
    <w:rsid w:val="007B05C9"/>
    <w:rsid w:val="007B4CE1"/>
    <w:rsid w:val="007D257C"/>
    <w:rsid w:val="007D5F51"/>
    <w:rsid w:val="008108E9"/>
    <w:rsid w:val="0081557E"/>
    <w:rsid w:val="00832358"/>
    <w:rsid w:val="00853F54"/>
    <w:rsid w:val="0088614D"/>
    <w:rsid w:val="008A43BC"/>
    <w:rsid w:val="008A7CC5"/>
    <w:rsid w:val="008B38FC"/>
    <w:rsid w:val="008C06B5"/>
    <w:rsid w:val="008D20B0"/>
    <w:rsid w:val="008D4D4C"/>
    <w:rsid w:val="008F0522"/>
    <w:rsid w:val="00917D68"/>
    <w:rsid w:val="009552C4"/>
    <w:rsid w:val="009801C2"/>
    <w:rsid w:val="00983196"/>
    <w:rsid w:val="009A5DAB"/>
    <w:rsid w:val="009B5D9A"/>
    <w:rsid w:val="009C28BD"/>
    <w:rsid w:val="009C67DB"/>
    <w:rsid w:val="009E043F"/>
    <w:rsid w:val="009E22A3"/>
    <w:rsid w:val="009E2DBB"/>
    <w:rsid w:val="00A14B2D"/>
    <w:rsid w:val="00A93054"/>
    <w:rsid w:val="00AA20BF"/>
    <w:rsid w:val="00AB74B6"/>
    <w:rsid w:val="00AE15A6"/>
    <w:rsid w:val="00AE2271"/>
    <w:rsid w:val="00B14876"/>
    <w:rsid w:val="00B406B5"/>
    <w:rsid w:val="00B42AFB"/>
    <w:rsid w:val="00B44917"/>
    <w:rsid w:val="00B65219"/>
    <w:rsid w:val="00BA5C41"/>
    <w:rsid w:val="00BB5DFA"/>
    <w:rsid w:val="00BB7338"/>
    <w:rsid w:val="00BE0A8C"/>
    <w:rsid w:val="00BE6A8F"/>
    <w:rsid w:val="00BE7D36"/>
    <w:rsid w:val="00BF077C"/>
    <w:rsid w:val="00C05910"/>
    <w:rsid w:val="00C17391"/>
    <w:rsid w:val="00C765F6"/>
    <w:rsid w:val="00C81813"/>
    <w:rsid w:val="00C9119F"/>
    <w:rsid w:val="00C978B4"/>
    <w:rsid w:val="00CB6E9B"/>
    <w:rsid w:val="00CB75E6"/>
    <w:rsid w:val="00CC4296"/>
    <w:rsid w:val="00CD51E8"/>
    <w:rsid w:val="00D308F6"/>
    <w:rsid w:val="00D377DB"/>
    <w:rsid w:val="00D54FBE"/>
    <w:rsid w:val="00D56DA8"/>
    <w:rsid w:val="00D613F4"/>
    <w:rsid w:val="00D70F57"/>
    <w:rsid w:val="00D87F4C"/>
    <w:rsid w:val="00D9625D"/>
    <w:rsid w:val="00D97CD8"/>
    <w:rsid w:val="00DB7180"/>
    <w:rsid w:val="00DD6481"/>
    <w:rsid w:val="00DE7757"/>
    <w:rsid w:val="00E149EF"/>
    <w:rsid w:val="00E22864"/>
    <w:rsid w:val="00E64A4B"/>
    <w:rsid w:val="00E862CD"/>
    <w:rsid w:val="00EC2981"/>
    <w:rsid w:val="00EC5BA5"/>
    <w:rsid w:val="00ED10D2"/>
    <w:rsid w:val="00ED41E1"/>
    <w:rsid w:val="00EF746D"/>
    <w:rsid w:val="00F00358"/>
    <w:rsid w:val="00F061DB"/>
    <w:rsid w:val="00F13E86"/>
    <w:rsid w:val="00F22707"/>
    <w:rsid w:val="00F3291B"/>
    <w:rsid w:val="00F53F67"/>
    <w:rsid w:val="00F57E16"/>
    <w:rsid w:val="00F66B9B"/>
    <w:rsid w:val="00F903B9"/>
    <w:rsid w:val="00F96C97"/>
    <w:rsid w:val="00F976C7"/>
    <w:rsid w:val="00FB0134"/>
    <w:rsid w:val="00FB2CB1"/>
    <w:rsid w:val="00FB7266"/>
    <w:rsid w:val="00FC0BB8"/>
    <w:rsid w:val="00FC19B6"/>
    <w:rsid w:val="00FD0304"/>
    <w:rsid w:val="00FD2AD9"/>
    <w:rsid w:val="00FD531F"/>
    <w:rsid w:val="00FE0337"/>
    <w:rsid w:val="00FE623D"/>
    <w:rsid w:val="00FF08DC"/>
    <w:rsid w:val="00FF1BD3"/>
    <w:rsid w:val="04AD376C"/>
    <w:rsid w:val="0CFF2930"/>
    <w:rsid w:val="26FB5932"/>
    <w:rsid w:val="2C8A234B"/>
    <w:rsid w:val="426EE3D5"/>
    <w:rsid w:val="46182A2C"/>
    <w:rsid w:val="49E9901C"/>
    <w:rsid w:val="741CE661"/>
    <w:rsid w:val="757B7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F2930"/>
  <w15:chartTrackingRefBased/>
  <w15:docId w15:val="{E1147B98-A345-4891-9B64-0EE1556DC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customStyle="1" w:styleId="cf01">
    <w:name w:val="cf01"/>
    <w:basedOn w:val="DefaultParagraphFont"/>
    <w:uiPriority w:val="1"/>
    <w:rsid w:val="426EE3D5"/>
    <w:rPr>
      <w:rFonts w:asciiTheme="minorHAnsi" w:eastAsiaTheme="minorEastAsia" w:hAnsiTheme="minorHAnsi" w:cstheme="minorBidi"/>
      <w:b/>
      <w:bCs/>
      <w:sz w:val="18"/>
      <w:szCs w:val="18"/>
      <w:u w:val="single"/>
    </w:rPr>
  </w:style>
  <w:style w:type="character" w:customStyle="1" w:styleId="ui-provider">
    <w:name w:val="ui-provider"/>
    <w:basedOn w:val="DefaultParagraphFont"/>
    <w:uiPriority w:val="1"/>
    <w:rsid w:val="426EE3D5"/>
    <w:rPr>
      <w:rFonts w:asciiTheme="minorHAnsi" w:eastAsiaTheme="minorEastAsia" w:hAnsiTheme="minorHAnsi" w:cstheme="minorBidi"/>
      <w:sz w:val="22"/>
      <w:szCs w:val="22"/>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4D7A92"/>
    <w:rPr>
      <w:sz w:val="16"/>
      <w:szCs w:val="16"/>
    </w:rPr>
  </w:style>
  <w:style w:type="paragraph" w:styleId="CommentText">
    <w:name w:val="annotation text"/>
    <w:basedOn w:val="Normal"/>
    <w:link w:val="CommentTextChar"/>
    <w:uiPriority w:val="99"/>
    <w:unhideWhenUsed/>
    <w:rsid w:val="004D7A92"/>
    <w:pPr>
      <w:spacing w:line="240" w:lineRule="auto"/>
    </w:pPr>
    <w:rPr>
      <w:sz w:val="20"/>
      <w:szCs w:val="20"/>
    </w:rPr>
  </w:style>
  <w:style w:type="character" w:customStyle="1" w:styleId="CommentTextChar">
    <w:name w:val="Comment Text Char"/>
    <w:basedOn w:val="DefaultParagraphFont"/>
    <w:link w:val="CommentText"/>
    <w:uiPriority w:val="99"/>
    <w:rsid w:val="004D7A92"/>
    <w:rPr>
      <w:sz w:val="20"/>
      <w:szCs w:val="20"/>
    </w:rPr>
  </w:style>
  <w:style w:type="paragraph" w:styleId="CommentSubject">
    <w:name w:val="annotation subject"/>
    <w:basedOn w:val="CommentText"/>
    <w:next w:val="CommentText"/>
    <w:link w:val="CommentSubjectChar"/>
    <w:uiPriority w:val="99"/>
    <w:semiHidden/>
    <w:unhideWhenUsed/>
    <w:rsid w:val="004D7A92"/>
    <w:rPr>
      <w:b/>
      <w:bCs/>
    </w:rPr>
  </w:style>
  <w:style w:type="character" w:customStyle="1" w:styleId="CommentSubjectChar">
    <w:name w:val="Comment Subject Char"/>
    <w:basedOn w:val="CommentTextChar"/>
    <w:link w:val="CommentSubject"/>
    <w:uiPriority w:val="99"/>
    <w:semiHidden/>
    <w:rsid w:val="004D7A92"/>
    <w:rPr>
      <w:b/>
      <w:bCs/>
      <w:sz w:val="20"/>
      <w:szCs w:val="20"/>
    </w:rPr>
  </w:style>
  <w:style w:type="paragraph" w:styleId="Revision">
    <w:name w:val="Revision"/>
    <w:hidden/>
    <w:uiPriority w:val="99"/>
    <w:semiHidden/>
    <w:rsid w:val="00665884"/>
    <w:pPr>
      <w:spacing w:after="0" w:line="240" w:lineRule="auto"/>
    </w:pPr>
  </w:style>
  <w:style w:type="character" w:styleId="PlaceholderText">
    <w:name w:val="Placeholder Text"/>
    <w:basedOn w:val="DefaultParagraphFont"/>
    <w:uiPriority w:val="99"/>
    <w:semiHidden/>
    <w:rsid w:val="00306EC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statistics/winter-coronavirus-covid-19-infection-study-estimates-of-epidemiological-characteristics-england-and-scotland-2023-to-2024/winter-coronavirus-covid-19-infection-study-estimates-of-epidemiological-characteristics-21-december-202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1186/s13104-020-05192-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16/j.jinf.2021.02.010" TargetMode="External"/><Relationship Id="rId11" Type="http://schemas.openxmlformats.org/officeDocument/2006/relationships/hyperlink" Target="https://www.gov.uk/government/publications/covid-19-managing-healthcare-staff-with-symptoms-of-a-respiratory-infection/managing-healthcare-staff-with-symptoms-of-a-respiratory-infection-or-a-positive-covid-19-test-result" TargetMode="External"/><Relationship Id="rId5" Type="http://schemas.openxmlformats.org/officeDocument/2006/relationships/hyperlink" Target="https://doi.org/10.1016/S0140-6736(20)30792-9" TargetMode="External"/><Relationship Id="rId10" Type="http://schemas.openxmlformats.org/officeDocument/2006/relationships/hyperlink" Target="https://www.gov.uk/government/statistics/winter-coronavirus-covid-19-infection-study-estimates-of-epidemiological-characteristics-england-and-scotland-2023-to-2024/winter-coronavirus-covid-19-infection-study-estimates-of-epidemiological-characteristics-15-february-2024" TargetMode="External"/><Relationship Id="rId4" Type="http://schemas.openxmlformats.org/officeDocument/2006/relationships/webSettings" Target="webSettings.xml"/><Relationship Id="rId9" Type="http://schemas.openxmlformats.org/officeDocument/2006/relationships/hyperlink" Target="https://www.gov.uk/government/statistics/winter-coronavirus-covid-19-infection-study-estimates-of-epidemiological-characteristics-england-and-scotland-2023-to-2024/winter-coronavirus-covid-19-infection-study-estimates-of-epidemiological-characteristics-11-january-2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8</Pages>
  <Words>2789</Words>
  <Characters>15899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Evans</dc:creator>
  <cp:keywords/>
  <dc:description/>
  <cp:lastModifiedBy>Tim Whiteley</cp:lastModifiedBy>
  <cp:revision>14</cp:revision>
  <dcterms:created xsi:type="dcterms:W3CDTF">2024-12-18T12:42:00Z</dcterms:created>
  <dcterms:modified xsi:type="dcterms:W3CDTF">2024-12-18T15:21:00Z</dcterms:modified>
</cp:coreProperties>
</file>