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41B0" w14:textId="270195F5" w:rsidR="00ED039B" w:rsidRPr="004B0BC7" w:rsidRDefault="00ED039B" w:rsidP="004B0BC7">
      <w:pPr>
        <w:rPr>
          <w:rStyle w:val="Fett"/>
        </w:rPr>
      </w:pPr>
      <w:r w:rsidRPr="004B0BC7">
        <w:rPr>
          <w:rStyle w:val="Fett"/>
        </w:rPr>
        <w:t>Supplementary Information</w:t>
      </w:r>
      <w:r w:rsidR="004B0BC7" w:rsidRPr="004B0BC7">
        <w:rPr>
          <w:rStyle w:val="Fett"/>
        </w:rPr>
        <w:t xml:space="preserve"> to “</w:t>
      </w:r>
      <w:r w:rsidR="00E97014" w:rsidRPr="00E97014">
        <w:rPr>
          <w:rStyle w:val="Fett"/>
        </w:rPr>
        <w:t>Accounting for Embodied Emissions of Chemicals within the European Carbon Border Adjustment Measure</w:t>
      </w:r>
      <w:r w:rsidR="004B0BC7" w:rsidRPr="004B0BC7">
        <w:rPr>
          <w:rStyle w:val="Fett"/>
        </w:rPr>
        <w:t>”</w:t>
      </w:r>
    </w:p>
    <w:p w14:paraId="60281F33" w14:textId="1D28D84C" w:rsidR="00B54355" w:rsidRDefault="00721814" w:rsidP="00B54355">
      <w:pPr>
        <w:pStyle w:val="berschrift1"/>
      </w:pPr>
      <w:r>
        <w:t xml:space="preserve">S1 </w:t>
      </w:r>
      <w:r w:rsidR="00B54355">
        <w:t>Terminology</w:t>
      </w:r>
    </w:p>
    <w:p w14:paraId="408F0C2D" w14:textId="77777777" w:rsidR="00B54355" w:rsidRDefault="00B54355" w:rsidP="00B54355">
      <w:pPr>
        <w:spacing w:line="480" w:lineRule="auto"/>
        <w:ind w:right="-24"/>
      </w:pPr>
      <w:bookmarkStart w:id="0" w:name="_Hlk179893291"/>
      <w:r>
        <w:t>In our work, we use the term “</w:t>
      </w:r>
      <w:r w:rsidRPr="00006AE8">
        <w:rPr>
          <w:i/>
        </w:rPr>
        <w:t>embodied</w:t>
      </w:r>
      <w:r>
        <w:rPr>
          <w:i/>
        </w:rPr>
        <w:t xml:space="preserve"> emissions</w:t>
      </w:r>
      <w:r>
        <w:t>” to refer to calculated greenhouse gas emissions from the production of a product. However, please note that the EU instead uses the word “</w:t>
      </w:r>
      <w:r w:rsidRPr="00006AE8">
        <w:rPr>
          <w:i/>
        </w:rPr>
        <w:t>embedded</w:t>
      </w:r>
      <w:r>
        <w:t>” in legislative texts and proposals. From a Life-Cycle Assessment perspective on carbon-based products, “embedded” emissions could be misunderstood as greenhouse gas emissions released at the end-of-life due to carbon present in the product. We thus choose to use the term “embodied”.</w:t>
      </w:r>
    </w:p>
    <w:bookmarkEnd w:id="0"/>
    <w:p w14:paraId="2B0F5C3E" w14:textId="77777777" w:rsidR="0013502E" w:rsidRDefault="0013502E" w:rsidP="0013502E">
      <w:pPr>
        <w:spacing w:line="480" w:lineRule="auto"/>
        <w:ind w:right="-24"/>
      </w:pPr>
      <w:r>
        <w:t xml:space="preserve">In the literature, both the term </w:t>
      </w:r>
      <w:r w:rsidRPr="00006AE8">
        <w:rPr>
          <w:i/>
        </w:rPr>
        <w:t>Border Carbon Adjustment</w:t>
      </w:r>
      <w:r>
        <w:t xml:space="preserve"> (BCA) and the term </w:t>
      </w:r>
      <w:r w:rsidRPr="00006AE8">
        <w:rPr>
          <w:i/>
        </w:rPr>
        <w:t xml:space="preserve">Carbon Border Adjustment Measure </w:t>
      </w:r>
      <w:r>
        <w:t>(CBAM) are used. While CBAM is typically used specifically for the EU carbon-leakage measure, BCA is used as a general term to describe such policy instruments.</w:t>
      </w:r>
    </w:p>
    <w:p w14:paraId="4AD2F1CA" w14:textId="77777777" w:rsidR="00B54355" w:rsidRPr="008623DC" w:rsidRDefault="00B54355" w:rsidP="00B54355">
      <w:pPr>
        <w:spacing w:line="480" w:lineRule="auto"/>
        <w:ind w:right="-24"/>
      </w:pPr>
      <w:r w:rsidRPr="008623DC">
        <w:t xml:space="preserve">In our calculations, we consider all countries participating in the EU ETS as part of the CBAM, specifically the 27 EU member states, Iceland, Liechtenstein, and Norway. Throughout our </w:t>
      </w:r>
      <w:r>
        <w:t>work</w:t>
      </w:r>
      <w:r w:rsidRPr="008623DC">
        <w:t>, we refer to EU ETS members as "EU" and other nations as "non-EU".</w:t>
      </w:r>
    </w:p>
    <w:p w14:paraId="4DDD2725" w14:textId="3B778979" w:rsidR="00B54355" w:rsidRDefault="00721814" w:rsidP="00B54355">
      <w:pPr>
        <w:pStyle w:val="berschrift1"/>
      </w:pPr>
      <w:r>
        <w:t xml:space="preserve">S2 </w:t>
      </w:r>
      <w:r w:rsidR="00B54355">
        <w:t xml:space="preserve">Definition of “goods” </w:t>
      </w:r>
    </w:p>
    <w:p w14:paraId="38339873" w14:textId="3D70637E" w:rsidR="00B54355" w:rsidRDefault="00B54355" w:rsidP="00B54355">
      <w:pPr>
        <w:pStyle w:val="Aufzhlungszeichen"/>
        <w:numPr>
          <w:ilvl w:val="0"/>
          <w:numId w:val="0"/>
        </w:numPr>
        <w:spacing w:line="480" w:lineRule="auto"/>
        <w:ind w:right="-24"/>
        <w:rPr>
          <w:lang w:val="en-US"/>
        </w:rPr>
      </w:pPr>
      <w:r>
        <w:rPr>
          <w:lang w:val="en-US"/>
        </w:rPr>
        <w:t>As specified in the EU CBAM, f</w:t>
      </w:r>
      <w:r w:rsidRPr="00FD484D">
        <w:rPr>
          <w:lang w:val="en-US"/>
        </w:rPr>
        <w:t>allback embodied emissions are calculated for each of the goods covered by the CBAM, identified by their 4-digit ‘combined nomenclature’ (CN) codes</w:t>
      </w:r>
      <w:sdt>
        <w:sdtPr>
          <w:rPr>
            <w:lang w:val="en-US"/>
          </w:rPr>
          <w:alias w:val="Don't edit this field"/>
          <w:tag w:val="CitaviPlaceholder#2bb788e1-3d36-406d-8824-fe02a1485a2a"/>
          <w:id w:val="1410186936"/>
          <w:placeholder>
            <w:docPart w:val="D256497DD4B9487782B60BBE1836DEC2"/>
          </w:placeholder>
        </w:sdtPr>
        <w:sdtContent>
          <w:r>
            <w:rPr>
              <w:lang w:val="en-US"/>
            </w:rPr>
            <w:fldChar w:fldCharType="begin"/>
          </w:r>
          <w:r>
            <w:rPr>
              <w:lang w:val="en-US"/>
            </w:rPr>
            <w:instrText>ADDIN CitaviPlaceholder{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}</w:instrText>
          </w:r>
          <w:r>
            <w:rPr>
              <w:lang w:val="en-US"/>
            </w:rPr>
            <w:fldChar w:fldCharType="separate"/>
          </w:r>
          <w:r>
            <w:rPr>
              <w:vertAlign w:val="superscript"/>
              <w:lang w:val="en-US"/>
            </w:rPr>
            <w:t>1</w:t>
          </w:r>
          <w:r>
            <w:rPr>
              <w:lang w:val="en-US"/>
            </w:rPr>
            <w:fldChar w:fldCharType="end"/>
          </w:r>
        </w:sdtContent>
      </w:sdt>
      <w:r w:rsidRPr="00FD484D">
        <w:rPr>
          <w:lang w:val="en-US"/>
        </w:rPr>
        <w:t>. For chemicals and polymers, a single 4-digit CN code</w:t>
      </w:r>
      <w:r>
        <w:rPr>
          <w:lang w:val="en-US"/>
        </w:rPr>
        <w:t>, i.e., a “good”,</w:t>
      </w:r>
      <w:r w:rsidRPr="00FD484D">
        <w:rPr>
          <w:lang w:val="en-US"/>
        </w:rPr>
        <w:t xml:space="preserve"> can contain multiple products, and their</w:t>
      </w:r>
      <w:r w:rsidR="00C4577E">
        <w:rPr>
          <w:lang w:val="en-US"/>
        </w:rPr>
        <w:t xml:space="preserve"> fallback</w:t>
      </w:r>
      <w:r w:rsidRPr="00FD484D">
        <w:rPr>
          <w:lang w:val="en-US"/>
        </w:rPr>
        <w:t xml:space="preserve"> embodied emissions are determined as if they were one single product. For instance, the CN code 2901 contains not only ethylene, but also propylene, butene, butadiene, and isoprene. Consequently, facilities producing all these products are considered when calculating fallback </w:t>
      </w:r>
      <w:r w:rsidR="00EC0DFD">
        <w:rPr>
          <w:lang w:val="en-US"/>
        </w:rPr>
        <w:t>default values</w:t>
      </w:r>
      <w:r w:rsidRPr="00FD484D">
        <w:rPr>
          <w:lang w:val="en-US"/>
        </w:rPr>
        <w:t xml:space="preserve"> for ethylene. The same fallback </w:t>
      </w:r>
      <w:r w:rsidR="00C4577E">
        <w:rPr>
          <w:lang w:val="en-US"/>
        </w:rPr>
        <w:t xml:space="preserve">default values </w:t>
      </w:r>
      <w:r w:rsidRPr="00FD484D">
        <w:rPr>
          <w:lang w:val="en-US"/>
        </w:rPr>
        <w:t xml:space="preserve">as for ethylene also apply to each of these products upon import. The polyethylene CN code (3901) comprises fewer products, primarily low-density and high-density polyethylene (CN codes 3901 10 and 3901 20). </w:t>
      </w:r>
    </w:p>
    <w:p w14:paraId="2E6C3DBC" w14:textId="77777777" w:rsidR="00B54355" w:rsidRDefault="00B54355" w:rsidP="00B54355">
      <w:pPr>
        <w:pStyle w:val="Aufzhlungszeichen"/>
        <w:numPr>
          <w:ilvl w:val="0"/>
          <w:numId w:val="0"/>
        </w:numPr>
        <w:spacing w:line="480" w:lineRule="auto"/>
        <w:ind w:right="-24"/>
        <w:rPr>
          <w:lang w:val="en-US"/>
        </w:rPr>
      </w:pPr>
      <w:r>
        <w:rPr>
          <w:lang w:val="en-US"/>
        </w:rPr>
        <w:t xml:space="preserve">The advantage of defining one default value for a product group is the reduced number of default values the EU needs to define. However, calculating fallback embodied emission values based on goods (i.e., product groups) instead of individual products has disadvantages for the accuracy of embodied emissions: If the product group contains chemicals with an inherently emission-intensive production route, all lower-emitting </w:t>
      </w:r>
      <w:r>
        <w:rPr>
          <w:lang w:val="en-US"/>
        </w:rPr>
        <w:lastRenderedPageBreak/>
        <w:t xml:space="preserve">chemicals also contained in the group will face higher default embodied emission values. Consequently, each producer of the low-emission product also has the additional administrative burden of proving superior environmental performance. In contrast, a product group consisting of inherently low-emission products with one emission-intensive outlier product would afford the outlier lower default embodied emission values, since the default values are calculated </w:t>
      </w:r>
      <w:proofErr w:type="gramStart"/>
      <w:r>
        <w:rPr>
          <w:lang w:val="en-US"/>
        </w:rPr>
        <w:t>on the basis of</w:t>
      </w:r>
      <w:proofErr w:type="gramEnd"/>
      <w:r>
        <w:rPr>
          <w:lang w:val="en-US"/>
        </w:rPr>
        <w:t xml:space="preserve"> the whole product group.</w:t>
      </w:r>
    </w:p>
    <w:p w14:paraId="36D48148" w14:textId="77777777" w:rsidR="00C4577E" w:rsidRDefault="00C4577E" w:rsidP="00B54355">
      <w:pPr>
        <w:pStyle w:val="Aufzhlungszeichen"/>
        <w:numPr>
          <w:ilvl w:val="0"/>
          <w:numId w:val="0"/>
        </w:numPr>
        <w:spacing w:line="480" w:lineRule="auto"/>
        <w:ind w:right="-24"/>
        <w:rPr>
          <w:lang w:val="en-US"/>
        </w:rPr>
      </w:pPr>
    </w:p>
    <w:p w14:paraId="00860CF2" w14:textId="13D2DF3E" w:rsidR="00EC0DFD" w:rsidRDefault="00EC0DFD" w:rsidP="00B54355">
      <w:pPr>
        <w:pStyle w:val="Aufzhlungszeichen"/>
        <w:numPr>
          <w:ilvl w:val="0"/>
          <w:numId w:val="0"/>
        </w:numPr>
        <w:spacing w:line="480" w:lineRule="auto"/>
        <w:ind w:right="-24"/>
        <w:rPr>
          <w:lang w:val="en-US"/>
        </w:rPr>
      </w:pPr>
      <w:r>
        <w:rPr>
          <w:lang w:val="en-US"/>
        </w:rPr>
        <w:t xml:space="preserve">In our ethylene production dataset, we observe </w:t>
      </w:r>
      <w:r w:rsidR="004E2047">
        <w:rPr>
          <w:lang w:val="en-US"/>
        </w:rPr>
        <w:t xml:space="preserve">the </w:t>
      </w:r>
      <w:r>
        <w:rPr>
          <w:lang w:val="en-US"/>
        </w:rPr>
        <w:t>effect</w:t>
      </w:r>
      <w:r w:rsidR="004E2047">
        <w:rPr>
          <w:lang w:val="en-US"/>
        </w:rPr>
        <w:t>s</w:t>
      </w:r>
      <w:r>
        <w:rPr>
          <w:lang w:val="en-US"/>
        </w:rPr>
        <w:t xml:space="preserve"> of </w:t>
      </w:r>
      <w:r w:rsidR="004E2047">
        <w:rPr>
          <w:lang w:val="en-US"/>
        </w:rPr>
        <w:t>product grouping within CN codes on fallback values.</w:t>
      </w:r>
      <w:r>
        <w:rPr>
          <w:lang w:val="en-US"/>
        </w:rPr>
        <w:t xml:space="preserve"> </w:t>
      </w:r>
      <w:r w:rsidR="004E2047">
        <w:rPr>
          <w:lang w:val="en-US"/>
        </w:rPr>
        <w:t>W</w:t>
      </w:r>
      <w:r>
        <w:rPr>
          <w:lang w:val="en-US"/>
        </w:rPr>
        <w:t xml:space="preserve">hile </w:t>
      </w:r>
      <w:r w:rsidR="00892DC7">
        <w:rPr>
          <w:lang w:val="en-US"/>
        </w:rPr>
        <w:t>p</w:t>
      </w:r>
      <w:r>
        <w:rPr>
          <w:lang w:val="en-US"/>
        </w:rPr>
        <w:t xml:space="preserve">ropylene production </w:t>
      </w:r>
      <w:r w:rsidR="004E2047">
        <w:rPr>
          <w:lang w:val="en-US"/>
        </w:rPr>
        <w:t xml:space="preserve">generates similar </w:t>
      </w:r>
      <w:r>
        <w:rPr>
          <w:lang w:val="en-US"/>
        </w:rPr>
        <w:t xml:space="preserve">emissions </w:t>
      </w:r>
      <w:r w:rsidR="004E2047">
        <w:rPr>
          <w:lang w:val="en-US"/>
        </w:rPr>
        <w:t xml:space="preserve">to </w:t>
      </w:r>
      <w:r>
        <w:rPr>
          <w:lang w:val="en-US"/>
        </w:rPr>
        <w:t>ethylene production</w:t>
      </w:r>
      <w:r w:rsidR="004E2047">
        <w:rPr>
          <w:lang w:val="en-US"/>
        </w:rPr>
        <w:t xml:space="preserve"> on average, other chemicals in the same CN code, such as benzene, butadiene, and C4 fraction, have significantly lower emissions.</w:t>
      </w:r>
      <w:r>
        <w:rPr>
          <w:lang w:val="en-US"/>
        </w:rPr>
        <w:t xml:space="preserve"> Although ethylene and propylene </w:t>
      </w:r>
      <w:r w:rsidR="004E2047">
        <w:rPr>
          <w:lang w:val="en-US"/>
        </w:rPr>
        <w:t xml:space="preserve">dominate in terms of production volume, grouping them with these lower-emitting chemicals impacts the fallback default values. </w:t>
      </w:r>
    </w:p>
    <w:p w14:paraId="25335CC1" w14:textId="555C7C31" w:rsidR="00EC0DFD" w:rsidRDefault="00EC0DFD" w:rsidP="00B54355">
      <w:pPr>
        <w:pStyle w:val="Aufzhlungszeichen"/>
        <w:numPr>
          <w:ilvl w:val="0"/>
          <w:numId w:val="0"/>
        </w:numPr>
        <w:spacing w:line="480" w:lineRule="auto"/>
        <w:ind w:right="-24"/>
        <w:rPr>
          <w:lang w:val="en-US"/>
        </w:rPr>
      </w:pPr>
      <w:r>
        <w:rPr>
          <w:lang w:val="en-US"/>
        </w:rPr>
        <w:t xml:space="preserve">For instance, </w:t>
      </w:r>
      <w:r w:rsidR="00892DC7">
        <w:rPr>
          <w:lang w:val="en-US"/>
        </w:rPr>
        <w:t xml:space="preserve">in the </w:t>
      </w:r>
      <w:r w:rsidR="00892DC7">
        <w:rPr>
          <w:i/>
          <w:lang w:val="en-US"/>
        </w:rPr>
        <w:t>chemicals covered</w:t>
      </w:r>
      <w:r w:rsidR="00892DC7">
        <w:rPr>
          <w:lang w:val="en-US"/>
        </w:rPr>
        <w:t> design</w:t>
      </w:r>
      <w:r w:rsidR="004E2047">
        <w:rPr>
          <w:lang w:val="en-US"/>
        </w:rPr>
        <w:t>, the fallback default value</w:t>
      </w:r>
      <w:r w:rsidR="00892DC7">
        <w:rPr>
          <w:lang w:val="en-US"/>
        </w:rPr>
        <w:t xml:space="preserve"> for the CN code product group</w:t>
      </w:r>
      <w:r w:rsidR="004E2047">
        <w:rPr>
          <w:lang w:val="en-US"/>
        </w:rPr>
        <w:t xml:space="preserve"> in China is</w:t>
      </w:r>
      <w:r w:rsidR="00892DC7">
        <w:rPr>
          <w:lang w:val="en-US"/>
        </w:rPr>
        <w:t>1.61 kg CO</w:t>
      </w:r>
      <w:r w:rsidR="00892DC7" w:rsidRPr="00EB4685">
        <w:rPr>
          <w:vertAlign w:val="subscript"/>
          <w:lang w:val="en-US"/>
        </w:rPr>
        <w:t>2</w:t>
      </w:r>
      <w:r w:rsidR="00892DC7">
        <w:rPr>
          <w:lang w:val="en-US"/>
        </w:rPr>
        <w:t>-eq</w:t>
      </w:r>
      <w:r w:rsidR="004E2047">
        <w:rPr>
          <w:lang w:val="en-US"/>
        </w:rPr>
        <w:t>.</w:t>
      </w:r>
      <w:r w:rsidR="00892DC7">
        <w:rPr>
          <w:lang w:val="en-US"/>
        </w:rPr>
        <w:t>/kg</w:t>
      </w:r>
      <w:r w:rsidR="004E2047">
        <w:rPr>
          <w:lang w:val="en-US"/>
        </w:rPr>
        <w:t xml:space="preserve"> product</w:t>
      </w:r>
      <w:r w:rsidR="00892DC7">
        <w:rPr>
          <w:lang w:val="en-US"/>
        </w:rPr>
        <w:t xml:space="preserve">. If </w:t>
      </w:r>
      <w:r w:rsidR="004E2047">
        <w:rPr>
          <w:lang w:val="en-US"/>
        </w:rPr>
        <w:t xml:space="preserve">calculated for </w:t>
      </w:r>
      <w:r w:rsidR="00892DC7">
        <w:rPr>
          <w:lang w:val="en-US"/>
        </w:rPr>
        <w:t>ethylene</w:t>
      </w:r>
      <w:r w:rsidR="004E2047">
        <w:rPr>
          <w:lang w:val="en-US"/>
        </w:rPr>
        <w:t xml:space="preserve"> alone</w:t>
      </w:r>
      <w:r w:rsidR="00892DC7">
        <w:rPr>
          <w:lang w:val="en-US"/>
        </w:rPr>
        <w:t xml:space="preserve">, </w:t>
      </w:r>
      <w:r w:rsidR="004E2047">
        <w:rPr>
          <w:lang w:val="en-US"/>
        </w:rPr>
        <w:t xml:space="preserve">the fallback default value would be </w:t>
      </w:r>
      <w:r w:rsidR="00892DC7">
        <w:rPr>
          <w:lang w:val="en-US"/>
        </w:rPr>
        <w:t>2.03</w:t>
      </w:r>
      <w:r w:rsidR="004E2047">
        <w:rPr>
          <w:lang w:val="en-US"/>
        </w:rPr>
        <w:t> </w:t>
      </w:r>
      <w:r w:rsidR="00892DC7">
        <w:rPr>
          <w:lang w:val="en-US"/>
        </w:rPr>
        <w:t>kg CO</w:t>
      </w:r>
      <w:r w:rsidR="00892DC7" w:rsidRPr="00EB4685">
        <w:rPr>
          <w:vertAlign w:val="subscript"/>
          <w:lang w:val="en-US"/>
        </w:rPr>
        <w:t>2</w:t>
      </w:r>
      <w:r w:rsidR="00892DC7">
        <w:rPr>
          <w:lang w:val="en-US"/>
        </w:rPr>
        <w:t>-eq</w:t>
      </w:r>
      <w:r w:rsidR="004E2047">
        <w:rPr>
          <w:lang w:val="en-US"/>
        </w:rPr>
        <w:t>.</w:t>
      </w:r>
      <w:r w:rsidR="00892DC7">
        <w:rPr>
          <w:lang w:val="en-US"/>
        </w:rPr>
        <w:t>/kg ethylene</w:t>
      </w:r>
      <w:r w:rsidR="004E2047">
        <w:rPr>
          <w:lang w:val="en-US"/>
        </w:rPr>
        <w:t>, indicating a significant underestimation of the fallback default value with CN code grouping</w:t>
      </w:r>
      <w:r w:rsidR="00892DC7">
        <w:rPr>
          <w:lang w:val="en-US"/>
        </w:rPr>
        <w:t>.</w:t>
      </w:r>
      <w:r w:rsidR="0089326F">
        <w:rPr>
          <w:lang w:val="en-US"/>
        </w:rPr>
        <w:t xml:space="preserve"> </w:t>
      </w:r>
    </w:p>
    <w:p w14:paraId="2A064937" w14:textId="0A8AC10D" w:rsidR="00892DC7" w:rsidRPr="00892DC7" w:rsidRDefault="004E2047" w:rsidP="00B54355">
      <w:pPr>
        <w:pStyle w:val="Aufzhlungszeichen"/>
        <w:numPr>
          <w:ilvl w:val="0"/>
          <w:numId w:val="0"/>
        </w:numPr>
        <w:spacing w:line="480" w:lineRule="auto"/>
        <w:ind w:right="-24"/>
        <w:rPr>
          <w:lang w:val="en-US"/>
        </w:rPr>
      </w:pPr>
      <w:r>
        <w:rPr>
          <w:lang w:val="en-US"/>
        </w:rPr>
        <w:t>In</w:t>
      </w:r>
      <w:r w:rsidR="00892DC7">
        <w:rPr>
          <w:lang w:val="en-US"/>
        </w:rPr>
        <w:t xml:space="preserve"> </w:t>
      </w:r>
      <w:r w:rsidR="00892DC7">
        <w:rPr>
          <w:i/>
          <w:lang w:val="en-US"/>
        </w:rPr>
        <w:t xml:space="preserve">high fallback </w:t>
      </w:r>
      <w:r w:rsidR="00892DC7">
        <w:rPr>
          <w:lang w:val="en-US"/>
        </w:rPr>
        <w:t>designs</w:t>
      </w:r>
      <w:r>
        <w:rPr>
          <w:lang w:val="en-US"/>
        </w:rPr>
        <w:t xml:space="preserve">, this underestimation for emission-intensive products is mitigated, as only the highest-emitting installations are considered in determining the fallback default values. However, </w:t>
      </w:r>
      <w:r>
        <w:rPr>
          <w:i/>
          <w:lang w:val="en-US"/>
        </w:rPr>
        <w:t xml:space="preserve">high fallback </w:t>
      </w:r>
      <w:r>
        <w:rPr>
          <w:lang w:val="en-US"/>
        </w:rPr>
        <w:t>default values designs applied to CN code product groups overestimate emissions for chemicals with inherently lower production emissions, such as benzene.</w:t>
      </w:r>
      <w:r w:rsidR="00892DC7">
        <w:rPr>
          <w:lang w:val="en-US"/>
        </w:rPr>
        <w:t xml:space="preserve"> </w:t>
      </w:r>
    </w:p>
    <w:p w14:paraId="12AD10C5" w14:textId="461713A1" w:rsidR="00B54355" w:rsidRDefault="00721814" w:rsidP="00B54355">
      <w:pPr>
        <w:pStyle w:val="berschrift1"/>
      </w:pPr>
      <w:r>
        <w:t xml:space="preserve">S3 </w:t>
      </w:r>
      <w:r w:rsidR="00B54355">
        <w:t>Data preparation procedure: aggregation to emission scopes</w:t>
      </w:r>
    </w:p>
    <w:p w14:paraId="1469146F" w14:textId="77777777" w:rsidR="00B54355" w:rsidRDefault="00B54355" w:rsidP="00B54355">
      <w:pPr>
        <w:pStyle w:val="Aufzhlungszeichen"/>
        <w:numPr>
          <w:ilvl w:val="0"/>
          <w:numId w:val="0"/>
        </w:numPr>
        <w:spacing w:line="480" w:lineRule="auto"/>
        <w:ind w:right="-24"/>
        <w:rPr>
          <w:lang w:val="en-US"/>
        </w:rPr>
      </w:pPr>
      <w:r>
        <w:rPr>
          <w:lang w:val="en-US"/>
        </w:rPr>
        <w:t xml:space="preserve">For each facility, emission data in the </w:t>
      </w:r>
      <w:proofErr w:type="spellStart"/>
      <w:proofErr w:type="gramStart"/>
      <w:r>
        <w:rPr>
          <w:lang w:val="en-US"/>
        </w:rPr>
        <w:t>cm.chemicals</w:t>
      </w:r>
      <w:proofErr w:type="spellEnd"/>
      <w:proofErr w:type="gramEnd"/>
      <w:r>
        <w:rPr>
          <w:lang w:val="en-US"/>
        </w:rPr>
        <w:t xml:space="preserve"> database are resolved by intermediates, i.e., by material and energy inputs and outputs. We need emissions to be divided by emission scopes 1 through 3 to apply the calculations for embodied emissions as proposed by the EU. Further, scope 3 emissions need to be divided into chemical precursors, fossil feedstock precursors, and other inputs, since these are distinguished in the embodied emissions calculation: Per the EU CBAM, a product is regarded as a “complex good” if the product is based on a feedstock that is also covered by CBAM, which is the case for most chemicals and polymers if we assume a full CBAM coverage of the chemical sector. For complex goods, the embodied emissions of any CBAM-covered feedstock are considered for the </w:t>
      </w:r>
      <w:r w:rsidRPr="000D0EFA">
        <w:rPr>
          <w:lang w:val="en-US"/>
        </w:rPr>
        <w:t xml:space="preserve">embodied emissions </w:t>
      </w:r>
      <w:r>
        <w:rPr>
          <w:lang w:val="en-US"/>
        </w:rPr>
        <w:t xml:space="preserve">calculation of the facility under study. In </w:t>
      </w:r>
      <w:r>
        <w:rPr>
          <w:lang w:val="en-US"/>
        </w:rPr>
        <w:lastRenderedPageBreak/>
        <w:t xml:space="preserve">this way, for complex goods, some scope 3 emissions of the process under study are included in the embodied emissions. </w:t>
      </w:r>
    </w:p>
    <w:p w14:paraId="1E41A903" w14:textId="068BA356" w:rsidR="00B54355" w:rsidRDefault="00B54355" w:rsidP="00B54355">
      <w:pPr>
        <w:spacing w:line="480" w:lineRule="auto"/>
        <w:ind w:right="-24"/>
      </w:pPr>
      <w:r>
        <w:t>We categorize the intermediates into scopes as follows:</w:t>
      </w:r>
    </w:p>
    <w:p w14:paraId="57FDA4E4" w14:textId="77777777" w:rsidR="00B54355" w:rsidRDefault="00B54355" w:rsidP="00B54355">
      <w:pPr>
        <w:spacing w:line="480" w:lineRule="auto"/>
        <w:ind w:right="-24"/>
      </w:pPr>
      <w:r w:rsidRPr="00B54355">
        <w:rPr>
          <w:b/>
          <w:bCs/>
          <w:iCs/>
          <w:u w:val="single"/>
        </w:rPr>
        <w:t>Scope 1:</w:t>
      </w:r>
      <w:r>
        <w:t xml:space="preserve"> Only direct emissions are considered in scope 1.</w:t>
      </w:r>
    </w:p>
    <w:p w14:paraId="38AB9FA3" w14:textId="29CF92FF" w:rsidR="00B54355" w:rsidRDefault="00B54355" w:rsidP="00B54355">
      <w:pPr>
        <w:spacing w:line="480" w:lineRule="auto"/>
        <w:ind w:right="-24"/>
      </w:pPr>
      <w:r w:rsidRPr="00B54355">
        <w:rPr>
          <w:b/>
          <w:bCs/>
          <w:iCs/>
          <w:u w:val="single"/>
        </w:rPr>
        <w:t>Scope 2:</w:t>
      </w:r>
      <w:r>
        <w:t xml:space="preserve"> As scope 2, we consider emissions related to the </w:t>
      </w:r>
      <w:proofErr w:type="gramStart"/>
      <w:r>
        <w:t>intermediates</w:t>
      </w:r>
      <w:proofErr w:type="gramEnd"/>
      <w:r>
        <w:t xml:space="preserve"> electricity, steam, thermal energy, and cooling water. For facilities that are net exporters of energy intermediates, we assume the scope 2 emissions related to that intermediate to be zero (i.e., no environmental credit for energy export). </w:t>
      </w:r>
    </w:p>
    <w:p w14:paraId="2B17FDC4" w14:textId="77777777" w:rsidR="00B54355" w:rsidRDefault="00B54355" w:rsidP="00B54355">
      <w:pPr>
        <w:spacing w:line="480" w:lineRule="auto"/>
        <w:ind w:right="-24"/>
      </w:pPr>
      <w:r w:rsidRPr="00B54355">
        <w:rPr>
          <w:b/>
          <w:u w:val="single"/>
        </w:rPr>
        <w:t>Scope 3 – chemical precursors:</w:t>
      </w:r>
      <w:r>
        <w:t xml:space="preserve"> We need to distinguish chemical precursors since the EU CBAM considers the embodied emissions of material feedstock also covered by CBAM in the embodied emissions calculation. Since the CBAM regulation currently does not apply to chemicals, the scope of feedstock chemicals to which the CBAM would apply is unclear. We assume all feedstock chemicals to be covered by the CBAM regulation. Hence, we might consequently overestimate scope 3 emissions covered by the CBAM in our analysis, i.e., our study poses a best-case assumption for embodied emissions calculation regarding chemical precursor coverage. </w:t>
      </w:r>
    </w:p>
    <w:p w14:paraId="526F21F7" w14:textId="40A6C378" w:rsidR="00B54355" w:rsidRDefault="00B54355" w:rsidP="00B54355">
      <w:pPr>
        <w:spacing w:line="480" w:lineRule="auto"/>
        <w:ind w:right="-24"/>
        <w:rPr>
          <w:rFonts w:ascii="Calibri" w:eastAsia="Times New Roman" w:hAnsi="Calibri" w:cs="Calibri"/>
          <w:color w:val="000000"/>
        </w:rPr>
      </w:pPr>
      <w:r>
        <w:t xml:space="preserve">Specifically, the following inputs into the facilities are considered as chemical precursors in our case studies: </w:t>
      </w:r>
      <w:r w:rsidRPr="00521D0A">
        <w:t xml:space="preserve">benzene, butene-1, C4 fraction, C9+ aromatics, dimethylformamide, ethylene, hexene-1, hydrochloric acid, hydrogen, isobutane, isopropanol, methanol, mixed xylenes, </w:t>
      </w:r>
      <w:proofErr w:type="spellStart"/>
      <w:r w:rsidRPr="00521D0A">
        <w:t>monoethanolamine</w:t>
      </w:r>
      <w:proofErr w:type="spellEnd"/>
      <w:r w:rsidRPr="00521D0A">
        <w:t xml:space="preserve">, n-hexane, n-methyl-2-pyrrolidone, n-pentane, octene-1, oxygen, propylene, and toluene. </w:t>
      </w:r>
    </w:p>
    <w:p w14:paraId="0C76F1CD" w14:textId="4654B355" w:rsidR="00B54355" w:rsidRPr="00521D0A" w:rsidRDefault="00B54355" w:rsidP="00B54355">
      <w:pPr>
        <w:spacing w:line="480" w:lineRule="auto"/>
        <w:ind w:right="-24"/>
      </w:pPr>
      <w:r w:rsidRPr="00B54355">
        <w:rPr>
          <w:b/>
          <w:u w:val="single"/>
        </w:rPr>
        <w:t>Scope 3 – fossil feedstock</w:t>
      </w:r>
      <w:r>
        <w:rPr>
          <w:b/>
          <w:u w:val="single"/>
        </w:rPr>
        <w:t xml:space="preserve"> precursor</w:t>
      </w:r>
      <w:r w:rsidRPr="00B54355">
        <w:rPr>
          <w:b/>
          <w:u w:val="single"/>
        </w:rPr>
        <w:t>s:</w:t>
      </w:r>
      <w:r>
        <w:t xml:space="preserve"> For the fossil feedstocks covered design, we must distinguish scope 3 emissions from </w:t>
      </w:r>
      <w:r w:rsidR="00C516F0">
        <w:t xml:space="preserve">fossil </w:t>
      </w:r>
      <w:r>
        <w:t>feedstock precursor production. We classify fossil feedstocks according to EU nomenclature</w:t>
      </w:r>
      <w:sdt>
        <w:sdtPr>
          <w:alias w:val="Don't edit this field"/>
          <w:tag w:val="CitaviPlaceholder#6ed057dd-0862-4835-85b6-bbd69162924f"/>
          <w:id w:val="787709395"/>
          <w:placeholder>
            <w:docPart w:val="63707AC8620241B7B20FFA45ADBAA96E"/>
          </w:placeholder>
        </w:sdtPr>
        <w:sdtContent>
          <w:r>
            <w:fldChar w:fldCharType="begin"/>
          </w:r>
          <w:r>
            <w:instrText>ADDIN CitaviPlaceholder{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}</w:instrText>
          </w:r>
          <w:r>
            <w:fldChar w:fldCharType="separate"/>
          </w:r>
          <w:r>
            <w:rPr>
              <w:vertAlign w:val="superscript"/>
            </w:rPr>
            <w:t>1</w:t>
          </w:r>
          <w:r>
            <w:fldChar w:fldCharType="end"/>
          </w:r>
        </w:sdtContent>
      </w:sdt>
      <w:r>
        <w:t>. Specifically, the following inputs into facilities are considered fossil feedstock precursors in our case studies: atmospheric gas oil, coal, ethane, LPG, naphtha, natural gas, propane, pyrolysis gasoline, vacuum gas oil, vacuum residue.</w:t>
      </w:r>
    </w:p>
    <w:p w14:paraId="4A26FC9F" w14:textId="77777777" w:rsidR="00B54355" w:rsidRDefault="00B54355" w:rsidP="00B54355">
      <w:pPr>
        <w:spacing w:line="480" w:lineRule="auto"/>
        <w:ind w:right="-24"/>
      </w:pPr>
      <w:r w:rsidRPr="00B54355">
        <w:rPr>
          <w:b/>
          <w:u w:val="single"/>
        </w:rPr>
        <w:t>Scope 3 – other:</w:t>
      </w:r>
      <w:r w:rsidRPr="00B54355">
        <w:rPr>
          <w:b/>
        </w:rPr>
        <w:t xml:space="preserve"> </w:t>
      </w:r>
      <w:r>
        <w:t>This category includes all other feedstock into the facilities, including inert gases and process water.</w:t>
      </w:r>
    </w:p>
    <w:p w14:paraId="17CF630C" w14:textId="14941B46" w:rsidR="00B02750" w:rsidRDefault="00721814" w:rsidP="004B0BC7">
      <w:pPr>
        <w:pStyle w:val="berschrift1"/>
      </w:pPr>
      <w:r>
        <w:lastRenderedPageBreak/>
        <w:t xml:space="preserve">S4 </w:t>
      </w:r>
      <w:r w:rsidR="00095B1F">
        <w:t>Additional result</w:t>
      </w:r>
      <w:r w:rsidR="00BC5D0D">
        <w:t>s</w:t>
      </w:r>
    </w:p>
    <w:p w14:paraId="0CE99E2C" w14:textId="6C20D2A8" w:rsidR="001E0D21" w:rsidRDefault="003D1311" w:rsidP="004B0BC7">
      <w:pPr>
        <w:pStyle w:val="berschrift2"/>
      </w:pPr>
      <w:r>
        <w:t xml:space="preserve">S4.1 </w:t>
      </w:r>
      <w:r w:rsidR="001E0D21">
        <w:t>Life-cycle emissions of polyethylene production</w:t>
      </w:r>
    </w:p>
    <w:p w14:paraId="0E482DBA" w14:textId="77777777" w:rsidR="001E0D21" w:rsidRDefault="001E0D21" w:rsidP="001E0D21">
      <w:pPr>
        <w:keepNext/>
        <w:spacing w:line="480" w:lineRule="auto"/>
        <w:ind w:right="-24"/>
      </w:pPr>
      <w:r>
        <w:rPr>
          <w:noProof/>
        </w:rPr>
        <w:drawing>
          <wp:inline distT="0" distB="0" distL="0" distR="0" wp14:anchorId="1065C6D6" wp14:editId="6A3B0742">
            <wp:extent cx="5640705" cy="2422525"/>
            <wp:effectExtent l="0" t="0" r="0" b="0"/>
            <wp:docPr id="25091917" name="Grafik 19" descr="Ein Bild, das Text,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1917" name="Grafik 19" descr="Ein Bild, das Text, Screenshot, Diagramm, Reihe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40705" cy="2422525"/>
                    </a:xfrm>
                    <a:prstGeom prst="rect">
                      <a:avLst/>
                    </a:prstGeom>
                    <a:noFill/>
                    <a:ln>
                      <a:noFill/>
                    </a:ln>
                  </pic:spPr>
                </pic:pic>
              </a:graphicData>
            </a:graphic>
          </wp:inline>
        </w:drawing>
      </w:r>
    </w:p>
    <w:p w14:paraId="5E76CA9F" w14:textId="1F344B80" w:rsidR="001E0D21" w:rsidRPr="001E0D21" w:rsidRDefault="001E0D21" w:rsidP="00C10BE1">
      <w:pPr>
        <w:pStyle w:val="Beschriftung"/>
        <w:ind w:right="-24"/>
      </w:pPr>
      <w:r>
        <w:t xml:space="preserve">Figure </w:t>
      </w:r>
      <w:r w:rsidR="00B54355">
        <w:t>S</w:t>
      </w:r>
      <w:fldSimple w:instr=" SEQ Figure \* ARABIC ">
        <w:r w:rsidR="00EF6A59">
          <w:rPr>
            <w:noProof/>
          </w:rPr>
          <w:t>1</w:t>
        </w:r>
      </w:fldSimple>
      <w:r>
        <w:t xml:space="preserve">: </w:t>
      </w:r>
      <w:r w:rsidRPr="0001429A">
        <w:t>Cradle-to-border life-cycle greenhouse gas emissions of polyethylene facilities in- and outside the EU over their production volume in order of decreasing emissions. For non-EU producers, emissions are separated into “Scope</w:t>
      </w:r>
      <w:r>
        <w:t xml:space="preserve"> 1</w:t>
      </w:r>
      <w:r w:rsidRPr="0001429A">
        <w:t>" - direct emissions from</w:t>
      </w:r>
      <w:r>
        <w:t xml:space="preserve"> the</w:t>
      </w:r>
      <w:r w:rsidRPr="0001429A">
        <w:t xml:space="preserve"> facility, "Scope </w:t>
      </w:r>
      <w:r>
        <w:t>2</w:t>
      </w:r>
      <w:r w:rsidRPr="0001429A">
        <w:t>" - energy-related supply-chain emissions,</w:t>
      </w:r>
      <w:r>
        <w:t xml:space="preserve"> and</w:t>
      </w:r>
      <w:r w:rsidRPr="0001429A">
        <w:t xml:space="preserve"> "Scope </w:t>
      </w:r>
      <w:r>
        <w:t>3</w:t>
      </w:r>
      <w:r w:rsidRPr="0001429A">
        <w:t>" - remaining supply-chain emissions.</w:t>
      </w:r>
      <w:r>
        <w:t xml:space="preserve"> Scope 3 emissions from fossil feedstock precursors are hatched, although no such emissions are present in this polyethylene emission profile.</w:t>
      </w:r>
    </w:p>
    <w:p w14:paraId="68E5D833" w14:textId="3EDB295C" w:rsidR="00B54355" w:rsidRDefault="003D1311" w:rsidP="00B54355">
      <w:pPr>
        <w:pStyle w:val="berschrift2"/>
      </w:pPr>
      <w:r>
        <w:t xml:space="preserve">S4.2 </w:t>
      </w:r>
      <w:r w:rsidR="00B54355">
        <w:t>Life-cycle emissions of ethylene production</w:t>
      </w:r>
    </w:p>
    <w:p w14:paraId="2FC63A8F" w14:textId="77777777" w:rsidR="00B02750" w:rsidRDefault="00B02750" w:rsidP="00B02750">
      <w:pPr>
        <w:keepNext/>
        <w:ind w:right="-24"/>
      </w:pPr>
      <w:r>
        <w:rPr>
          <w:noProof/>
        </w:rPr>
        <w:drawing>
          <wp:inline distT="0" distB="0" distL="0" distR="0" wp14:anchorId="2A010136" wp14:editId="03982D6B">
            <wp:extent cx="5640705" cy="2422525"/>
            <wp:effectExtent l="0" t="0" r="0" b="0"/>
            <wp:docPr id="752948336" name="Grafik 3" descr="Ein Bild, das Text, Screenshot, Reihe,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48336" name="Grafik 3" descr="Ein Bild, das Text, Screenshot, Reihe, Diagramm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0705" cy="2422525"/>
                    </a:xfrm>
                    <a:prstGeom prst="rect">
                      <a:avLst/>
                    </a:prstGeom>
                    <a:noFill/>
                    <a:ln>
                      <a:noFill/>
                    </a:ln>
                  </pic:spPr>
                </pic:pic>
              </a:graphicData>
            </a:graphic>
          </wp:inline>
        </w:drawing>
      </w:r>
    </w:p>
    <w:p w14:paraId="0C262E2D" w14:textId="71750C1D" w:rsidR="00B02750" w:rsidRPr="00B02750" w:rsidRDefault="00B02750" w:rsidP="00B02750">
      <w:pPr>
        <w:pStyle w:val="Beschriftung"/>
        <w:ind w:right="-24"/>
      </w:pPr>
      <w:r>
        <w:t xml:space="preserve">Figure </w:t>
      </w:r>
      <w:r w:rsidR="00B54355">
        <w:t>S</w:t>
      </w:r>
      <w:fldSimple w:instr=" SEQ Figure \* ARABIC ">
        <w:r w:rsidR="00EF6A59">
          <w:rPr>
            <w:noProof/>
          </w:rPr>
          <w:t>2</w:t>
        </w:r>
      </w:fldSimple>
      <w:r>
        <w:t xml:space="preserve">: </w:t>
      </w:r>
      <w:r w:rsidRPr="0001429A">
        <w:t>Cradle-to-border life-cycle greenhouse gas emissions of ethylene facilities in- and outside the EU over their production volume in order of decreasing emissions. For non-EU producers, emissions are separated into “Scope</w:t>
      </w:r>
      <w:r>
        <w:t xml:space="preserve"> 1</w:t>
      </w:r>
      <w:r w:rsidRPr="0001429A">
        <w:t>" - direct emissions from</w:t>
      </w:r>
      <w:r>
        <w:t xml:space="preserve"> the</w:t>
      </w:r>
      <w:r w:rsidRPr="0001429A">
        <w:t xml:space="preserve"> facility, "Scope </w:t>
      </w:r>
      <w:r>
        <w:t>2</w:t>
      </w:r>
      <w:r w:rsidRPr="0001429A">
        <w:t>" - energy-related supply-chain emissions,</w:t>
      </w:r>
      <w:r>
        <w:t xml:space="preserve"> and</w:t>
      </w:r>
      <w:r w:rsidRPr="0001429A">
        <w:t xml:space="preserve"> "Scope </w:t>
      </w:r>
      <w:r>
        <w:t>3</w:t>
      </w:r>
      <w:r w:rsidRPr="0001429A">
        <w:t>" - remaining supply-chain emissions.</w:t>
      </w:r>
      <w:r>
        <w:t xml:space="preserve"> Scope 3 emissions from fossil feedstock precursors are hatched.</w:t>
      </w:r>
    </w:p>
    <w:p w14:paraId="07EA3132" w14:textId="2CFD6977" w:rsidR="00095B1F" w:rsidRDefault="00095B1F" w:rsidP="00486864">
      <w:pPr>
        <w:spacing w:line="480" w:lineRule="auto"/>
        <w:ind w:right="-24"/>
      </w:pPr>
      <w:r>
        <w:t>For the ethylene case study, o</w:t>
      </w:r>
      <w:r w:rsidRPr="006F2470">
        <w:t xml:space="preserve">ur dataset </w:t>
      </w:r>
      <w:r>
        <w:t>consists of</w:t>
      </w:r>
      <w:r w:rsidRPr="006F2470">
        <w:t xml:space="preserve"> 545 ethylene facilities, showing a </w:t>
      </w:r>
      <w:r>
        <w:t>substantial</w:t>
      </w:r>
      <w:r w:rsidRPr="006F2470">
        <w:t xml:space="preserve"> variation in emissions</w:t>
      </w:r>
      <w:r>
        <w:t>,</w:t>
      </w:r>
      <w:r w:rsidRPr="006F2470">
        <w:t xml:space="preserve"> ranging by a </w:t>
      </w:r>
      <w:r w:rsidRPr="005A3D64">
        <w:t>factor of eight (Fig S</w:t>
      </w:r>
      <w:r w:rsidR="005A3D64" w:rsidRPr="005A3D64">
        <w:t>2</w:t>
      </w:r>
      <w:r w:rsidRPr="005A3D64">
        <w:t>). The</w:t>
      </w:r>
      <w:r w:rsidRPr="006F2470">
        <w:t xml:space="preserve"> average life-cycle emissions of ethylene are higher for non-EU producers compared to EU producers, indicating differences in emission intensity.</w:t>
      </w:r>
      <w:r>
        <w:t xml:space="preserve"> Among the non-EU facilities, a</w:t>
      </w:r>
      <w:r w:rsidRPr="006F2470">
        <w:t xml:space="preserve">pproximately 3% </w:t>
      </w:r>
      <w:r>
        <w:t>are</w:t>
      </w:r>
      <w:r w:rsidRPr="006F2470">
        <w:t xml:space="preserve"> </w:t>
      </w:r>
      <w:r>
        <w:t xml:space="preserve">identified as </w:t>
      </w:r>
      <w:r w:rsidRPr="006F2470">
        <w:t>emission-intensive outliers</w:t>
      </w:r>
      <w:r>
        <w:t xml:space="preserve"> contributing 18% of total life-cycle emissions.</w:t>
      </w:r>
      <w:r w:rsidRPr="006F2470">
        <w:t xml:space="preserve"> </w:t>
      </w:r>
      <w:r>
        <w:t>N</w:t>
      </w:r>
      <w:r w:rsidRPr="006F2470">
        <w:t xml:space="preserve">o such outliers </w:t>
      </w:r>
      <w:r>
        <w:t>are</w:t>
      </w:r>
      <w:r w:rsidRPr="006F2470">
        <w:t xml:space="preserve"> </w:t>
      </w:r>
      <w:r>
        <w:t>observed</w:t>
      </w:r>
      <w:r w:rsidRPr="006F2470">
        <w:t xml:space="preserve"> among EU facilities.</w:t>
      </w:r>
      <w:r>
        <w:t xml:space="preserve"> Similarly to polyethylene, scope 3 emissions constitute the largest share of life-cycle emissions for ethylene production (59%). </w:t>
      </w:r>
      <w:r w:rsidRPr="006F2470">
        <w:t xml:space="preserve">However, the share of scope </w:t>
      </w:r>
      <w:r w:rsidRPr="006F2470">
        <w:lastRenderedPageBreak/>
        <w:t xml:space="preserve">3 emissions </w:t>
      </w:r>
      <w:r>
        <w:t>is</w:t>
      </w:r>
      <w:r w:rsidRPr="006F2470">
        <w:t xml:space="preserve"> smaller for ethylene compared to polyethylene.</w:t>
      </w:r>
      <w:r>
        <w:t xml:space="preserve"> T</w:t>
      </w:r>
      <w:r w:rsidRPr="00F17020">
        <w:t>his difference can be attributed to ethylene</w:t>
      </w:r>
      <w:r>
        <w:t xml:space="preserve">’s position </w:t>
      </w:r>
      <w:r w:rsidRPr="00F17020">
        <w:t>one step upstream in the supply chain from polyethylene, resulting in a shorter upstream supply chain and consequently smaller scope 3 emissions.</w:t>
      </w:r>
      <w:r w:rsidR="00B54355">
        <w:t xml:space="preserve"> Furthermore, scope 3 emissions are dominated by fossil feedstock and refinery product precursors.</w:t>
      </w:r>
      <w:r w:rsidRPr="00F17020">
        <w:t xml:space="preserve"> </w:t>
      </w:r>
      <w:r>
        <w:t>The</w:t>
      </w:r>
      <w:r w:rsidRPr="00F17020">
        <w:t xml:space="preserve"> contribution of scope 1 emissions </w:t>
      </w:r>
      <w:r>
        <w:t>is</w:t>
      </w:r>
      <w:r w:rsidRPr="00F17020">
        <w:t xml:space="preserve"> </w:t>
      </w:r>
      <w:r>
        <w:t>33%</w:t>
      </w:r>
      <w:r w:rsidRPr="00F17020">
        <w:t xml:space="preserve"> for ethylene production</w:t>
      </w:r>
      <w:r>
        <w:t xml:space="preserve"> on average, much higher than for</w:t>
      </w:r>
      <w:r w:rsidRPr="00F17020">
        <w:t xml:space="preserve"> polyethylene production.</w:t>
      </w:r>
      <w:r>
        <w:t xml:space="preserve"> Many ethylene production processes are self-sustaining in terms of energy, leading to a lower relative importance of scope 2 emissions, which make up only 8% of the total life-cycle emissions.</w:t>
      </w:r>
    </w:p>
    <w:p w14:paraId="46716987" w14:textId="6626E8F6" w:rsidR="00095B1F" w:rsidRDefault="003D1311" w:rsidP="004B0BC7">
      <w:pPr>
        <w:pStyle w:val="berschrift2"/>
      </w:pPr>
      <w:r>
        <w:t xml:space="preserve">S4.3 </w:t>
      </w:r>
      <w:r w:rsidR="00BC5D0D">
        <w:t>Embodied emissions in</w:t>
      </w:r>
      <w:r w:rsidR="00502B3D">
        <w:t xml:space="preserve"> chemicals &amp;</w:t>
      </w:r>
      <w:r w:rsidR="00BC5D0D">
        <w:t xml:space="preserve"> </w:t>
      </w:r>
      <w:r w:rsidR="006360BC" w:rsidRPr="003D1311">
        <w:rPr>
          <w:i/>
        </w:rPr>
        <w:t>feedstocks covered</w:t>
      </w:r>
      <w:r w:rsidR="006360BC">
        <w:t xml:space="preserve"> </w:t>
      </w:r>
      <w:r w:rsidR="00502B3D">
        <w:t xml:space="preserve">+ </w:t>
      </w:r>
      <w:r w:rsidR="00502B3D">
        <w:rPr>
          <w:i/>
        </w:rPr>
        <w:t xml:space="preserve">average </w:t>
      </w:r>
      <w:r w:rsidR="00502B3D">
        <w:t xml:space="preserve">fallback </w:t>
      </w:r>
      <w:r w:rsidR="006360BC">
        <w:t>design for polyethylene</w:t>
      </w:r>
    </w:p>
    <w:p w14:paraId="5D07388F" w14:textId="77777777" w:rsidR="006360BC" w:rsidRDefault="006360BC" w:rsidP="006360BC">
      <w:pPr>
        <w:keepNext/>
        <w:ind w:right="-24"/>
      </w:pPr>
      <w:r>
        <w:rPr>
          <w:noProof/>
        </w:rPr>
        <w:drawing>
          <wp:inline distT="0" distB="0" distL="0" distR="0" wp14:anchorId="38170CEC" wp14:editId="6A1E6022">
            <wp:extent cx="5625182" cy="2422523"/>
            <wp:effectExtent l="0" t="0" r="0" b="0"/>
            <wp:docPr id="94600337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03373" name="Grafik 2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25182" cy="2422523"/>
                    </a:xfrm>
                    <a:prstGeom prst="rect">
                      <a:avLst/>
                    </a:prstGeom>
                    <a:noFill/>
                    <a:ln>
                      <a:noFill/>
                    </a:ln>
                  </pic:spPr>
                </pic:pic>
              </a:graphicData>
            </a:graphic>
          </wp:inline>
        </w:drawing>
      </w:r>
    </w:p>
    <w:p w14:paraId="192289A5" w14:textId="55ECE3D0" w:rsidR="006360BC" w:rsidRPr="00095B1F" w:rsidRDefault="006360BC" w:rsidP="006360BC">
      <w:pPr>
        <w:pStyle w:val="Beschriftung"/>
        <w:ind w:right="-24"/>
      </w:pPr>
      <w:r>
        <w:t xml:space="preserve">Figure </w:t>
      </w:r>
      <w:r w:rsidR="00B54355">
        <w:t>S</w:t>
      </w:r>
      <w:fldSimple w:instr=" SEQ Figure \* ARABIC ">
        <w:r w:rsidR="00EF6A59">
          <w:rPr>
            <w:noProof/>
          </w:rPr>
          <w:t>3</w:t>
        </w:r>
      </w:fldSimple>
      <w:r>
        <w:t xml:space="preserve">: </w:t>
      </w:r>
      <w:r w:rsidRPr="00CC4395">
        <w:t>Embodied emissions of non-EU ethylene facilities</w:t>
      </w:r>
      <w:r>
        <w:t xml:space="preserve"> c</w:t>
      </w:r>
      <w:r w:rsidRPr="00CC4395">
        <w:t xml:space="preserve">alculated from cradle-to-border greenhouse gas emission data according to the </w:t>
      </w:r>
      <w:r w:rsidR="00AB327D">
        <w:rPr>
          <w:i w:val="0"/>
        </w:rPr>
        <w:t>chemicals &amp;</w:t>
      </w:r>
      <w:r w:rsidRPr="005C4531">
        <w:rPr>
          <w:i w:val="0"/>
        </w:rPr>
        <w:t xml:space="preserve"> feedstocks </w:t>
      </w:r>
      <w:r w:rsidRPr="005A3D64">
        <w:rPr>
          <w:i w:val="0"/>
        </w:rPr>
        <w:t>covered</w:t>
      </w:r>
      <w:r w:rsidR="00C4577E">
        <w:rPr>
          <w:i w:val="0"/>
        </w:rPr>
        <w:t xml:space="preserve"> + average fallback</w:t>
      </w:r>
      <w:r w:rsidRPr="005A3D64">
        <w:t xml:space="preserve"> desig</w:t>
      </w:r>
      <w:r w:rsidR="005A3D64" w:rsidRPr="005A3D64">
        <w:t>n</w:t>
      </w:r>
      <w:r w:rsidRPr="005A3D64">
        <w:t>. A perfect</w:t>
      </w:r>
      <w:r w:rsidRPr="00CC4395">
        <w:t xml:space="preserve"> CBAM would cover cradle-to-border greenhouse gas emissions exactly. “</w:t>
      </w:r>
      <w:r>
        <w:t>Self-profiting reporting behavior</w:t>
      </w:r>
      <w:r w:rsidRPr="00CC4395">
        <w:t xml:space="preserve">” assumes that facilities supply </w:t>
      </w:r>
      <w:r>
        <w:t xml:space="preserve">baseline </w:t>
      </w:r>
      <w:r w:rsidRPr="00CC4395">
        <w:t xml:space="preserve">data only </w:t>
      </w:r>
      <w:r>
        <w:t xml:space="preserve">if it results in lower embodied emissions than the </w:t>
      </w:r>
      <w:r w:rsidRPr="00CC4395">
        <w:t xml:space="preserve">fallback </w:t>
      </w:r>
      <w:r>
        <w:t>value</w:t>
      </w:r>
      <w:r w:rsidRPr="00CC4395">
        <w:t>.</w:t>
      </w:r>
    </w:p>
    <w:p w14:paraId="3D6E71DD" w14:textId="6C39E227" w:rsidR="004D62BA" w:rsidRPr="004D62BA" w:rsidRDefault="003D1311" w:rsidP="00EB4685">
      <w:pPr>
        <w:pStyle w:val="berschrift2"/>
      </w:pPr>
      <w:r>
        <w:t>S4.</w:t>
      </w:r>
      <w:r w:rsidR="001D0C2B">
        <w:t>4</w:t>
      </w:r>
      <w:r>
        <w:t xml:space="preserve"> </w:t>
      </w:r>
      <w:r w:rsidR="001D0C2B">
        <w:t xml:space="preserve">Embodied emissions in </w:t>
      </w:r>
      <w:r w:rsidR="001D0C2B">
        <w:rPr>
          <w:i/>
        </w:rPr>
        <w:t xml:space="preserve">chemicals covered + high fallback </w:t>
      </w:r>
      <w:r w:rsidR="001D0C2B">
        <w:t>design</w:t>
      </w:r>
    </w:p>
    <w:p w14:paraId="5564D5B0" w14:textId="77777777" w:rsidR="009F3C25" w:rsidRDefault="00095B1F" w:rsidP="00486864">
      <w:pPr>
        <w:keepNext/>
        <w:ind w:right="-24"/>
      </w:pPr>
      <w:r>
        <w:rPr>
          <w:noProof/>
        </w:rPr>
        <w:drawing>
          <wp:inline distT="0" distB="0" distL="0" distR="0" wp14:anchorId="765A2AE9" wp14:editId="4176155D">
            <wp:extent cx="5625184" cy="2422524"/>
            <wp:effectExtent l="0" t="0" r="0" b="0"/>
            <wp:docPr id="136572172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21721" name="Grafik 2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25184" cy="2422524"/>
                    </a:xfrm>
                    <a:prstGeom prst="rect">
                      <a:avLst/>
                    </a:prstGeom>
                    <a:noFill/>
                    <a:ln>
                      <a:noFill/>
                    </a:ln>
                  </pic:spPr>
                </pic:pic>
              </a:graphicData>
            </a:graphic>
          </wp:inline>
        </w:drawing>
      </w:r>
    </w:p>
    <w:p w14:paraId="21A480D5" w14:textId="3B97DAB3" w:rsidR="00095B1F" w:rsidRDefault="009F3C25" w:rsidP="00486864">
      <w:pPr>
        <w:pStyle w:val="Beschriftung"/>
        <w:ind w:right="-24"/>
      </w:pPr>
      <w:r>
        <w:t xml:space="preserve">Figure </w:t>
      </w:r>
      <w:r w:rsidR="00B54355">
        <w:t>S</w:t>
      </w:r>
      <w:fldSimple w:instr=" SEQ Figure \* ARABIC ">
        <w:r w:rsidR="00EF6A59">
          <w:rPr>
            <w:noProof/>
          </w:rPr>
          <w:t>4</w:t>
        </w:r>
      </w:fldSimple>
      <w:r>
        <w:t xml:space="preserve">: </w:t>
      </w:r>
      <w:r w:rsidRPr="00CC4395">
        <w:t>Embodied emissions of non-EU ethylene facilities</w:t>
      </w:r>
      <w:r>
        <w:t xml:space="preserve"> c</w:t>
      </w:r>
      <w:r w:rsidRPr="00CC4395">
        <w:t xml:space="preserve">alculated from cradle-to-border greenhouse gas emission data according to the </w:t>
      </w:r>
      <w:r w:rsidR="006774C1">
        <w:rPr>
          <w:i w:val="0"/>
        </w:rPr>
        <w:t>chemicals covered + h</w:t>
      </w:r>
      <w:r>
        <w:rPr>
          <w:i w:val="0"/>
        </w:rPr>
        <w:t xml:space="preserve">igh fallback </w:t>
      </w:r>
      <w:r w:rsidRPr="005A3D64">
        <w:t>design</w:t>
      </w:r>
      <w:r w:rsidR="005A3D64" w:rsidRPr="005A3D64">
        <w:t xml:space="preserve">. </w:t>
      </w:r>
      <w:r w:rsidRPr="005A3D64">
        <w:t>A perfect</w:t>
      </w:r>
      <w:r w:rsidRPr="00CC4395">
        <w:t xml:space="preserve"> CBAM would cover cradle-to-border greenhouse gas emissions exactly. “</w:t>
      </w:r>
      <w:r>
        <w:t>Self-profiting reporting behavior</w:t>
      </w:r>
      <w:r w:rsidRPr="00CC4395">
        <w:t xml:space="preserve">” assumes that facilities supply </w:t>
      </w:r>
      <w:r>
        <w:t xml:space="preserve">baseline </w:t>
      </w:r>
      <w:r w:rsidRPr="00CC4395">
        <w:t xml:space="preserve">data only </w:t>
      </w:r>
      <w:r>
        <w:t xml:space="preserve">if it results in lower embodied emissions than the </w:t>
      </w:r>
      <w:r w:rsidRPr="00CC4395">
        <w:t xml:space="preserve">fallback </w:t>
      </w:r>
      <w:r>
        <w:t>value</w:t>
      </w:r>
      <w:r w:rsidRPr="00CC4395">
        <w:t>.</w:t>
      </w:r>
    </w:p>
    <w:p w14:paraId="5F121257" w14:textId="77777777" w:rsidR="009F3C25" w:rsidRDefault="00095B1F" w:rsidP="00486864">
      <w:pPr>
        <w:keepNext/>
        <w:ind w:right="-24"/>
      </w:pPr>
      <w:r>
        <w:rPr>
          <w:noProof/>
        </w:rPr>
        <w:lastRenderedPageBreak/>
        <w:drawing>
          <wp:inline distT="0" distB="0" distL="0" distR="0" wp14:anchorId="6894DB3D" wp14:editId="78A0875E">
            <wp:extent cx="5625182" cy="2422524"/>
            <wp:effectExtent l="0" t="0" r="0" b="0"/>
            <wp:docPr id="126898589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85896" name="Grafik 2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625182" cy="2422524"/>
                    </a:xfrm>
                    <a:prstGeom prst="rect">
                      <a:avLst/>
                    </a:prstGeom>
                    <a:noFill/>
                    <a:ln>
                      <a:noFill/>
                    </a:ln>
                  </pic:spPr>
                </pic:pic>
              </a:graphicData>
            </a:graphic>
          </wp:inline>
        </w:drawing>
      </w:r>
    </w:p>
    <w:p w14:paraId="3EEF1DE2" w14:textId="23B6EC66" w:rsidR="00095B1F" w:rsidRDefault="009F3C25" w:rsidP="00486864">
      <w:pPr>
        <w:pStyle w:val="Beschriftung"/>
        <w:ind w:right="-24"/>
      </w:pPr>
      <w:r>
        <w:t xml:space="preserve">Figure </w:t>
      </w:r>
      <w:r w:rsidR="00B54355">
        <w:t>S</w:t>
      </w:r>
      <w:fldSimple w:instr=" SEQ Figure \* ARABIC ">
        <w:r w:rsidR="00EF6A59">
          <w:rPr>
            <w:noProof/>
          </w:rPr>
          <w:t>5</w:t>
        </w:r>
      </w:fldSimple>
      <w:r>
        <w:t xml:space="preserve">: </w:t>
      </w:r>
      <w:r w:rsidRPr="00CC4395">
        <w:t xml:space="preserve">Embodied emissions of non-EU </w:t>
      </w:r>
      <w:r>
        <w:t>poly</w:t>
      </w:r>
      <w:r w:rsidRPr="00CC4395">
        <w:t>ethylene facilities</w:t>
      </w:r>
      <w:r>
        <w:t xml:space="preserve"> c</w:t>
      </w:r>
      <w:r w:rsidRPr="00CC4395">
        <w:t>alculated from cradle-to-border greenhouse gas emission data</w:t>
      </w:r>
      <w:r w:rsidR="005A3D64">
        <w:t xml:space="preserve"> </w:t>
      </w:r>
      <w:r w:rsidRPr="00CC4395">
        <w:t xml:space="preserve">according to the </w:t>
      </w:r>
      <w:r w:rsidR="006774C1">
        <w:rPr>
          <w:i w:val="0"/>
        </w:rPr>
        <w:t>chemicals covered + h</w:t>
      </w:r>
      <w:r>
        <w:rPr>
          <w:i w:val="0"/>
        </w:rPr>
        <w:t xml:space="preserve">igh fallback </w:t>
      </w:r>
      <w:r>
        <w:t>design</w:t>
      </w:r>
      <w:r w:rsidR="005A3D64">
        <w:t xml:space="preserve">. </w:t>
      </w:r>
      <w:r w:rsidRPr="00CC4395">
        <w:t>A perfect CBAM would cover cradle-to-border greenhouse gas emissions exactly. “</w:t>
      </w:r>
      <w:r>
        <w:t>Self-profiting reporting behavior</w:t>
      </w:r>
      <w:r w:rsidRPr="00CC4395">
        <w:t xml:space="preserve">” assumes that facilities supply </w:t>
      </w:r>
      <w:r>
        <w:t xml:space="preserve">baseline </w:t>
      </w:r>
      <w:r w:rsidRPr="00CC4395">
        <w:t xml:space="preserve">data only </w:t>
      </w:r>
      <w:r>
        <w:t xml:space="preserve">if it results in lower embodied emissions than the </w:t>
      </w:r>
      <w:r w:rsidRPr="00CC4395">
        <w:t xml:space="preserve">fallback </w:t>
      </w:r>
      <w:r>
        <w:t>value</w:t>
      </w:r>
      <w:r w:rsidRPr="00CC4395">
        <w:t>.</w:t>
      </w:r>
    </w:p>
    <w:p w14:paraId="500D1A18" w14:textId="04A284D6" w:rsidR="001D0C2B" w:rsidRDefault="001D0C2B" w:rsidP="00EB4685">
      <w:pPr>
        <w:pStyle w:val="berschrift2"/>
      </w:pPr>
      <w:r>
        <w:t xml:space="preserve">S4.5 Embodied emissions in </w:t>
      </w:r>
      <w:r w:rsidRPr="00EB4685">
        <w:rPr>
          <w:i/>
        </w:rPr>
        <w:t xml:space="preserve">chemicals </w:t>
      </w:r>
      <w:r>
        <w:rPr>
          <w:i/>
        </w:rPr>
        <w:t xml:space="preserve">&amp; feedstocks </w:t>
      </w:r>
      <w:r w:rsidRPr="00EB4685">
        <w:rPr>
          <w:i/>
        </w:rPr>
        <w:t>covered + high fallback</w:t>
      </w:r>
      <w:r>
        <w:t xml:space="preserve"> design</w:t>
      </w:r>
    </w:p>
    <w:p w14:paraId="142ACEF1" w14:textId="00FEF517" w:rsidR="00B54355" w:rsidRDefault="00B54355" w:rsidP="00B54355">
      <w:pPr>
        <w:keepNext/>
        <w:ind w:right="-24"/>
      </w:pPr>
      <w:r>
        <w:rPr>
          <w:noProof/>
        </w:rPr>
        <w:drawing>
          <wp:inline distT="0" distB="0" distL="0" distR="0" wp14:anchorId="536F4301" wp14:editId="7F158BC9">
            <wp:extent cx="5637287" cy="2427737"/>
            <wp:effectExtent l="0" t="0" r="1905" b="0"/>
            <wp:docPr id="19076571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57119"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7287" cy="2427737"/>
                    </a:xfrm>
                    <a:prstGeom prst="rect">
                      <a:avLst/>
                    </a:prstGeom>
                  </pic:spPr>
                </pic:pic>
              </a:graphicData>
            </a:graphic>
          </wp:inline>
        </w:drawing>
      </w:r>
    </w:p>
    <w:p w14:paraId="0EDF2DA3" w14:textId="11271756" w:rsidR="00B54355" w:rsidRDefault="00B54355" w:rsidP="00B54355">
      <w:pPr>
        <w:pStyle w:val="Beschriftung"/>
        <w:ind w:right="-24"/>
      </w:pPr>
      <w:r>
        <w:t>Figure S</w:t>
      </w:r>
      <w:fldSimple w:instr=" SEQ Figure \* ARABIC ">
        <w:r w:rsidR="00EF6A59">
          <w:rPr>
            <w:noProof/>
          </w:rPr>
          <w:t>6</w:t>
        </w:r>
      </w:fldSimple>
      <w:r>
        <w:t xml:space="preserve">: </w:t>
      </w:r>
      <w:r w:rsidRPr="00CC4395">
        <w:t>Embodied emissions of non-EU</w:t>
      </w:r>
      <w:r>
        <w:t xml:space="preserve"> </w:t>
      </w:r>
      <w:r w:rsidRPr="00CC4395">
        <w:t>ethylene facilities</w:t>
      </w:r>
      <w:r>
        <w:t xml:space="preserve"> c</w:t>
      </w:r>
      <w:r w:rsidRPr="00CC4395">
        <w:t xml:space="preserve">alculated from cradle-to-border greenhouse gas emission data according to the </w:t>
      </w:r>
      <w:r w:rsidR="00C46830">
        <w:rPr>
          <w:i w:val="0"/>
        </w:rPr>
        <w:t>chemicals &amp; feedstocks covered + high fallback</w:t>
      </w:r>
      <w:r>
        <w:rPr>
          <w:i w:val="0"/>
        </w:rPr>
        <w:t xml:space="preserve"> </w:t>
      </w:r>
      <w:r>
        <w:t>design</w:t>
      </w:r>
      <w:r w:rsidR="005A3D64">
        <w:t xml:space="preserve">. </w:t>
      </w:r>
      <w:r w:rsidRPr="00CC4395">
        <w:t>A perfect CBAM would cover cradle-to-border greenhouse gas emissions exactly. “</w:t>
      </w:r>
      <w:r>
        <w:t>Self-profiting reporting behavior</w:t>
      </w:r>
      <w:r w:rsidRPr="00CC4395">
        <w:t xml:space="preserve">” assumes that facilities supply </w:t>
      </w:r>
      <w:r>
        <w:t xml:space="preserve">baseline </w:t>
      </w:r>
      <w:r w:rsidRPr="00CC4395">
        <w:t xml:space="preserve">data only </w:t>
      </w:r>
      <w:r>
        <w:t xml:space="preserve">if it results in lower embodied emissions than the </w:t>
      </w:r>
      <w:r w:rsidRPr="00CC4395">
        <w:t xml:space="preserve">fallback </w:t>
      </w:r>
      <w:r>
        <w:t>value</w:t>
      </w:r>
      <w:r w:rsidRPr="00CC4395">
        <w:t>.</w:t>
      </w:r>
    </w:p>
    <w:p w14:paraId="4951A275" w14:textId="22E66C5B" w:rsidR="00B54355" w:rsidRDefault="00B54355" w:rsidP="00B54355">
      <w:pPr>
        <w:pStyle w:val="Beschriftung"/>
      </w:pPr>
    </w:p>
    <w:p w14:paraId="31F3A19E" w14:textId="77777777" w:rsidR="00B54355" w:rsidRDefault="00B54355" w:rsidP="00B54355">
      <w:pPr>
        <w:keepNext/>
        <w:ind w:right="-24"/>
      </w:pPr>
      <w:r>
        <w:rPr>
          <w:noProof/>
        </w:rPr>
        <w:lastRenderedPageBreak/>
        <w:drawing>
          <wp:inline distT="0" distB="0" distL="0" distR="0" wp14:anchorId="2BA179A6" wp14:editId="01679D98">
            <wp:extent cx="5637287" cy="2427737"/>
            <wp:effectExtent l="0" t="0" r="1905" b="0"/>
            <wp:docPr id="196624582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45822"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7287" cy="2427737"/>
                    </a:xfrm>
                    <a:prstGeom prst="rect">
                      <a:avLst/>
                    </a:prstGeom>
                  </pic:spPr>
                </pic:pic>
              </a:graphicData>
            </a:graphic>
          </wp:inline>
        </w:drawing>
      </w:r>
    </w:p>
    <w:p w14:paraId="77A2CDDF" w14:textId="6054F2B7" w:rsidR="00E3356D" w:rsidRDefault="00B54355" w:rsidP="00B54355">
      <w:pPr>
        <w:pStyle w:val="Beschriftung"/>
      </w:pPr>
      <w:r>
        <w:t>Figure S</w:t>
      </w:r>
      <w:fldSimple w:instr=" SEQ Figure \* ARABIC ">
        <w:r w:rsidR="00EF6A59">
          <w:rPr>
            <w:noProof/>
          </w:rPr>
          <w:t>7</w:t>
        </w:r>
      </w:fldSimple>
      <w:r>
        <w:t xml:space="preserve">: </w:t>
      </w:r>
      <w:r w:rsidRPr="00CC4395">
        <w:t xml:space="preserve">Embodied emissions of non-EU </w:t>
      </w:r>
      <w:r>
        <w:t>poly</w:t>
      </w:r>
      <w:r w:rsidRPr="00CC4395">
        <w:t>ethylene facilities</w:t>
      </w:r>
      <w:r>
        <w:t xml:space="preserve"> c</w:t>
      </w:r>
      <w:r w:rsidRPr="00CC4395">
        <w:t xml:space="preserve">alculated from cradle-to-border greenhouse gas emission data according to the </w:t>
      </w:r>
      <w:r w:rsidR="00C46830">
        <w:rPr>
          <w:i w:val="0"/>
        </w:rPr>
        <w:t xml:space="preserve">chemicals &amp; feedstocks covered + high fallback </w:t>
      </w:r>
      <w:r>
        <w:t>design</w:t>
      </w:r>
      <w:r w:rsidR="005A3D64">
        <w:t xml:space="preserve">. </w:t>
      </w:r>
      <w:r w:rsidRPr="00CC4395">
        <w:t>A perfect CBAM would cover cradle-to-border greenhouse gas emissions exactly. “</w:t>
      </w:r>
      <w:r>
        <w:t>Self-profiting reporting behavior</w:t>
      </w:r>
      <w:r w:rsidRPr="00CC4395">
        <w:t xml:space="preserve">” assumes that facilities supply </w:t>
      </w:r>
      <w:r>
        <w:t xml:space="preserve">baseline </w:t>
      </w:r>
      <w:r w:rsidRPr="00CC4395">
        <w:t xml:space="preserve">data only </w:t>
      </w:r>
      <w:r>
        <w:t xml:space="preserve">if it results in lower embodied emissions than the </w:t>
      </w:r>
      <w:r w:rsidRPr="00CC4395">
        <w:t xml:space="preserve">fallback </w:t>
      </w:r>
      <w:r>
        <w:t>value</w:t>
      </w:r>
      <w:r w:rsidRPr="00CC4395">
        <w:t>.</w:t>
      </w:r>
    </w:p>
    <w:p w14:paraId="3492C218" w14:textId="6E541CFF" w:rsidR="00095B1F" w:rsidRDefault="003D1311" w:rsidP="004B0BC7">
      <w:pPr>
        <w:pStyle w:val="berschrift2"/>
      </w:pPr>
      <w:r>
        <w:t>S4.</w:t>
      </w:r>
      <w:r w:rsidR="001D0C2B">
        <w:t>6</w:t>
      </w:r>
      <w:r>
        <w:t xml:space="preserve"> </w:t>
      </w:r>
      <w:r w:rsidR="00080119">
        <w:t>Emission coverage</w:t>
      </w:r>
      <w:r w:rsidR="00095B1F">
        <w:t xml:space="preserve"> </w:t>
      </w:r>
      <w:r w:rsidR="0052081F">
        <w:t>as a function of mark-up</w:t>
      </w:r>
    </w:p>
    <w:p w14:paraId="7366A9BB" w14:textId="77777777" w:rsidR="00080119" w:rsidRDefault="00080119" w:rsidP="00080119">
      <w:pPr>
        <w:keepNext/>
        <w:ind w:right="-24"/>
      </w:pPr>
      <w:r>
        <w:rPr>
          <w:noProof/>
        </w:rPr>
        <w:drawing>
          <wp:inline distT="0" distB="0" distL="0" distR="0" wp14:anchorId="08D3425E" wp14:editId="6A275152">
            <wp:extent cx="4201858" cy="4931902"/>
            <wp:effectExtent l="0" t="0" r="8255" b="2540"/>
            <wp:docPr id="9372893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89391" name="Grafik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201858" cy="4931902"/>
                    </a:xfrm>
                    <a:prstGeom prst="rect">
                      <a:avLst/>
                    </a:prstGeom>
                    <a:noFill/>
                    <a:ln>
                      <a:noFill/>
                    </a:ln>
                  </pic:spPr>
                </pic:pic>
              </a:graphicData>
            </a:graphic>
          </wp:inline>
        </w:drawing>
      </w:r>
    </w:p>
    <w:p w14:paraId="775BA5EE" w14:textId="36AE5DB0" w:rsidR="00095B1F" w:rsidRPr="00721814" w:rsidRDefault="00080119" w:rsidP="00721814">
      <w:pPr>
        <w:pStyle w:val="Beschriftung"/>
        <w:ind w:right="-24"/>
      </w:pPr>
      <w:r>
        <w:t xml:space="preserve">Figure </w:t>
      </w:r>
      <w:r w:rsidR="00B54355">
        <w:t>S</w:t>
      </w:r>
      <w:fldSimple w:instr=" SEQ Figure \* ARABIC ">
        <w:r w:rsidR="00EF6A59">
          <w:rPr>
            <w:noProof/>
          </w:rPr>
          <w:t>8</w:t>
        </w:r>
      </w:fldSimple>
      <w:r>
        <w:t>: Emission coverage under self-profiting reporting behavior as a function of the mark-up applied to fallback values. With increasing mark-up, more facilities are incentivized to provide baseline embodied emissions data. Consequently, the self-profiting reporting behavior emission coverage approaches the baseline design emission coverage.</w:t>
      </w:r>
    </w:p>
    <w:sdt>
      <w:sdtPr>
        <w:rPr>
          <w:rFonts w:asciiTheme="minorHAnsi" w:eastAsiaTheme="minorHAnsi" w:hAnsiTheme="minorHAnsi" w:cstheme="minorBidi"/>
          <w:color w:val="auto"/>
          <w:sz w:val="22"/>
          <w:szCs w:val="22"/>
        </w:rPr>
        <w:tag w:val="CitaviBibliography"/>
        <w:id w:val="193580406"/>
        <w:placeholder>
          <w:docPart w:val="DefaultPlaceholder_-1854013440"/>
        </w:placeholder>
      </w:sdtPr>
      <w:sdtContent>
        <w:p w14:paraId="66CAFB90" w14:textId="77777777" w:rsidR="0041400B" w:rsidRDefault="00721814" w:rsidP="0041400B">
          <w:pPr>
            <w:pStyle w:val="CitaviBibliographyHeading"/>
          </w:pPr>
          <w:r>
            <w:rPr>
              <w:rFonts w:eastAsiaTheme="minorHAnsi"/>
            </w:rPr>
            <w:t xml:space="preserve">S5 </w:t>
          </w:r>
          <w:r w:rsidR="00C60527">
            <w:fldChar w:fldCharType="begin"/>
          </w:r>
          <w:r w:rsidR="00C60527">
            <w:instrText>ADDIN CitaviBibliography</w:instrText>
          </w:r>
          <w:r w:rsidR="00C60527">
            <w:fldChar w:fldCharType="separate"/>
          </w:r>
          <w:r w:rsidR="0041400B">
            <w:t>References</w:t>
          </w:r>
        </w:p>
        <w:p w14:paraId="6AF6D7E0" w14:textId="77777777" w:rsidR="0041400B" w:rsidRDefault="0041400B" w:rsidP="0041400B">
          <w:pPr>
            <w:pStyle w:val="CitaviBibliographyEntry"/>
          </w:pPr>
          <w:r>
            <w:t>1.</w:t>
          </w:r>
          <w:r>
            <w:tab/>
          </w:r>
          <w:bookmarkStart w:id="1" w:name="_CTVL00170f0cfc61eb5488bb2ee4e8e2fd159ef"/>
          <w:r w:rsidRPr="0041400B">
            <w:rPr>
              <w:i/>
            </w:rPr>
            <w:t xml:space="preserve">Corrigendum to Commission Implementing Regulation (EU) 2021/1832 of 12 October 2021 amending Annex I to Council Regulation (EEC) No 2658/87 on the tariff and statistical nomenclature and on the Common Customs Tariff </w:t>
          </w:r>
          <w:bookmarkEnd w:id="1"/>
          <w:r w:rsidRPr="0041400B">
            <w:t>(2021).</w:t>
          </w:r>
        </w:p>
        <w:p w14:paraId="4393C3B2" w14:textId="01641D53" w:rsidR="00C60527" w:rsidRDefault="0041400B" w:rsidP="0041400B">
          <w:pPr>
            <w:pStyle w:val="CitaviBibliographyEntry"/>
          </w:pPr>
          <w:r>
            <w:t>2.</w:t>
          </w:r>
          <w:r>
            <w:tab/>
          </w:r>
          <w:bookmarkStart w:id="2" w:name="_CTVL001b739f6686e6d47cabc4f81d7b5fd6b7f"/>
          <w:r w:rsidRPr="0041400B">
            <w:rPr>
              <w:i/>
            </w:rPr>
            <w:t xml:space="preserve">Carbon border adjustment mechanism ***I Amendments adopted by the European Parliament on 22 June 2022 on the proposal for a regulation of the European Parliament and of the Council establishing a carbon border adjustment mechanismn(COM(2021)0564 - C9-0328/2021 - 2021/0214(COD)) </w:t>
          </w:r>
          <w:bookmarkEnd w:id="2"/>
          <w:r w:rsidRPr="0041400B">
            <w:t>(2022).</w:t>
          </w:r>
          <w:r w:rsidR="00C60527">
            <w:fldChar w:fldCharType="end"/>
          </w:r>
        </w:p>
      </w:sdtContent>
    </w:sdt>
    <w:p w14:paraId="767B7825" w14:textId="77777777" w:rsidR="00C60527" w:rsidRPr="00095B1F" w:rsidRDefault="00C60527" w:rsidP="00486864">
      <w:pPr>
        <w:ind w:right="-24"/>
      </w:pPr>
    </w:p>
    <w:sectPr w:rsidR="00C60527" w:rsidRPr="00095B1F" w:rsidSect="00D130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DAE3A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D815A5"/>
    <w:multiLevelType w:val="hybridMultilevel"/>
    <w:tmpl w:val="0FD831CA"/>
    <w:lvl w:ilvl="0" w:tplc="59546AE4">
      <w:start w:val="1"/>
      <w:numFmt w:val="bullet"/>
      <w:lvlText w:val="•"/>
      <w:lvlJc w:val="left"/>
      <w:pPr>
        <w:tabs>
          <w:tab w:val="num" w:pos="720"/>
        </w:tabs>
        <w:ind w:left="720" w:hanging="360"/>
      </w:pPr>
      <w:rPr>
        <w:rFonts w:ascii="Arial" w:hAnsi="Arial" w:hint="default"/>
      </w:rPr>
    </w:lvl>
    <w:lvl w:ilvl="1" w:tplc="4A005FC2" w:tentative="1">
      <w:start w:val="1"/>
      <w:numFmt w:val="bullet"/>
      <w:lvlText w:val="•"/>
      <w:lvlJc w:val="left"/>
      <w:pPr>
        <w:tabs>
          <w:tab w:val="num" w:pos="1440"/>
        </w:tabs>
        <w:ind w:left="1440" w:hanging="360"/>
      </w:pPr>
      <w:rPr>
        <w:rFonts w:ascii="Arial" w:hAnsi="Arial" w:hint="default"/>
      </w:rPr>
    </w:lvl>
    <w:lvl w:ilvl="2" w:tplc="30D01EE0" w:tentative="1">
      <w:start w:val="1"/>
      <w:numFmt w:val="bullet"/>
      <w:lvlText w:val="•"/>
      <w:lvlJc w:val="left"/>
      <w:pPr>
        <w:tabs>
          <w:tab w:val="num" w:pos="2160"/>
        </w:tabs>
        <w:ind w:left="2160" w:hanging="360"/>
      </w:pPr>
      <w:rPr>
        <w:rFonts w:ascii="Arial" w:hAnsi="Arial" w:hint="default"/>
      </w:rPr>
    </w:lvl>
    <w:lvl w:ilvl="3" w:tplc="D7F2D9BA" w:tentative="1">
      <w:start w:val="1"/>
      <w:numFmt w:val="bullet"/>
      <w:lvlText w:val="•"/>
      <w:lvlJc w:val="left"/>
      <w:pPr>
        <w:tabs>
          <w:tab w:val="num" w:pos="2880"/>
        </w:tabs>
        <w:ind w:left="2880" w:hanging="360"/>
      </w:pPr>
      <w:rPr>
        <w:rFonts w:ascii="Arial" w:hAnsi="Arial" w:hint="default"/>
      </w:rPr>
    </w:lvl>
    <w:lvl w:ilvl="4" w:tplc="587E5DA6" w:tentative="1">
      <w:start w:val="1"/>
      <w:numFmt w:val="bullet"/>
      <w:lvlText w:val="•"/>
      <w:lvlJc w:val="left"/>
      <w:pPr>
        <w:tabs>
          <w:tab w:val="num" w:pos="3600"/>
        </w:tabs>
        <w:ind w:left="3600" w:hanging="360"/>
      </w:pPr>
      <w:rPr>
        <w:rFonts w:ascii="Arial" w:hAnsi="Arial" w:hint="default"/>
      </w:rPr>
    </w:lvl>
    <w:lvl w:ilvl="5" w:tplc="2FC2839C" w:tentative="1">
      <w:start w:val="1"/>
      <w:numFmt w:val="bullet"/>
      <w:lvlText w:val="•"/>
      <w:lvlJc w:val="left"/>
      <w:pPr>
        <w:tabs>
          <w:tab w:val="num" w:pos="4320"/>
        </w:tabs>
        <w:ind w:left="4320" w:hanging="360"/>
      </w:pPr>
      <w:rPr>
        <w:rFonts w:ascii="Arial" w:hAnsi="Arial" w:hint="default"/>
      </w:rPr>
    </w:lvl>
    <w:lvl w:ilvl="6" w:tplc="9EF6B81C" w:tentative="1">
      <w:start w:val="1"/>
      <w:numFmt w:val="bullet"/>
      <w:lvlText w:val="•"/>
      <w:lvlJc w:val="left"/>
      <w:pPr>
        <w:tabs>
          <w:tab w:val="num" w:pos="5040"/>
        </w:tabs>
        <w:ind w:left="5040" w:hanging="360"/>
      </w:pPr>
      <w:rPr>
        <w:rFonts w:ascii="Arial" w:hAnsi="Arial" w:hint="default"/>
      </w:rPr>
    </w:lvl>
    <w:lvl w:ilvl="7" w:tplc="A87E587C" w:tentative="1">
      <w:start w:val="1"/>
      <w:numFmt w:val="bullet"/>
      <w:lvlText w:val="•"/>
      <w:lvlJc w:val="left"/>
      <w:pPr>
        <w:tabs>
          <w:tab w:val="num" w:pos="5760"/>
        </w:tabs>
        <w:ind w:left="5760" w:hanging="360"/>
      </w:pPr>
      <w:rPr>
        <w:rFonts w:ascii="Arial" w:hAnsi="Arial" w:hint="default"/>
      </w:rPr>
    </w:lvl>
    <w:lvl w:ilvl="8" w:tplc="F7D658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A323EF"/>
    <w:multiLevelType w:val="hybridMultilevel"/>
    <w:tmpl w:val="7CF2CA30"/>
    <w:lvl w:ilvl="0" w:tplc="403EF30E">
      <w:start w:val="1"/>
      <w:numFmt w:val="bullet"/>
      <w:lvlText w:val="•"/>
      <w:lvlJc w:val="left"/>
      <w:pPr>
        <w:tabs>
          <w:tab w:val="num" w:pos="720"/>
        </w:tabs>
        <w:ind w:left="720" w:hanging="360"/>
      </w:pPr>
      <w:rPr>
        <w:rFonts w:ascii="Arial" w:hAnsi="Arial" w:hint="default"/>
      </w:rPr>
    </w:lvl>
    <w:lvl w:ilvl="1" w:tplc="E9142320" w:tentative="1">
      <w:start w:val="1"/>
      <w:numFmt w:val="bullet"/>
      <w:lvlText w:val="•"/>
      <w:lvlJc w:val="left"/>
      <w:pPr>
        <w:tabs>
          <w:tab w:val="num" w:pos="1440"/>
        </w:tabs>
        <w:ind w:left="1440" w:hanging="360"/>
      </w:pPr>
      <w:rPr>
        <w:rFonts w:ascii="Arial" w:hAnsi="Arial" w:hint="default"/>
      </w:rPr>
    </w:lvl>
    <w:lvl w:ilvl="2" w:tplc="CF14AEA0" w:tentative="1">
      <w:start w:val="1"/>
      <w:numFmt w:val="bullet"/>
      <w:lvlText w:val="•"/>
      <w:lvlJc w:val="left"/>
      <w:pPr>
        <w:tabs>
          <w:tab w:val="num" w:pos="2160"/>
        </w:tabs>
        <w:ind w:left="2160" w:hanging="360"/>
      </w:pPr>
      <w:rPr>
        <w:rFonts w:ascii="Arial" w:hAnsi="Arial" w:hint="default"/>
      </w:rPr>
    </w:lvl>
    <w:lvl w:ilvl="3" w:tplc="D6342604" w:tentative="1">
      <w:start w:val="1"/>
      <w:numFmt w:val="bullet"/>
      <w:lvlText w:val="•"/>
      <w:lvlJc w:val="left"/>
      <w:pPr>
        <w:tabs>
          <w:tab w:val="num" w:pos="2880"/>
        </w:tabs>
        <w:ind w:left="2880" w:hanging="360"/>
      </w:pPr>
      <w:rPr>
        <w:rFonts w:ascii="Arial" w:hAnsi="Arial" w:hint="default"/>
      </w:rPr>
    </w:lvl>
    <w:lvl w:ilvl="4" w:tplc="DF183690" w:tentative="1">
      <w:start w:val="1"/>
      <w:numFmt w:val="bullet"/>
      <w:lvlText w:val="•"/>
      <w:lvlJc w:val="left"/>
      <w:pPr>
        <w:tabs>
          <w:tab w:val="num" w:pos="3600"/>
        </w:tabs>
        <w:ind w:left="3600" w:hanging="360"/>
      </w:pPr>
      <w:rPr>
        <w:rFonts w:ascii="Arial" w:hAnsi="Arial" w:hint="default"/>
      </w:rPr>
    </w:lvl>
    <w:lvl w:ilvl="5" w:tplc="B2F84B88" w:tentative="1">
      <w:start w:val="1"/>
      <w:numFmt w:val="bullet"/>
      <w:lvlText w:val="•"/>
      <w:lvlJc w:val="left"/>
      <w:pPr>
        <w:tabs>
          <w:tab w:val="num" w:pos="4320"/>
        </w:tabs>
        <w:ind w:left="4320" w:hanging="360"/>
      </w:pPr>
      <w:rPr>
        <w:rFonts w:ascii="Arial" w:hAnsi="Arial" w:hint="default"/>
      </w:rPr>
    </w:lvl>
    <w:lvl w:ilvl="6" w:tplc="FA8A23D0" w:tentative="1">
      <w:start w:val="1"/>
      <w:numFmt w:val="bullet"/>
      <w:lvlText w:val="•"/>
      <w:lvlJc w:val="left"/>
      <w:pPr>
        <w:tabs>
          <w:tab w:val="num" w:pos="5040"/>
        </w:tabs>
        <w:ind w:left="5040" w:hanging="360"/>
      </w:pPr>
      <w:rPr>
        <w:rFonts w:ascii="Arial" w:hAnsi="Arial" w:hint="default"/>
      </w:rPr>
    </w:lvl>
    <w:lvl w:ilvl="7" w:tplc="6D9EB74C" w:tentative="1">
      <w:start w:val="1"/>
      <w:numFmt w:val="bullet"/>
      <w:lvlText w:val="•"/>
      <w:lvlJc w:val="left"/>
      <w:pPr>
        <w:tabs>
          <w:tab w:val="num" w:pos="5760"/>
        </w:tabs>
        <w:ind w:left="5760" w:hanging="360"/>
      </w:pPr>
      <w:rPr>
        <w:rFonts w:ascii="Arial" w:hAnsi="Arial" w:hint="default"/>
      </w:rPr>
    </w:lvl>
    <w:lvl w:ilvl="8" w:tplc="5364A5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D66307"/>
    <w:multiLevelType w:val="hybridMultilevel"/>
    <w:tmpl w:val="F9E68076"/>
    <w:lvl w:ilvl="0" w:tplc="7E02B5B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D45E6"/>
    <w:multiLevelType w:val="hybridMultilevel"/>
    <w:tmpl w:val="2A9AA168"/>
    <w:lvl w:ilvl="0" w:tplc="7AA2FB7E">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43A01"/>
    <w:multiLevelType w:val="hybridMultilevel"/>
    <w:tmpl w:val="4610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D7BBF"/>
    <w:multiLevelType w:val="hybridMultilevel"/>
    <w:tmpl w:val="22A0C8CA"/>
    <w:lvl w:ilvl="0" w:tplc="7E02B5B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E6D5A"/>
    <w:multiLevelType w:val="hybridMultilevel"/>
    <w:tmpl w:val="752EC050"/>
    <w:lvl w:ilvl="0" w:tplc="EFFC213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63A6F"/>
    <w:multiLevelType w:val="hybridMultilevel"/>
    <w:tmpl w:val="2AD6B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87BDD"/>
    <w:multiLevelType w:val="hybridMultilevel"/>
    <w:tmpl w:val="3E9C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F28DA"/>
    <w:multiLevelType w:val="hybridMultilevel"/>
    <w:tmpl w:val="FAD8F78C"/>
    <w:lvl w:ilvl="0" w:tplc="5F7E0202">
      <w:start w:val="1"/>
      <w:numFmt w:val="bullet"/>
      <w:lvlText w:val=""/>
      <w:lvlJc w:val="left"/>
      <w:pPr>
        <w:tabs>
          <w:tab w:val="num" w:pos="720"/>
        </w:tabs>
        <w:ind w:left="720" w:hanging="360"/>
      </w:pPr>
      <w:rPr>
        <w:rFonts w:ascii="Symbol" w:hAnsi="Symbol" w:hint="default"/>
      </w:rPr>
    </w:lvl>
    <w:lvl w:ilvl="1" w:tplc="783AEB86">
      <w:start w:val="1"/>
      <w:numFmt w:val="bullet"/>
      <w:lvlText w:val=""/>
      <w:lvlJc w:val="left"/>
      <w:pPr>
        <w:tabs>
          <w:tab w:val="num" w:pos="1440"/>
        </w:tabs>
        <w:ind w:left="1440" w:hanging="360"/>
      </w:pPr>
      <w:rPr>
        <w:rFonts w:ascii="Symbol" w:hAnsi="Symbol" w:hint="default"/>
      </w:rPr>
    </w:lvl>
    <w:lvl w:ilvl="2" w:tplc="FAF085C2" w:tentative="1">
      <w:start w:val="1"/>
      <w:numFmt w:val="bullet"/>
      <w:lvlText w:val=""/>
      <w:lvlJc w:val="left"/>
      <w:pPr>
        <w:tabs>
          <w:tab w:val="num" w:pos="2160"/>
        </w:tabs>
        <w:ind w:left="2160" w:hanging="360"/>
      </w:pPr>
      <w:rPr>
        <w:rFonts w:ascii="Symbol" w:hAnsi="Symbol" w:hint="default"/>
      </w:rPr>
    </w:lvl>
    <w:lvl w:ilvl="3" w:tplc="F58A5578" w:tentative="1">
      <w:start w:val="1"/>
      <w:numFmt w:val="bullet"/>
      <w:lvlText w:val=""/>
      <w:lvlJc w:val="left"/>
      <w:pPr>
        <w:tabs>
          <w:tab w:val="num" w:pos="2880"/>
        </w:tabs>
        <w:ind w:left="2880" w:hanging="360"/>
      </w:pPr>
      <w:rPr>
        <w:rFonts w:ascii="Symbol" w:hAnsi="Symbol" w:hint="default"/>
      </w:rPr>
    </w:lvl>
    <w:lvl w:ilvl="4" w:tplc="4458517A" w:tentative="1">
      <w:start w:val="1"/>
      <w:numFmt w:val="bullet"/>
      <w:lvlText w:val=""/>
      <w:lvlJc w:val="left"/>
      <w:pPr>
        <w:tabs>
          <w:tab w:val="num" w:pos="3600"/>
        </w:tabs>
        <w:ind w:left="3600" w:hanging="360"/>
      </w:pPr>
      <w:rPr>
        <w:rFonts w:ascii="Symbol" w:hAnsi="Symbol" w:hint="default"/>
      </w:rPr>
    </w:lvl>
    <w:lvl w:ilvl="5" w:tplc="1E8896C4" w:tentative="1">
      <w:start w:val="1"/>
      <w:numFmt w:val="bullet"/>
      <w:lvlText w:val=""/>
      <w:lvlJc w:val="left"/>
      <w:pPr>
        <w:tabs>
          <w:tab w:val="num" w:pos="4320"/>
        </w:tabs>
        <w:ind w:left="4320" w:hanging="360"/>
      </w:pPr>
      <w:rPr>
        <w:rFonts w:ascii="Symbol" w:hAnsi="Symbol" w:hint="default"/>
      </w:rPr>
    </w:lvl>
    <w:lvl w:ilvl="6" w:tplc="7996CF54" w:tentative="1">
      <w:start w:val="1"/>
      <w:numFmt w:val="bullet"/>
      <w:lvlText w:val=""/>
      <w:lvlJc w:val="left"/>
      <w:pPr>
        <w:tabs>
          <w:tab w:val="num" w:pos="5040"/>
        </w:tabs>
        <w:ind w:left="5040" w:hanging="360"/>
      </w:pPr>
      <w:rPr>
        <w:rFonts w:ascii="Symbol" w:hAnsi="Symbol" w:hint="default"/>
      </w:rPr>
    </w:lvl>
    <w:lvl w:ilvl="7" w:tplc="6E565A8A" w:tentative="1">
      <w:start w:val="1"/>
      <w:numFmt w:val="bullet"/>
      <w:lvlText w:val=""/>
      <w:lvlJc w:val="left"/>
      <w:pPr>
        <w:tabs>
          <w:tab w:val="num" w:pos="5760"/>
        </w:tabs>
        <w:ind w:left="5760" w:hanging="360"/>
      </w:pPr>
      <w:rPr>
        <w:rFonts w:ascii="Symbol" w:hAnsi="Symbol" w:hint="default"/>
      </w:rPr>
    </w:lvl>
    <w:lvl w:ilvl="8" w:tplc="B24802A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FBE0338"/>
    <w:multiLevelType w:val="hybridMultilevel"/>
    <w:tmpl w:val="4E62646A"/>
    <w:lvl w:ilvl="0" w:tplc="7E02B5B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995752">
    <w:abstractNumId w:val="2"/>
  </w:num>
  <w:num w:numId="2" w16cid:durableId="1072703095">
    <w:abstractNumId w:val="1"/>
  </w:num>
  <w:num w:numId="3" w16cid:durableId="1787774685">
    <w:abstractNumId w:val="3"/>
  </w:num>
  <w:num w:numId="4" w16cid:durableId="341513530">
    <w:abstractNumId w:val="7"/>
  </w:num>
  <w:num w:numId="5" w16cid:durableId="253132419">
    <w:abstractNumId w:val="4"/>
  </w:num>
  <w:num w:numId="6" w16cid:durableId="944995289">
    <w:abstractNumId w:val="11"/>
  </w:num>
  <w:num w:numId="7" w16cid:durableId="1579636879">
    <w:abstractNumId w:val="6"/>
  </w:num>
  <w:num w:numId="8" w16cid:durableId="655039569">
    <w:abstractNumId w:val="10"/>
  </w:num>
  <w:num w:numId="9" w16cid:durableId="1685014157">
    <w:abstractNumId w:val="8"/>
  </w:num>
  <w:num w:numId="10" w16cid:durableId="648362233">
    <w:abstractNumId w:val="0"/>
  </w:num>
  <w:num w:numId="11" w16cid:durableId="438185420">
    <w:abstractNumId w:val="5"/>
  </w:num>
  <w:num w:numId="12" w16cid:durableId="1962223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zMLc0NLcwMLA0tjBW0lEKTi0uzszPAykwrAUATQdkECwAAAA="/>
  </w:docVars>
  <w:rsids>
    <w:rsidRoot w:val="00FE3FDF"/>
    <w:rsid w:val="00000EC6"/>
    <w:rsid w:val="00001202"/>
    <w:rsid w:val="00004CAB"/>
    <w:rsid w:val="00006C94"/>
    <w:rsid w:val="00007FBA"/>
    <w:rsid w:val="000119B3"/>
    <w:rsid w:val="0001429A"/>
    <w:rsid w:val="00015F45"/>
    <w:rsid w:val="00020FE2"/>
    <w:rsid w:val="00023ACF"/>
    <w:rsid w:val="000268A7"/>
    <w:rsid w:val="000269E4"/>
    <w:rsid w:val="000317C7"/>
    <w:rsid w:val="000351D1"/>
    <w:rsid w:val="00040695"/>
    <w:rsid w:val="000431A1"/>
    <w:rsid w:val="00043778"/>
    <w:rsid w:val="000459E2"/>
    <w:rsid w:val="00045F45"/>
    <w:rsid w:val="000511B6"/>
    <w:rsid w:val="000608B2"/>
    <w:rsid w:val="000626A6"/>
    <w:rsid w:val="000649DD"/>
    <w:rsid w:val="00080119"/>
    <w:rsid w:val="000913AE"/>
    <w:rsid w:val="00095B1F"/>
    <w:rsid w:val="000969E1"/>
    <w:rsid w:val="000974CB"/>
    <w:rsid w:val="000A1233"/>
    <w:rsid w:val="000D4F2A"/>
    <w:rsid w:val="000E48F7"/>
    <w:rsid w:val="000E760D"/>
    <w:rsid w:val="000F7B6A"/>
    <w:rsid w:val="00102533"/>
    <w:rsid w:val="001049FC"/>
    <w:rsid w:val="00105E38"/>
    <w:rsid w:val="00110849"/>
    <w:rsid w:val="00120DA3"/>
    <w:rsid w:val="00126DA7"/>
    <w:rsid w:val="0013502E"/>
    <w:rsid w:val="00142708"/>
    <w:rsid w:val="00150516"/>
    <w:rsid w:val="00152319"/>
    <w:rsid w:val="00156A1F"/>
    <w:rsid w:val="00156F5E"/>
    <w:rsid w:val="00180EFF"/>
    <w:rsid w:val="00180F12"/>
    <w:rsid w:val="00185FE2"/>
    <w:rsid w:val="00192854"/>
    <w:rsid w:val="001A1990"/>
    <w:rsid w:val="001B6668"/>
    <w:rsid w:val="001C2602"/>
    <w:rsid w:val="001D0C2B"/>
    <w:rsid w:val="001E0D21"/>
    <w:rsid w:val="001F3EA9"/>
    <w:rsid w:val="001F618B"/>
    <w:rsid w:val="00200FCC"/>
    <w:rsid w:val="002020F2"/>
    <w:rsid w:val="0020359F"/>
    <w:rsid w:val="002137D5"/>
    <w:rsid w:val="00221387"/>
    <w:rsid w:val="00230034"/>
    <w:rsid w:val="00230D1E"/>
    <w:rsid w:val="00237025"/>
    <w:rsid w:val="00237576"/>
    <w:rsid w:val="002427C2"/>
    <w:rsid w:val="00243FCB"/>
    <w:rsid w:val="00250E6E"/>
    <w:rsid w:val="002510C9"/>
    <w:rsid w:val="00257357"/>
    <w:rsid w:val="00262D9C"/>
    <w:rsid w:val="00266AD8"/>
    <w:rsid w:val="0027597F"/>
    <w:rsid w:val="002817F9"/>
    <w:rsid w:val="00284194"/>
    <w:rsid w:val="002A1306"/>
    <w:rsid w:val="002A1F8F"/>
    <w:rsid w:val="002A37FA"/>
    <w:rsid w:val="002A3C10"/>
    <w:rsid w:val="002A61ED"/>
    <w:rsid w:val="002B43D1"/>
    <w:rsid w:val="002B54CB"/>
    <w:rsid w:val="002B6743"/>
    <w:rsid w:val="002C0BBD"/>
    <w:rsid w:val="002C2B58"/>
    <w:rsid w:val="002D1366"/>
    <w:rsid w:val="002D5E6E"/>
    <w:rsid w:val="002E2D92"/>
    <w:rsid w:val="002E57F1"/>
    <w:rsid w:val="002E662F"/>
    <w:rsid w:val="002F438A"/>
    <w:rsid w:val="002F59D6"/>
    <w:rsid w:val="00301124"/>
    <w:rsid w:val="003112E4"/>
    <w:rsid w:val="00314B8B"/>
    <w:rsid w:val="00331753"/>
    <w:rsid w:val="003508B6"/>
    <w:rsid w:val="00355A16"/>
    <w:rsid w:val="0036544D"/>
    <w:rsid w:val="003856D6"/>
    <w:rsid w:val="003938CF"/>
    <w:rsid w:val="00393A51"/>
    <w:rsid w:val="003948C3"/>
    <w:rsid w:val="00394F9C"/>
    <w:rsid w:val="00396F75"/>
    <w:rsid w:val="00397AAB"/>
    <w:rsid w:val="003A016E"/>
    <w:rsid w:val="003A7843"/>
    <w:rsid w:val="003A7D9F"/>
    <w:rsid w:val="003B0828"/>
    <w:rsid w:val="003B2B0C"/>
    <w:rsid w:val="003C02FE"/>
    <w:rsid w:val="003C1E64"/>
    <w:rsid w:val="003C3A40"/>
    <w:rsid w:val="003D1151"/>
    <w:rsid w:val="003D1311"/>
    <w:rsid w:val="003D331B"/>
    <w:rsid w:val="003D356B"/>
    <w:rsid w:val="003E0027"/>
    <w:rsid w:val="003E1262"/>
    <w:rsid w:val="00402B89"/>
    <w:rsid w:val="0041400B"/>
    <w:rsid w:val="00415C54"/>
    <w:rsid w:val="00416300"/>
    <w:rsid w:val="004171C1"/>
    <w:rsid w:val="004174B2"/>
    <w:rsid w:val="00426C3C"/>
    <w:rsid w:val="004326FE"/>
    <w:rsid w:val="00436563"/>
    <w:rsid w:val="00442280"/>
    <w:rsid w:val="00450F80"/>
    <w:rsid w:val="00457401"/>
    <w:rsid w:val="00457B27"/>
    <w:rsid w:val="004615AE"/>
    <w:rsid w:val="004658B6"/>
    <w:rsid w:val="00472864"/>
    <w:rsid w:val="00477A8D"/>
    <w:rsid w:val="00481517"/>
    <w:rsid w:val="00486864"/>
    <w:rsid w:val="004A0BE1"/>
    <w:rsid w:val="004A0DB0"/>
    <w:rsid w:val="004A1098"/>
    <w:rsid w:val="004A25CA"/>
    <w:rsid w:val="004B0BC7"/>
    <w:rsid w:val="004B2CFD"/>
    <w:rsid w:val="004B7E73"/>
    <w:rsid w:val="004C0530"/>
    <w:rsid w:val="004C32D2"/>
    <w:rsid w:val="004C4762"/>
    <w:rsid w:val="004C5DDD"/>
    <w:rsid w:val="004D554E"/>
    <w:rsid w:val="004D623A"/>
    <w:rsid w:val="004D62BA"/>
    <w:rsid w:val="004E2047"/>
    <w:rsid w:val="004F2235"/>
    <w:rsid w:val="004F25B5"/>
    <w:rsid w:val="00502B3D"/>
    <w:rsid w:val="00516B49"/>
    <w:rsid w:val="0052081F"/>
    <w:rsid w:val="00521CF0"/>
    <w:rsid w:val="00521D0A"/>
    <w:rsid w:val="00522F7E"/>
    <w:rsid w:val="00531ACB"/>
    <w:rsid w:val="00533DBC"/>
    <w:rsid w:val="005357DF"/>
    <w:rsid w:val="00544E03"/>
    <w:rsid w:val="00576396"/>
    <w:rsid w:val="0058516D"/>
    <w:rsid w:val="0059754A"/>
    <w:rsid w:val="005A3D64"/>
    <w:rsid w:val="005B18AC"/>
    <w:rsid w:val="005C4531"/>
    <w:rsid w:val="005C5A7E"/>
    <w:rsid w:val="005C68A9"/>
    <w:rsid w:val="005E1F08"/>
    <w:rsid w:val="005E7F6D"/>
    <w:rsid w:val="005F2A12"/>
    <w:rsid w:val="00600FFA"/>
    <w:rsid w:val="00622146"/>
    <w:rsid w:val="0062785A"/>
    <w:rsid w:val="00635B24"/>
    <w:rsid w:val="006360BC"/>
    <w:rsid w:val="00655160"/>
    <w:rsid w:val="00660951"/>
    <w:rsid w:val="00665E08"/>
    <w:rsid w:val="006677D9"/>
    <w:rsid w:val="0067626E"/>
    <w:rsid w:val="006774C1"/>
    <w:rsid w:val="006774EB"/>
    <w:rsid w:val="00680628"/>
    <w:rsid w:val="006818DD"/>
    <w:rsid w:val="00690494"/>
    <w:rsid w:val="006A0199"/>
    <w:rsid w:val="006A1B9F"/>
    <w:rsid w:val="006A686B"/>
    <w:rsid w:val="006B1A77"/>
    <w:rsid w:val="006C775C"/>
    <w:rsid w:val="006D19BE"/>
    <w:rsid w:val="006E015D"/>
    <w:rsid w:val="006E1D73"/>
    <w:rsid w:val="006F000D"/>
    <w:rsid w:val="00702E46"/>
    <w:rsid w:val="00721814"/>
    <w:rsid w:val="007354C6"/>
    <w:rsid w:val="00745972"/>
    <w:rsid w:val="00745AE0"/>
    <w:rsid w:val="00751C9F"/>
    <w:rsid w:val="00757DC6"/>
    <w:rsid w:val="00766C9B"/>
    <w:rsid w:val="007734FA"/>
    <w:rsid w:val="00780CB3"/>
    <w:rsid w:val="007A7D8F"/>
    <w:rsid w:val="007C4DF1"/>
    <w:rsid w:val="007D6DF3"/>
    <w:rsid w:val="007E5E20"/>
    <w:rsid w:val="007F326B"/>
    <w:rsid w:val="0080411B"/>
    <w:rsid w:val="00811424"/>
    <w:rsid w:val="0083166C"/>
    <w:rsid w:val="00834F7E"/>
    <w:rsid w:val="00846709"/>
    <w:rsid w:val="00850B52"/>
    <w:rsid w:val="00852E74"/>
    <w:rsid w:val="00853152"/>
    <w:rsid w:val="00865814"/>
    <w:rsid w:val="008720EE"/>
    <w:rsid w:val="00892DC7"/>
    <w:rsid w:val="0089326F"/>
    <w:rsid w:val="008945CF"/>
    <w:rsid w:val="008B0C86"/>
    <w:rsid w:val="008C6165"/>
    <w:rsid w:val="008D03C0"/>
    <w:rsid w:val="008D0ABF"/>
    <w:rsid w:val="008D1B76"/>
    <w:rsid w:val="008D200B"/>
    <w:rsid w:val="008D5695"/>
    <w:rsid w:val="008E5CFC"/>
    <w:rsid w:val="008E77DD"/>
    <w:rsid w:val="008F77C0"/>
    <w:rsid w:val="0091218E"/>
    <w:rsid w:val="00924752"/>
    <w:rsid w:val="009253BC"/>
    <w:rsid w:val="009264A4"/>
    <w:rsid w:val="0092734C"/>
    <w:rsid w:val="0093142F"/>
    <w:rsid w:val="009332B4"/>
    <w:rsid w:val="00933614"/>
    <w:rsid w:val="0093664C"/>
    <w:rsid w:val="009400FD"/>
    <w:rsid w:val="009476E0"/>
    <w:rsid w:val="00964D4F"/>
    <w:rsid w:val="00976016"/>
    <w:rsid w:val="00987959"/>
    <w:rsid w:val="00987C8A"/>
    <w:rsid w:val="009929F7"/>
    <w:rsid w:val="00994962"/>
    <w:rsid w:val="009A7C2E"/>
    <w:rsid w:val="009B196B"/>
    <w:rsid w:val="009B5AB2"/>
    <w:rsid w:val="009C06BD"/>
    <w:rsid w:val="009C0763"/>
    <w:rsid w:val="009D21E7"/>
    <w:rsid w:val="009D3F42"/>
    <w:rsid w:val="009D44AF"/>
    <w:rsid w:val="009D5EBE"/>
    <w:rsid w:val="009D7C4B"/>
    <w:rsid w:val="009E3233"/>
    <w:rsid w:val="009F04B6"/>
    <w:rsid w:val="009F3C25"/>
    <w:rsid w:val="00A00EF1"/>
    <w:rsid w:val="00A01141"/>
    <w:rsid w:val="00A02775"/>
    <w:rsid w:val="00A05132"/>
    <w:rsid w:val="00A06498"/>
    <w:rsid w:val="00A11FFC"/>
    <w:rsid w:val="00A12408"/>
    <w:rsid w:val="00A23A50"/>
    <w:rsid w:val="00A3201C"/>
    <w:rsid w:val="00A367AE"/>
    <w:rsid w:val="00A42971"/>
    <w:rsid w:val="00A437DC"/>
    <w:rsid w:val="00A4519D"/>
    <w:rsid w:val="00A513B0"/>
    <w:rsid w:val="00A537BB"/>
    <w:rsid w:val="00A60311"/>
    <w:rsid w:val="00A63A25"/>
    <w:rsid w:val="00A64A34"/>
    <w:rsid w:val="00A76C01"/>
    <w:rsid w:val="00A815D6"/>
    <w:rsid w:val="00A9104C"/>
    <w:rsid w:val="00A93DD5"/>
    <w:rsid w:val="00A9626F"/>
    <w:rsid w:val="00A975DE"/>
    <w:rsid w:val="00AB327D"/>
    <w:rsid w:val="00AB3BFA"/>
    <w:rsid w:val="00AC1230"/>
    <w:rsid w:val="00AC3789"/>
    <w:rsid w:val="00AD1246"/>
    <w:rsid w:val="00AE26EA"/>
    <w:rsid w:val="00AE64EE"/>
    <w:rsid w:val="00AF1973"/>
    <w:rsid w:val="00AF22E9"/>
    <w:rsid w:val="00AF3DCD"/>
    <w:rsid w:val="00B013D8"/>
    <w:rsid w:val="00B02750"/>
    <w:rsid w:val="00B03972"/>
    <w:rsid w:val="00B05656"/>
    <w:rsid w:val="00B12636"/>
    <w:rsid w:val="00B1663F"/>
    <w:rsid w:val="00B235D1"/>
    <w:rsid w:val="00B540E5"/>
    <w:rsid w:val="00B54355"/>
    <w:rsid w:val="00B57692"/>
    <w:rsid w:val="00B61C49"/>
    <w:rsid w:val="00B64AA2"/>
    <w:rsid w:val="00B67B82"/>
    <w:rsid w:val="00B83514"/>
    <w:rsid w:val="00BA25CA"/>
    <w:rsid w:val="00BA2E17"/>
    <w:rsid w:val="00BA3FC3"/>
    <w:rsid w:val="00BA55F0"/>
    <w:rsid w:val="00BB23C8"/>
    <w:rsid w:val="00BC14E4"/>
    <w:rsid w:val="00BC5D0D"/>
    <w:rsid w:val="00BD4421"/>
    <w:rsid w:val="00BF0F63"/>
    <w:rsid w:val="00BF1C2C"/>
    <w:rsid w:val="00BF6060"/>
    <w:rsid w:val="00BF7A48"/>
    <w:rsid w:val="00C10BE1"/>
    <w:rsid w:val="00C17B1C"/>
    <w:rsid w:val="00C2188D"/>
    <w:rsid w:val="00C31B89"/>
    <w:rsid w:val="00C364CD"/>
    <w:rsid w:val="00C44B9F"/>
    <w:rsid w:val="00C4577E"/>
    <w:rsid w:val="00C46830"/>
    <w:rsid w:val="00C47278"/>
    <w:rsid w:val="00C516F0"/>
    <w:rsid w:val="00C55D16"/>
    <w:rsid w:val="00C60527"/>
    <w:rsid w:val="00C642A7"/>
    <w:rsid w:val="00C72974"/>
    <w:rsid w:val="00C7321E"/>
    <w:rsid w:val="00C8213A"/>
    <w:rsid w:val="00C85BEA"/>
    <w:rsid w:val="00C877DC"/>
    <w:rsid w:val="00C90EB2"/>
    <w:rsid w:val="00CC4395"/>
    <w:rsid w:val="00CD36E0"/>
    <w:rsid w:val="00CD37ED"/>
    <w:rsid w:val="00CD4EF8"/>
    <w:rsid w:val="00CD70F4"/>
    <w:rsid w:val="00CE534B"/>
    <w:rsid w:val="00CE6F86"/>
    <w:rsid w:val="00CF1008"/>
    <w:rsid w:val="00CF4D25"/>
    <w:rsid w:val="00CF7747"/>
    <w:rsid w:val="00D011BD"/>
    <w:rsid w:val="00D078A2"/>
    <w:rsid w:val="00D11042"/>
    <w:rsid w:val="00D1176B"/>
    <w:rsid w:val="00D13071"/>
    <w:rsid w:val="00D16BD7"/>
    <w:rsid w:val="00D17FCD"/>
    <w:rsid w:val="00D23108"/>
    <w:rsid w:val="00D3238A"/>
    <w:rsid w:val="00D35FF0"/>
    <w:rsid w:val="00D433F0"/>
    <w:rsid w:val="00D50833"/>
    <w:rsid w:val="00D55058"/>
    <w:rsid w:val="00D572AE"/>
    <w:rsid w:val="00D572F5"/>
    <w:rsid w:val="00D66B49"/>
    <w:rsid w:val="00D70AB9"/>
    <w:rsid w:val="00D71EEF"/>
    <w:rsid w:val="00D73A46"/>
    <w:rsid w:val="00D82A37"/>
    <w:rsid w:val="00D920A3"/>
    <w:rsid w:val="00D921CC"/>
    <w:rsid w:val="00D95E9B"/>
    <w:rsid w:val="00DB4129"/>
    <w:rsid w:val="00DB70AC"/>
    <w:rsid w:val="00DC3C09"/>
    <w:rsid w:val="00DD25EE"/>
    <w:rsid w:val="00DD46E1"/>
    <w:rsid w:val="00DD595A"/>
    <w:rsid w:val="00DE0E14"/>
    <w:rsid w:val="00DE2D0C"/>
    <w:rsid w:val="00DF0A39"/>
    <w:rsid w:val="00DF59BA"/>
    <w:rsid w:val="00DF5DA2"/>
    <w:rsid w:val="00E06C89"/>
    <w:rsid w:val="00E11482"/>
    <w:rsid w:val="00E17DA9"/>
    <w:rsid w:val="00E3151E"/>
    <w:rsid w:val="00E3356D"/>
    <w:rsid w:val="00E3688F"/>
    <w:rsid w:val="00E43E0F"/>
    <w:rsid w:val="00E448E3"/>
    <w:rsid w:val="00E54468"/>
    <w:rsid w:val="00E56CBA"/>
    <w:rsid w:val="00E6499F"/>
    <w:rsid w:val="00E676A0"/>
    <w:rsid w:val="00E70BB3"/>
    <w:rsid w:val="00E7200B"/>
    <w:rsid w:val="00E76AB2"/>
    <w:rsid w:val="00E77086"/>
    <w:rsid w:val="00E8592A"/>
    <w:rsid w:val="00E85E94"/>
    <w:rsid w:val="00E90497"/>
    <w:rsid w:val="00E97014"/>
    <w:rsid w:val="00EA566A"/>
    <w:rsid w:val="00EB4685"/>
    <w:rsid w:val="00EB66A2"/>
    <w:rsid w:val="00EB7D73"/>
    <w:rsid w:val="00EC0DFD"/>
    <w:rsid w:val="00EC6CA4"/>
    <w:rsid w:val="00ED039B"/>
    <w:rsid w:val="00ED5D26"/>
    <w:rsid w:val="00EE0241"/>
    <w:rsid w:val="00EE11DD"/>
    <w:rsid w:val="00EE30FD"/>
    <w:rsid w:val="00EF0BE5"/>
    <w:rsid w:val="00EF3C79"/>
    <w:rsid w:val="00EF6A59"/>
    <w:rsid w:val="00F0030A"/>
    <w:rsid w:val="00F01AA7"/>
    <w:rsid w:val="00F0754B"/>
    <w:rsid w:val="00F203EE"/>
    <w:rsid w:val="00F20C5E"/>
    <w:rsid w:val="00F23FA0"/>
    <w:rsid w:val="00F242BB"/>
    <w:rsid w:val="00F2461F"/>
    <w:rsid w:val="00F27210"/>
    <w:rsid w:val="00F32EE4"/>
    <w:rsid w:val="00F3433B"/>
    <w:rsid w:val="00F34556"/>
    <w:rsid w:val="00F37B13"/>
    <w:rsid w:val="00F40D0A"/>
    <w:rsid w:val="00F51B7B"/>
    <w:rsid w:val="00F52A90"/>
    <w:rsid w:val="00F53E79"/>
    <w:rsid w:val="00F77B81"/>
    <w:rsid w:val="00F80569"/>
    <w:rsid w:val="00F82E46"/>
    <w:rsid w:val="00F84B71"/>
    <w:rsid w:val="00F8716F"/>
    <w:rsid w:val="00F87284"/>
    <w:rsid w:val="00F87E89"/>
    <w:rsid w:val="00F928B2"/>
    <w:rsid w:val="00F9749A"/>
    <w:rsid w:val="00FA00D6"/>
    <w:rsid w:val="00FA0871"/>
    <w:rsid w:val="00FA2CDF"/>
    <w:rsid w:val="00FA3916"/>
    <w:rsid w:val="00FB0EC5"/>
    <w:rsid w:val="00FB5BC3"/>
    <w:rsid w:val="00FC2120"/>
    <w:rsid w:val="00FE1511"/>
    <w:rsid w:val="00FE3FDF"/>
    <w:rsid w:val="00FF1647"/>
    <w:rsid w:val="00FF1C4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D81DB"/>
  <w15:chartTrackingRefBased/>
  <w15:docId w15:val="{23372509-7D17-4189-B93A-DDE02EA5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E3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E3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E3F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FE3F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E3F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E3F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3F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E3F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3F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3F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E3F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E3F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FE3F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3F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3F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3F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3F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3FDF"/>
    <w:rPr>
      <w:rFonts w:eastAsiaTheme="majorEastAsia" w:cstheme="majorBidi"/>
      <w:color w:val="272727" w:themeColor="text1" w:themeTint="D8"/>
    </w:rPr>
  </w:style>
  <w:style w:type="paragraph" w:styleId="Titel">
    <w:name w:val="Title"/>
    <w:basedOn w:val="Standard"/>
    <w:next w:val="Standard"/>
    <w:link w:val="TitelZchn"/>
    <w:uiPriority w:val="10"/>
    <w:qFormat/>
    <w:rsid w:val="00FE3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3F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3F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3F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3F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E3FDF"/>
    <w:rPr>
      <w:i/>
      <w:iCs/>
      <w:color w:val="404040" w:themeColor="text1" w:themeTint="BF"/>
    </w:rPr>
  </w:style>
  <w:style w:type="paragraph" w:styleId="Listenabsatz">
    <w:name w:val="List Paragraph"/>
    <w:basedOn w:val="Standard"/>
    <w:uiPriority w:val="34"/>
    <w:qFormat/>
    <w:rsid w:val="00FE3FDF"/>
    <w:pPr>
      <w:ind w:left="720"/>
      <w:contextualSpacing/>
    </w:pPr>
  </w:style>
  <w:style w:type="character" w:styleId="IntensiveHervorhebung">
    <w:name w:val="Intense Emphasis"/>
    <w:basedOn w:val="Absatz-Standardschriftart"/>
    <w:uiPriority w:val="21"/>
    <w:qFormat/>
    <w:rsid w:val="00FE3FDF"/>
    <w:rPr>
      <w:i/>
      <w:iCs/>
      <w:color w:val="0F4761" w:themeColor="accent1" w:themeShade="BF"/>
    </w:rPr>
  </w:style>
  <w:style w:type="paragraph" w:styleId="IntensivesZitat">
    <w:name w:val="Intense Quote"/>
    <w:basedOn w:val="Standard"/>
    <w:next w:val="Standard"/>
    <w:link w:val="IntensivesZitatZchn"/>
    <w:uiPriority w:val="30"/>
    <w:qFormat/>
    <w:rsid w:val="00FE3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3FDF"/>
    <w:rPr>
      <w:i/>
      <w:iCs/>
      <w:color w:val="0F4761" w:themeColor="accent1" w:themeShade="BF"/>
    </w:rPr>
  </w:style>
  <w:style w:type="character" w:styleId="IntensiverVerweis">
    <w:name w:val="Intense Reference"/>
    <w:basedOn w:val="Absatz-Standardschriftart"/>
    <w:uiPriority w:val="32"/>
    <w:qFormat/>
    <w:rsid w:val="00FE3FDF"/>
    <w:rPr>
      <w:b/>
      <w:bCs/>
      <w:smallCaps/>
      <w:color w:val="0F4761" w:themeColor="accent1" w:themeShade="BF"/>
      <w:spacing w:val="5"/>
    </w:rPr>
  </w:style>
  <w:style w:type="character" w:styleId="Kommentarzeichen">
    <w:name w:val="annotation reference"/>
    <w:basedOn w:val="Absatz-Standardschriftart"/>
    <w:uiPriority w:val="99"/>
    <w:semiHidden/>
    <w:unhideWhenUsed/>
    <w:rsid w:val="00BC14E4"/>
    <w:rPr>
      <w:sz w:val="16"/>
      <w:szCs w:val="16"/>
    </w:rPr>
  </w:style>
  <w:style w:type="paragraph" w:styleId="Kommentartext">
    <w:name w:val="annotation text"/>
    <w:basedOn w:val="Standard"/>
    <w:link w:val="KommentartextZchn"/>
    <w:uiPriority w:val="99"/>
    <w:unhideWhenUsed/>
    <w:rsid w:val="00BC14E4"/>
    <w:pPr>
      <w:spacing w:line="240" w:lineRule="auto"/>
    </w:pPr>
    <w:rPr>
      <w:sz w:val="20"/>
      <w:szCs w:val="20"/>
    </w:rPr>
  </w:style>
  <w:style w:type="character" w:customStyle="1" w:styleId="KommentartextZchn">
    <w:name w:val="Kommentartext Zchn"/>
    <w:basedOn w:val="Absatz-Standardschriftart"/>
    <w:link w:val="Kommentartext"/>
    <w:uiPriority w:val="99"/>
    <w:rsid w:val="00BC14E4"/>
    <w:rPr>
      <w:sz w:val="20"/>
      <w:szCs w:val="20"/>
    </w:rPr>
  </w:style>
  <w:style w:type="paragraph" w:styleId="Kommentarthema">
    <w:name w:val="annotation subject"/>
    <w:basedOn w:val="Kommentartext"/>
    <w:next w:val="Kommentartext"/>
    <w:link w:val="KommentarthemaZchn"/>
    <w:uiPriority w:val="99"/>
    <w:semiHidden/>
    <w:unhideWhenUsed/>
    <w:rsid w:val="00BC14E4"/>
    <w:rPr>
      <w:b/>
      <w:bCs/>
    </w:rPr>
  </w:style>
  <w:style w:type="character" w:customStyle="1" w:styleId="KommentarthemaZchn">
    <w:name w:val="Kommentarthema Zchn"/>
    <w:basedOn w:val="KommentartextZchn"/>
    <w:link w:val="Kommentarthema"/>
    <w:uiPriority w:val="99"/>
    <w:semiHidden/>
    <w:rsid w:val="00BC14E4"/>
    <w:rPr>
      <w:b/>
      <w:bCs/>
      <w:sz w:val="20"/>
      <w:szCs w:val="20"/>
    </w:rPr>
  </w:style>
  <w:style w:type="paragraph" w:styleId="Beschriftung">
    <w:name w:val="caption"/>
    <w:basedOn w:val="Standard"/>
    <w:next w:val="Standard"/>
    <w:uiPriority w:val="35"/>
    <w:unhideWhenUsed/>
    <w:qFormat/>
    <w:rsid w:val="006E015D"/>
    <w:pPr>
      <w:spacing w:after="200" w:line="240" w:lineRule="auto"/>
    </w:pPr>
    <w:rPr>
      <w:i/>
      <w:iCs/>
      <w:color w:val="0E2841" w:themeColor="text2"/>
      <w:sz w:val="18"/>
      <w:szCs w:val="18"/>
    </w:rPr>
  </w:style>
  <w:style w:type="table" w:styleId="Tabellenraster">
    <w:name w:val="Table Grid"/>
    <w:basedOn w:val="NormaleTabelle"/>
    <w:uiPriority w:val="39"/>
    <w:rsid w:val="00095B1F"/>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095B1F"/>
    <w:pPr>
      <w:numPr>
        <w:numId w:val="10"/>
      </w:numPr>
      <w:contextualSpacing/>
    </w:pPr>
    <w:rPr>
      <w:kern w:val="0"/>
      <w:lang w:val="de-DE"/>
      <w14:ligatures w14:val="none"/>
    </w:rPr>
  </w:style>
  <w:style w:type="character" w:styleId="Platzhaltertext">
    <w:name w:val="Placeholder Text"/>
    <w:basedOn w:val="Absatz-Standardschriftart"/>
    <w:uiPriority w:val="99"/>
    <w:semiHidden/>
    <w:rsid w:val="000351D1"/>
    <w:rPr>
      <w:color w:val="666666"/>
    </w:rPr>
  </w:style>
  <w:style w:type="paragraph" w:customStyle="1" w:styleId="CitaviBibliographyEntry">
    <w:name w:val="Citavi Bibliography Entry"/>
    <w:basedOn w:val="Standard"/>
    <w:link w:val="CitaviBibliographyEntryZchn"/>
    <w:rsid w:val="00C60527"/>
    <w:pPr>
      <w:tabs>
        <w:tab w:val="left" w:pos="454"/>
      </w:tabs>
      <w:ind w:left="454" w:hanging="454"/>
    </w:pPr>
  </w:style>
  <w:style w:type="character" w:customStyle="1" w:styleId="CitaviBibliographyEntryZchn">
    <w:name w:val="Citavi Bibliography Entry Zchn"/>
    <w:basedOn w:val="Absatz-Standardschriftart"/>
    <w:link w:val="CitaviBibliographyEntry"/>
    <w:rsid w:val="00C60527"/>
  </w:style>
  <w:style w:type="paragraph" w:customStyle="1" w:styleId="CitaviBibliographyHeading">
    <w:name w:val="Citavi Bibliography Heading"/>
    <w:basedOn w:val="berschrift1"/>
    <w:link w:val="CitaviBibliographyHeadingZchn"/>
    <w:rsid w:val="00C60527"/>
  </w:style>
  <w:style w:type="character" w:customStyle="1" w:styleId="CitaviBibliographyHeadingZchn">
    <w:name w:val="Citavi Bibliography Heading Zchn"/>
    <w:basedOn w:val="Absatz-Standardschriftart"/>
    <w:link w:val="CitaviBibliographyHeading"/>
    <w:rsid w:val="00C60527"/>
    <w:rPr>
      <w:rFonts w:asciiTheme="majorHAnsi" w:eastAsiaTheme="majorEastAsia" w:hAnsiTheme="majorHAnsi" w:cstheme="majorBidi"/>
      <w:color w:val="0F4761" w:themeColor="accent1" w:themeShade="BF"/>
      <w:sz w:val="40"/>
      <w:szCs w:val="40"/>
    </w:rPr>
  </w:style>
  <w:style w:type="paragraph" w:customStyle="1" w:styleId="CitaviBibliographySubheading1">
    <w:name w:val="Citavi Bibliography Subheading 1"/>
    <w:basedOn w:val="berschrift2"/>
    <w:link w:val="CitaviBibliographySubheading1Zchn"/>
    <w:rsid w:val="00C60527"/>
    <w:pPr>
      <w:outlineLvl w:val="9"/>
    </w:pPr>
  </w:style>
  <w:style w:type="character" w:customStyle="1" w:styleId="CitaviBibliographySubheading1Zchn">
    <w:name w:val="Citavi Bibliography Subheading 1 Zchn"/>
    <w:basedOn w:val="Absatz-Standardschriftart"/>
    <w:link w:val="CitaviBibliographySubheading1"/>
    <w:rsid w:val="00C60527"/>
    <w:rPr>
      <w:rFonts w:asciiTheme="majorHAnsi" w:eastAsiaTheme="majorEastAsia" w:hAnsiTheme="majorHAnsi" w:cstheme="majorBidi"/>
      <w:color w:val="0F4761" w:themeColor="accent1" w:themeShade="BF"/>
      <w:sz w:val="32"/>
      <w:szCs w:val="32"/>
    </w:rPr>
  </w:style>
  <w:style w:type="paragraph" w:customStyle="1" w:styleId="CitaviBibliographySubheading2">
    <w:name w:val="Citavi Bibliography Subheading 2"/>
    <w:basedOn w:val="berschrift3"/>
    <w:link w:val="CitaviBibliographySubheading2Zchn"/>
    <w:rsid w:val="00C60527"/>
    <w:pPr>
      <w:outlineLvl w:val="9"/>
    </w:pPr>
  </w:style>
  <w:style w:type="character" w:customStyle="1" w:styleId="CitaviBibliographySubheading2Zchn">
    <w:name w:val="Citavi Bibliography Subheading 2 Zchn"/>
    <w:basedOn w:val="Absatz-Standardschriftart"/>
    <w:link w:val="CitaviBibliographySubheading2"/>
    <w:rsid w:val="00C60527"/>
    <w:rPr>
      <w:rFonts w:eastAsiaTheme="majorEastAsia" w:cstheme="majorBidi"/>
      <w:color w:val="0F4761" w:themeColor="accent1" w:themeShade="BF"/>
      <w:sz w:val="28"/>
      <w:szCs w:val="28"/>
    </w:rPr>
  </w:style>
  <w:style w:type="paragraph" w:customStyle="1" w:styleId="CitaviBibliographySubheading3">
    <w:name w:val="Citavi Bibliography Subheading 3"/>
    <w:basedOn w:val="berschrift4"/>
    <w:link w:val="CitaviBibliographySubheading3Zchn"/>
    <w:rsid w:val="00C60527"/>
    <w:pPr>
      <w:outlineLvl w:val="9"/>
    </w:pPr>
  </w:style>
  <w:style w:type="character" w:customStyle="1" w:styleId="CitaviBibliographySubheading3Zchn">
    <w:name w:val="Citavi Bibliography Subheading 3 Zchn"/>
    <w:basedOn w:val="Absatz-Standardschriftart"/>
    <w:link w:val="CitaviBibliographySubheading3"/>
    <w:rsid w:val="00C60527"/>
    <w:rPr>
      <w:rFonts w:eastAsiaTheme="majorEastAsia" w:cstheme="majorBidi"/>
      <w:i/>
      <w:iCs/>
      <w:color w:val="0F4761" w:themeColor="accent1" w:themeShade="BF"/>
    </w:rPr>
  </w:style>
  <w:style w:type="paragraph" w:customStyle="1" w:styleId="CitaviBibliographySubheading4">
    <w:name w:val="Citavi Bibliography Subheading 4"/>
    <w:basedOn w:val="berschrift5"/>
    <w:link w:val="CitaviBibliographySubheading4Zchn"/>
    <w:rsid w:val="00C60527"/>
    <w:pPr>
      <w:outlineLvl w:val="9"/>
    </w:pPr>
  </w:style>
  <w:style w:type="character" w:customStyle="1" w:styleId="CitaviBibliographySubheading4Zchn">
    <w:name w:val="Citavi Bibliography Subheading 4 Zchn"/>
    <w:basedOn w:val="Absatz-Standardschriftart"/>
    <w:link w:val="CitaviBibliographySubheading4"/>
    <w:rsid w:val="00C60527"/>
    <w:rPr>
      <w:rFonts w:eastAsiaTheme="majorEastAsia" w:cstheme="majorBidi"/>
      <w:color w:val="0F4761" w:themeColor="accent1" w:themeShade="BF"/>
    </w:rPr>
  </w:style>
  <w:style w:type="paragraph" w:customStyle="1" w:styleId="CitaviBibliographySubheading5">
    <w:name w:val="Citavi Bibliography Subheading 5"/>
    <w:basedOn w:val="berschrift6"/>
    <w:link w:val="CitaviBibliographySubheading5Zchn"/>
    <w:rsid w:val="00C60527"/>
    <w:pPr>
      <w:outlineLvl w:val="9"/>
    </w:pPr>
  </w:style>
  <w:style w:type="character" w:customStyle="1" w:styleId="CitaviBibliographySubheading5Zchn">
    <w:name w:val="Citavi Bibliography Subheading 5 Zchn"/>
    <w:basedOn w:val="Absatz-Standardschriftart"/>
    <w:link w:val="CitaviBibliographySubheading5"/>
    <w:rsid w:val="00C60527"/>
    <w:rPr>
      <w:rFonts w:eastAsiaTheme="majorEastAsia" w:cstheme="majorBidi"/>
      <w:i/>
      <w:iCs/>
      <w:color w:val="595959" w:themeColor="text1" w:themeTint="A6"/>
    </w:rPr>
  </w:style>
  <w:style w:type="paragraph" w:customStyle="1" w:styleId="CitaviBibliographySubheading6">
    <w:name w:val="Citavi Bibliography Subheading 6"/>
    <w:basedOn w:val="berschrift7"/>
    <w:link w:val="CitaviBibliographySubheading6Zchn"/>
    <w:rsid w:val="00C60527"/>
    <w:pPr>
      <w:outlineLvl w:val="9"/>
    </w:pPr>
  </w:style>
  <w:style w:type="character" w:customStyle="1" w:styleId="CitaviBibliographySubheading6Zchn">
    <w:name w:val="Citavi Bibliography Subheading 6 Zchn"/>
    <w:basedOn w:val="Absatz-Standardschriftart"/>
    <w:link w:val="CitaviBibliographySubheading6"/>
    <w:rsid w:val="00C60527"/>
    <w:rPr>
      <w:rFonts w:eastAsiaTheme="majorEastAsia" w:cstheme="majorBidi"/>
      <w:color w:val="595959" w:themeColor="text1" w:themeTint="A6"/>
    </w:rPr>
  </w:style>
  <w:style w:type="paragraph" w:customStyle="1" w:styleId="CitaviBibliographySubheading7">
    <w:name w:val="Citavi Bibliography Subheading 7"/>
    <w:basedOn w:val="berschrift8"/>
    <w:link w:val="CitaviBibliographySubheading7Zchn"/>
    <w:rsid w:val="00C60527"/>
    <w:pPr>
      <w:outlineLvl w:val="9"/>
    </w:pPr>
  </w:style>
  <w:style w:type="character" w:customStyle="1" w:styleId="CitaviBibliographySubheading7Zchn">
    <w:name w:val="Citavi Bibliography Subheading 7 Zchn"/>
    <w:basedOn w:val="Absatz-Standardschriftart"/>
    <w:link w:val="CitaviBibliographySubheading7"/>
    <w:rsid w:val="00C60527"/>
    <w:rPr>
      <w:rFonts w:eastAsiaTheme="majorEastAsia" w:cstheme="majorBidi"/>
      <w:i/>
      <w:iCs/>
      <w:color w:val="272727" w:themeColor="text1" w:themeTint="D8"/>
    </w:rPr>
  </w:style>
  <w:style w:type="paragraph" w:customStyle="1" w:styleId="CitaviBibliographySubheading8">
    <w:name w:val="Citavi Bibliography Subheading 8"/>
    <w:basedOn w:val="berschrift9"/>
    <w:link w:val="CitaviBibliographySubheading8Zchn"/>
    <w:rsid w:val="00C60527"/>
    <w:pPr>
      <w:outlineLvl w:val="9"/>
    </w:pPr>
  </w:style>
  <w:style w:type="character" w:customStyle="1" w:styleId="CitaviBibliographySubheading8Zchn">
    <w:name w:val="Citavi Bibliography Subheading 8 Zchn"/>
    <w:basedOn w:val="Absatz-Standardschriftart"/>
    <w:link w:val="CitaviBibliographySubheading8"/>
    <w:rsid w:val="00C60527"/>
    <w:rPr>
      <w:rFonts w:eastAsiaTheme="majorEastAsia" w:cstheme="majorBidi"/>
      <w:color w:val="272727" w:themeColor="text1" w:themeTint="D8"/>
    </w:rPr>
  </w:style>
  <w:style w:type="paragraph" w:styleId="StandardWeb">
    <w:name w:val="Normal (Web)"/>
    <w:basedOn w:val="Standard"/>
    <w:uiPriority w:val="99"/>
    <w:semiHidden/>
    <w:unhideWhenUsed/>
    <w:rsid w:val="004C05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erarbeitung">
    <w:name w:val="Revision"/>
    <w:hidden/>
    <w:uiPriority w:val="99"/>
    <w:semiHidden/>
    <w:rsid w:val="00E6499F"/>
    <w:pPr>
      <w:spacing w:after="0" w:line="240" w:lineRule="auto"/>
    </w:pPr>
  </w:style>
  <w:style w:type="character" w:customStyle="1" w:styleId="cf01">
    <w:name w:val="cf01"/>
    <w:basedOn w:val="Absatz-Standardschriftart"/>
    <w:rsid w:val="0091218E"/>
    <w:rPr>
      <w:rFonts w:ascii="Segoe UI" w:hAnsi="Segoe UI" w:cs="Segoe UI" w:hint="default"/>
      <w:sz w:val="18"/>
      <w:szCs w:val="18"/>
    </w:rPr>
  </w:style>
  <w:style w:type="character" w:styleId="Hyperlink">
    <w:name w:val="Hyperlink"/>
    <w:basedOn w:val="Absatz-Standardschriftart"/>
    <w:uiPriority w:val="99"/>
    <w:unhideWhenUsed/>
    <w:rsid w:val="005F2A12"/>
    <w:rPr>
      <w:color w:val="467886" w:themeColor="hyperlink"/>
      <w:u w:val="single"/>
    </w:rPr>
  </w:style>
  <w:style w:type="character" w:styleId="NichtaufgelsteErwhnung">
    <w:name w:val="Unresolved Mention"/>
    <w:basedOn w:val="Absatz-Standardschriftart"/>
    <w:uiPriority w:val="99"/>
    <w:semiHidden/>
    <w:unhideWhenUsed/>
    <w:rsid w:val="005F2A12"/>
    <w:rPr>
      <w:color w:val="605E5C"/>
      <w:shd w:val="clear" w:color="auto" w:fill="E1DFDD"/>
    </w:rPr>
  </w:style>
  <w:style w:type="character" w:styleId="Buchtitel">
    <w:name w:val="Book Title"/>
    <w:basedOn w:val="Absatz-Standardschriftart"/>
    <w:uiPriority w:val="33"/>
    <w:qFormat/>
    <w:rsid w:val="004B0BC7"/>
    <w:rPr>
      <w:b/>
      <w:bCs/>
      <w:i/>
      <w:iCs/>
      <w:spacing w:val="5"/>
    </w:rPr>
  </w:style>
  <w:style w:type="character" w:styleId="Fett">
    <w:name w:val="Strong"/>
    <w:basedOn w:val="Absatz-Standardschriftart"/>
    <w:uiPriority w:val="22"/>
    <w:qFormat/>
    <w:rsid w:val="004B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50210">
      <w:bodyDiv w:val="1"/>
      <w:marLeft w:val="0"/>
      <w:marRight w:val="0"/>
      <w:marTop w:val="0"/>
      <w:marBottom w:val="0"/>
      <w:divBdr>
        <w:top w:val="none" w:sz="0" w:space="0" w:color="auto"/>
        <w:left w:val="none" w:sz="0" w:space="0" w:color="auto"/>
        <w:bottom w:val="none" w:sz="0" w:space="0" w:color="auto"/>
        <w:right w:val="none" w:sz="0" w:space="0" w:color="auto"/>
      </w:divBdr>
      <w:divsChild>
        <w:div w:id="1789815648">
          <w:marLeft w:val="677"/>
          <w:marRight w:val="0"/>
          <w:marTop w:val="0"/>
          <w:marBottom w:val="0"/>
          <w:divBdr>
            <w:top w:val="none" w:sz="0" w:space="0" w:color="auto"/>
            <w:left w:val="none" w:sz="0" w:space="0" w:color="auto"/>
            <w:bottom w:val="none" w:sz="0" w:space="0" w:color="auto"/>
            <w:right w:val="none" w:sz="0" w:space="0" w:color="auto"/>
          </w:divBdr>
        </w:div>
        <w:div w:id="1702899559">
          <w:marLeft w:val="677"/>
          <w:marRight w:val="0"/>
          <w:marTop w:val="0"/>
          <w:marBottom w:val="0"/>
          <w:divBdr>
            <w:top w:val="none" w:sz="0" w:space="0" w:color="auto"/>
            <w:left w:val="none" w:sz="0" w:space="0" w:color="auto"/>
            <w:bottom w:val="none" w:sz="0" w:space="0" w:color="auto"/>
            <w:right w:val="none" w:sz="0" w:space="0" w:color="auto"/>
          </w:divBdr>
        </w:div>
        <w:div w:id="1158108987">
          <w:marLeft w:val="677"/>
          <w:marRight w:val="0"/>
          <w:marTop w:val="0"/>
          <w:marBottom w:val="0"/>
          <w:divBdr>
            <w:top w:val="none" w:sz="0" w:space="0" w:color="auto"/>
            <w:left w:val="none" w:sz="0" w:space="0" w:color="auto"/>
            <w:bottom w:val="none" w:sz="0" w:space="0" w:color="auto"/>
            <w:right w:val="none" w:sz="0" w:space="0" w:color="auto"/>
          </w:divBdr>
        </w:div>
      </w:divsChild>
    </w:div>
    <w:div w:id="403382208">
      <w:bodyDiv w:val="1"/>
      <w:marLeft w:val="0"/>
      <w:marRight w:val="0"/>
      <w:marTop w:val="0"/>
      <w:marBottom w:val="0"/>
      <w:divBdr>
        <w:top w:val="none" w:sz="0" w:space="0" w:color="auto"/>
        <w:left w:val="none" w:sz="0" w:space="0" w:color="auto"/>
        <w:bottom w:val="none" w:sz="0" w:space="0" w:color="auto"/>
        <w:right w:val="none" w:sz="0" w:space="0" w:color="auto"/>
      </w:divBdr>
    </w:div>
    <w:div w:id="635834443">
      <w:bodyDiv w:val="1"/>
      <w:marLeft w:val="0"/>
      <w:marRight w:val="0"/>
      <w:marTop w:val="0"/>
      <w:marBottom w:val="0"/>
      <w:divBdr>
        <w:top w:val="none" w:sz="0" w:space="0" w:color="auto"/>
        <w:left w:val="none" w:sz="0" w:space="0" w:color="auto"/>
        <w:bottom w:val="none" w:sz="0" w:space="0" w:color="auto"/>
        <w:right w:val="none" w:sz="0" w:space="0" w:color="auto"/>
      </w:divBdr>
    </w:div>
    <w:div w:id="833843249">
      <w:bodyDiv w:val="1"/>
      <w:marLeft w:val="0"/>
      <w:marRight w:val="0"/>
      <w:marTop w:val="0"/>
      <w:marBottom w:val="0"/>
      <w:divBdr>
        <w:top w:val="none" w:sz="0" w:space="0" w:color="auto"/>
        <w:left w:val="none" w:sz="0" w:space="0" w:color="auto"/>
        <w:bottom w:val="none" w:sz="0" w:space="0" w:color="auto"/>
        <w:right w:val="none" w:sz="0" w:space="0" w:color="auto"/>
      </w:divBdr>
      <w:divsChild>
        <w:div w:id="847646488">
          <w:marLeft w:val="346"/>
          <w:marRight w:val="0"/>
          <w:marTop w:val="0"/>
          <w:marBottom w:val="0"/>
          <w:divBdr>
            <w:top w:val="none" w:sz="0" w:space="0" w:color="auto"/>
            <w:left w:val="none" w:sz="0" w:space="0" w:color="auto"/>
            <w:bottom w:val="none" w:sz="0" w:space="0" w:color="auto"/>
            <w:right w:val="none" w:sz="0" w:space="0" w:color="auto"/>
          </w:divBdr>
        </w:div>
        <w:div w:id="62339405">
          <w:marLeft w:val="346"/>
          <w:marRight w:val="0"/>
          <w:marTop w:val="0"/>
          <w:marBottom w:val="0"/>
          <w:divBdr>
            <w:top w:val="none" w:sz="0" w:space="0" w:color="auto"/>
            <w:left w:val="none" w:sz="0" w:space="0" w:color="auto"/>
            <w:bottom w:val="none" w:sz="0" w:space="0" w:color="auto"/>
            <w:right w:val="none" w:sz="0" w:space="0" w:color="auto"/>
          </w:divBdr>
        </w:div>
        <w:div w:id="1849952014">
          <w:marLeft w:val="346"/>
          <w:marRight w:val="0"/>
          <w:marTop w:val="0"/>
          <w:marBottom w:val="0"/>
          <w:divBdr>
            <w:top w:val="none" w:sz="0" w:space="0" w:color="auto"/>
            <w:left w:val="none" w:sz="0" w:space="0" w:color="auto"/>
            <w:bottom w:val="none" w:sz="0" w:space="0" w:color="auto"/>
            <w:right w:val="none" w:sz="0" w:space="0" w:color="auto"/>
          </w:divBdr>
        </w:div>
        <w:div w:id="281232710">
          <w:marLeft w:val="346"/>
          <w:marRight w:val="0"/>
          <w:marTop w:val="0"/>
          <w:marBottom w:val="0"/>
          <w:divBdr>
            <w:top w:val="none" w:sz="0" w:space="0" w:color="auto"/>
            <w:left w:val="none" w:sz="0" w:space="0" w:color="auto"/>
            <w:bottom w:val="none" w:sz="0" w:space="0" w:color="auto"/>
            <w:right w:val="none" w:sz="0" w:space="0" w:color="auto"/>
          </w:divBdr>
        </w:div>
        <w:div w:id="1388063438">
          <w:marLeft w:val="346"/>
          <w:marRight w:val="0"/>
          <w:marTop w:val="0"/>
          <w:marBottom w:val="0"/>
          <w:divBdr>
            <w:top w:val="none" w:sz="0" w:space="0" w:color="auto"/>
            <w:left w:val="none" w:sz="0" w:space="0" w:color="auto"/>
            <w:bottom w:val="none" w:sz="0" w:space="0" w:color="auto"/>
            <w:right w:val="none" w:sz="0" w:space="0" w:color="auto"/>
          </w:divBdr>
        </w:div>
      </w:divsChild>
    </w:div>
    <w:div w:id="850992602">
      <w:bodyDiv w:val="1"/>
      <w:marLeft w:val="0"/>
      <w:marRight w:val="0"/>
      <w:marTop w:val="0"/>
      <w:marBottom w:val="0"/>
      <w:divBdr>
        <w:top w:val="none" w:sz="0" w:space="0" w:color="auto"/>
        <w:left w:val="none" w:sz="0" w:space="0" w:color="auto"/>
        <w:bottom w:val="none" w:sz="0" w:space="0" w:color="auto"/>
        <w:right w:val="none" w:sz="0" w:space="0" w:color="auto"/>
      </w:divBdr>
      <w:divsChild>
        <w:div w:id="1248346751">
          <w:marLeft w:val="346"/>
          <w:marRight w:val="0"/>
          <w:marTop w:val="0"/>
          <w:marBottom w:val="0"/>
          <w:divBdr>
            <w:top w:val="none" w:sz="0" w:space="0" w:color="auto"/>
            <w:left w:val="none" w:sz="0" w:space="0" w:color="auto"/>
            <w:bottom w:val="none" w:sz="0" w:space="0" w:color="auto"/>
            <w:right w:val="none" w:sz="0" w:space="0" w:color="auto"/>
          </w:divBdr>
        </w:div>
        <w:div w:id="551308161">
          <w:marLeft w:val="346"/>
          <w:marRight w:val="0"/>
          <w:marTop w:val="0"/>
          <w:marBottom w:val="0"/>
          <w:divBdr>
            <w:top w:val="none" w:sz="0" w:space="0" w:color="auto"/>
            <w:left w:val="none" w:sz="0" w:space="0" w:color="auto"/>
            <w:bottom w:val="none" w:sz="0" w:space="0" w:color="auto"/>
            <w:right w:val="none" w:sz="0" w:space="0" w:color="auto"/>
          </w:divBdr>
        </w:div>
        <w:div w:id="2037535086">
          <w:marLeft w:val="346"/>
          <w:marRight w:val="0"/>
          <w:marTop w:val="0"/>
          <w:marBottom w:val="0"/>
          <w:divBdr>
            <w:top w:val="none" w:sz="0" w:space="0" w:color="auto"/>
            <w:left w:val="none" w:sz="0" w:space="0" w:color="auto"/>
            <w:bottom w:val="none" w:sz="0" w:space="0" w:color="auto"/>
            <w:right w:val="none" w:sz="0" w:space="0" w:color="auto"/>
          </w:divBdr>
        </w:div>
        <w:div w:id="518928166">
          <w:marLeft w:val="3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6690399-BC78-43B7-9741-77F71A956EF4}"/>
      </w:docPartPr>
      <w:docPartBody>
        <w:p w:rsidR="00320EC6" w:rsidRDefault="00320EC6">
          <w:r w:rsidRPr="008D6785">
            <w:rPr>
              <w:rStyle w:val="Platzhaltertext"/>
            </w:rPr>
            <w:t>Klicken oder tippen Sie hier, um Text einzugeben.</w:t>
          </w:r>
        </w:p>
      </w:docPartBody>
    </w:docPart>
    <w:docPart>
      <w:docPartPr>
        <w:name w:val="D256497DD4B9487782B60BBE1836DEC2"/>
        <w:category>
          <w:name w:val="Allgemein"/>
          <w:gallery w:val="placeholder"/>
        </w:category>
        <w:types>
          <w:type w:val="bbPlcHdr"/>
        </w:types>
        <w:behaviors>
          <w:behavior w:val="content"/>
        </w:behaviors>
        <w:guid w:val="{61B66B44-9115-42E0-A1C0-70FD3398FF87}"/>
      </w:docPartPr>
      <w:docPartBody>
        <w:p w:rsidR="000C6F6D" w:rsidRDefault="000C6F6D" w:rsidP="000C6F6D">
          <w:pPr>
            <w:pStyle w:val="D256497DD4B9487782B60BBE1836DEC2"/>
          </w:pPr>
          <w:r w:rsidRPr="008D6785">
            <w:rPr>
              <w:rStyle w:val="Platzhaltertext"/>
            </w:rPr>
            <w:t>Klicken oder tippen Sie hier, um Text einzugeben.</w:t>
          </w:r>
        </w:p>
      </w:docPartBody>
    </w:docPart>
    <w:docPart>
      <w:docPartPr>
        <w:name w:val="63707AC8620241B7B20FFA45ADBAA96E"/>
        <w:category>
          <w:name w:val="Allgemein"/>
          <w:gallery w:val="placeholder"/>
        </w:category>
        <w:types>
          <w:type w:val="bbPlcHdr"/>
        </w:types>
        <w:behaviors>
          <w:behavior w:val="content"/>
        </w:behaviors>
        <w:guid w:val="{E16B681A-D1C6-49DD-831E-EA9C7624257C}"/>
      </w:docPartPr>
      <w:docPartBody>
        <w:p w:rsidR="000C6F6D" w:rsidRDefault="000C6F6D" w:rsidP="000C6F6D">
          <w:pPr>
            <w:pStyle w:val="63707AC8620241B7B20FFA45ADBAA96E"/>
          </w:pPr>
          <w:r w:rsidRPr="008D678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ED"/>
    <w:rsid w:val="000511B6"/>
    <w:rsid w:val="000C6F6D"/>
    <w:rsid w:val="002510C9"/>
    <w:rsid w:val="0026580D"/>
    <w:rsid w:val="002A1F8F"/>
    <w:rsid w:val="003112E4"/>
    <w:rsid w:val="00320EC6"/>
    <w:rsid w:val="00355A16"/>
    <w:rsid w:val="003A016E"/>
    <w:rsid w:val="003D331B"/>
    <w:rsid w:val="003D370E"/>
    <w:rsid w:val="00436563"/>
    <w:rsid w:val="004615AE"/>
    <w:rsid w:val="00472864"/>
    <w:rsid w:val="004A0BE1"/>
    <w:rsid w:val="004D0302"/>
    <w:rsid w:val="00516B49"/>
    <w:rsid w:val="005951C2"/>
    <w:rsid w:val="005C7E5F"/>
    <w:rsid w:val="005E7F6D"/>
    <w:rsid w:val="006306F2"/>
    <w:rsid w:val="00715EED"/>
    <w:rsid w:val="007215AD"/>
    <w:rsid w:val="00757DC6"/>
    <w:rsid w:val="007F2EB5"/>
    <w:rsid w:val="00834F7E"/>
    <w:rsid w:val="00865814"/>
    <w:rsid w:val="008B7E74"/>
    <w:rsid w:val="00924F7C"/>
    <w:rsid w:val="009400FD"/>
    <w:rsid w:val="00976016"/>
    <w:rsid w:val="00992BBF"/>
    <w:rsid w:val="009A7C2E"/>
    <w:rsid w:val="009D5077"/>
    <w:rsid w:val="009E2E91"/>
    <w:rsid w:val="00A05132"/>
    <w:rsid w:val="00AD1246"/>
    <w:rsid w:val="00B5769D"/>
    <w:rsid w:val="00BA3959"/>
    <w:rsid w:val="00C85BEA"/>
    <w:rsid w:val="00D35FF0"/>
    <w:rsid w:val="00DD595A"/>
    <w:rsid w:val="00DF6A22"/>
    <w:rsid w:val="00E11482"/>
    <w:rsid w:val="00E85E94"/>
    <w:rsid w:val="00EA4D2B"/>
    <w:rsid w:val="00ED2596"/>
    <w:rsid w:val="00F0030A"/>
    <w:rsid w:val="00F27210"/>
    <w:rsid w:val="00F84B71"/>
    <w:rsid w:val="00FA4673"/>
    <w:rsid w:val="00FB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6F6D"/>
    <w:rPr>
      <w:color w:val="808080"/>
    </w:rPr>
  </w:style>
  <w:style w:type="paragraph" w:customStyle="1" w:styleId="D256497DD4B9487782B60BBE1836DEC2">
    <w:name w:val="D256497DD4B9487782B60BBE1836DEC2"/>
    <w:rsid w:val="000C6F6D"/>
  </w:style>
  <w:style w:type="paragraph" w:customStyle="1" w:styleId="63707AC8620241B7B20FFA45ADBAA96E">
    <w:name w:val="63707AC8620241B7B20FFA45ADBAA96E"/>
    <w:rsid w:val="000C6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2916</Words>
  <Characters>16625</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Minten</dc:creator>
  <cp:keywords/>
  <dc:description/>
  <cp:lastModifiedBy>Hannah Minten</cp:lastModifiedBy>
  <cp:revision>5</cp:revision>
  <dcterms:created xsi:type="dcterms:W3CDTF">2024-12-18T10:42:00Z</dcterms:created>
  <dcterms:modified xsi:type="dcterms:W3CDTF">2024-12-18T11:20:00Z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19b96058e43eb3a6bb85fba74a5f508428e12c40e5c4e0d58ac1365e7ad7e9d9</vt:lpwstr>
  </property>
  <property fmtid="{D5CDD505-2E9C-101B-9397-08002B2CF9AE}" pid="3" name="CitaviDocumentProperty_7">
    <vt:lpwstr>Literatur Headquarters Local</vt:lpwstr>
  </property>
  <property fmtid="{D5CDD505-2E9C-101B-9397-08002B2CF9AE}" pid="4" name="CitaviDocumentProperty_0">
    <vt:lpwstr>c26c495e-d97c-4b14-90c2-bfb1236c47ad</vt:lpwstr>
  </property>
  <property fmtid="{D5CDD505-2E9C-101B-9397-08002B2CF9AE}" pid="5" name="CitaviDocumentProperty_6">
    <vt:lpwstr>True</vt:lpwstr>
  </property>
  <property fmtid="{D5CDD505-2E9C-101B-9397-08002B2CF9AE}" pid="6" name="CitaviDocumentProperty_1">
    <vt:lpwstr>6.3.0.0</vt:lpwstr>
  </property>
  <property fmtid="{D5CDD505-2E9C-101B-9397-08002B2CF9AE}" pid="7" name="CitaviDocumentProperty_8">
    <vt:lpwstr>C:\Minten lokal\Citavi\Projects\Literatur Headquarters Local\Literatur Headquarters Local.ctv6</vt:lpwstr>
  </property>
</Properties>
</file>