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87C24" w14:textId="5F200BAD" w:rsidR="001552B1" w:rsidRDefault="001552B1" w:rsidP="001552B1">
      <w:pPr>
        <w:rPr>
          <w:rFonts w:cs="Times New Roman"/>
          <w:b/>
          <w:color w:val="000000"/>
          <w:sz w:val="22"/>
          <w:szCs w:val="22"/>
        </w:rPr>
      </w:pPr>
      <w:r>
        <w:rPr>
          <w:rFonts w:cs="Times New Roman"/>
          <w:b/>
          <w:color w:val="000000"/>
          <w:sz w:val="22"/>
          <w:szCs w:val="22"/>
        </w:rPr>
        <w:t>Supplementary File 1</w:t>
      </w:r>
    </w:p>
    <w:p w14:paraId="52F3B340" w14:textId="77777777" w:rsidR="001552B1" w:rsidRDefault="001552B1" w:rsidP="001552B1">
      <w:pPr>
        <w:rPr>
          <w:rFonts w:cs="Times New Roman"/>
          <w:b/>
          <w:color w:val="000000"/>
          <w:sz w:val="22"/>
          <w:szCs w:val="22"/>
        </w:rPr>
      </w:pPr>
    </w:p>
    <w:p w14:paraId="759C75BB" w14:textId="6B6CC529" w:rsidR="001552B1" w:rsidRPr="004C0B75" w:rsidRDefault="001552B1" w:rsidP="001552B1">
      <w:pPr>
        <w:rPr>
          <w:rFonts w:cs="Times New Roman"/>
          <w:b/>
          <w:color w:val="000000"/>
          <w:sz w:val="22"/>
          <w:szCs w:val="22"/>
        </w:rPr>
      </w:pPr>
      <w:r w:rsidRPr="004C0B75">
        <w:rPr>
          <w:rFonts w:cs="Times New Roman"/>
          <w:b/>
          <w:color w:val="000000"/>
          <w:sz w:val="22"/>
          <w:szCs w:val="22"/>
        </w:rPr>
        <w:t>Key findings from systematic review of the style and content of exercise interventions for people with pulmonary hypertension</w:t>
      </w:r>
    </w:p>
    <w:p w14:paraId="0E5D86D7" w14:textId="77777777" w:rsidR="001552B1" w:rsidRPr="004C0B75" w:rsidRDefault="001552B1" w:rsidP="001552B1">
      <w:pPr>
        <w:pStyle w:val="ListParagraph"/>
        <w:spacing w:line="276" w:lineRule="auto"/>
        <w:ind w:left="360"/>
        <w:rPr>
          <w:rFonts w:ascii="Times New Roman" w:hAnsi="Times New Roman" w:cs="Times New Roman"/>
          <w:b/>
          <w:color w:val="000000"/>
        </w:rPr>
      </w:pPr>
    </w:p>
    <w:tbl>
      <w:tblPr>
        <w:tblStyle w:val="TableGrid"/>
        <w:tblW w:w="8713"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1"/>
        <w:gridCol w:w="3131"/>
        <w:gridCol w:w="3161"/>
      </w:tblGrid>
      <w:tr w:rsidR="001552B1" w:rsidRPr="004C0B75" w14:paraId="22B7AA13" w14:textId="77777777" w:rsidTr="00730F44">
        <w:trPr>
          <w:trHeight w:val="553"/>
        </w:trPr>
        <w:tc>
          <w:tcPr>
            <w:tcW w:w="2421" w:type="dxa"/>
            <w:tcBorders>
              <w:top w:val="single" w:sz="4" w:space="0" w:color="auto"/>
              <w:bottom w:val="single" w:sz="4" w:space="0" w:color="auto"/>
            </w:tcBorders>
          </w:tcPr>
          <w:p w14:paraId="350A9BFB" w14:textId="77777777" w:rsidR="001552B1" w:rsidRPr="004C0B75" w:rsidRDefault="001552B1" w:rsidP="00730F44">
            <w:pPr>
              <w:pStyle w:val="ListParagraph"/>
              <w:spacing w:line="276" w:lineRule="auto"/>
              <w:ind w:left="0"/>
              <w:rPr>
                <w:rFonts w:ascii="Times New Roman" w:hAnsi="Times New Roman"/>
                <w:b/>
                <w:color w:val="000000"/>
              </w:rPr>
            </w:pPr>
            <w:r w:rsidRPr="004C0B75">
              <w:rPr>
                <w:rFonts w:ascii="Times New Roman" w:hAnsi="Times New Roman"/>
                <w:b/>
                <w:color w:val="000000"/>
              </w:rPr>
              <w:t xml:space="preserve">Component of </w:t>
            </w:r>
            <w:proofErr w:type="spellStart"/>
            <w:r w:rsidRPr="004C0B75">
              <w:rPr>
                <w:rFonts w:ascii="Times New Roman" w:hAnsi="Times New Roman"/>
                <w:b/>
                <w:color w:val="000000"/>
              </w:rPr>
              <w:t>SPHERe</w:t>
            </w:r>
            <w:proofErr w:type="spellEnd"/>
            <w:r w:rsidRPr="004C0B75">
              <w:rPr>
                <w:rFonts w:ascii="Times New Roman" w:hAnsi="Times New Roman"/>
                <w:b/>
                <w:color w:val="000000"/>
              </w:rPr>
              <w:t xml:space="preserve"> Intervention</w:t>
            </w:r>
          </w:p>
        </w:tc>
        <w:tc>
          <w:tcPr>
            <w:tcW w:w="3131" w:type="dxa"/>
            <w:tcBorders>
              <w:top w:val="single" w:sz="4" w:space="0" w:color="auto"/>
              <w:bottom w:val="single" w:sz="4" w:space="0" w:color="auto"/>
            </w:tcBorders>
          </w:tcPr>
          <w:p w14:paraId="730EB6A9" w14:textId="77777777" w:rsidR="001552B1" w:rsidRPr="004C0B75" w:rsidRDefault="001552B1" w:rsidP="00730F44">
            <w:pPr>
              <w:pStyle w:val="ListParagraph"/>
              <w:spacing w:line="276" w:lineRule="auto"/>
              <w:ind w:left="0"/>
              <w:rPr>
                <w:rFonts w:ascii="Times New Roman" w:hAnsi="Times New Roman"/>
                <w:b/>
                <w:color w:val="000000"/>
              </w:rPr>
            </w:pPr>
            <w:r w:rsidRPr="004C0B75">
              <w:rPr>
                <w:rFonts w:ascii="Times New Roman" w:hAnsi="Times New Roman"/>
                <w:b/>
                <w:color w:val="000000"/>
              </w:rPr>
              <w:t>Finding</w:t>
            </w:r>
          </w:p>
        </w:tc>
        <w:tc>
          <w:tcPr>
            <w:tcW w:w="3161" w:type="dxa"/>
            <w:tcBorders>
              <w:top w:val="single" w:sz="4" w:space="0" w:color="auto"/>
              <w:bottom w:val="single" w:sz="4" w:space="0" w:color="auto"/>
            </w:tcBorders>
          </w:tcPr>
          <w:p w14:paraId="1682605E" w14:textId="77777777" w:rsidR="001552B1" w:rsidRPr="004C0B75" w:rsidRDefault="001552B1" w:rsidP="00730F44">
            <w:pPr>
              <w:pStyle w:val="ListParagraph"/>
              <w:spacing w:line="276" w:lineRule="auto"/>
              <w:ind w:left="0"/>
              <w:rPr>
                <w:rFonts w:ascii="Times New Roman" w:hAnsi="Times New Roman"/>
                <w:b/>
                <w:color w:val="000000"/>
              </w:rPr>
            </w:pPr>
            <w:r w:rsidRPr="004C0B75">
              <w:rPr>
                <w:rFonts w:ascii="Times New Roman" w:hAnsi="Times New Roman"/>
                <w:b/>
                <w:color w:val="000000"/>
              </w:rPr>
              <w:t>Implications</w:t>
            </w:r>
          </w:p>
        </w:tc>
      </w:tr>
      <w:tr w:rsidR="001552B1" w:rsidRPr="004C0B75" w14:paraId="094D167C" w14:textId="77777777" w:rsidTr="00730F44">
        <w:trPr>
          <w:trHeight w:val="1216"/>
        </w:trPr>
        <w:tc>
          <w:tcPr>
            <w:tcW w:w="2421" w:type="dxa"/>
            <w:tcBorders>
              <w:top w:val="single" w:sz="4" w:space="0" w:color="auto"/>
            </w:tcBorders>
          </w:tcPr>
          <w:p w14:paraId="7B047005"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Setting for programme delivery</w:t>
            </w:r>
          </w:p>
        </w:tc>
        <w:tc>
          <w:tcPr>
            <w:tcW w:w="3131" w:type="dxa"/>
            <w:tcBorders>
              <w:top w:val="single" w:sz="4" w:space="0" w:color="auto"/>
            </w:tcBorders>
          </w:tcPr>
          <w:p w14:paraId="744A56D7"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Half of included studies (10/19; 52%) delivered exercise during a residential inpatient stay. None of the outpatient studies were from the UK.</w:t>
            </w:r>
          </w:p>
        </w:tc>
        <w:tc>
          <w:tcPr>
            <w:tcW w:w="3161" w:type="dxa"/>
            <w:tcBorders>
              <w:top w:val="single" w:sz="4" w:space="0" w:color="auto"/>
            </w:tcBorders>
          </w:tcPr>
          <w:p w14:paraId="62F26D04"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Inpatient exercise is not feasible in the UK healthcare system. Outpatient exercise programmes for pulmonary hypertension have not been assessed in the UK despite existing cardiopulmonary rehabilitation programmes having capacity to accommodate this population.</w:t>
            </w:r>
          </w:p>
        </w:tc>
      </w:tr>
      <w:tr w:rsidR="001552B1" w:rsidRPr="004C0B75" w14:paraId="3B9F90DB" w14:textId="77777777" w:rsidTr="00730F44">
        <w:trPr>
          <w:trHeight w:val="1192"/>
        </w:trPr>
        <w:tc>
          <w:tcPr>
            <w:tcW w:w="2421" w:type="dxa"/>
          </w:tcPr>
          <w:p w14:paraId="6D645954"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Supervised exercise dose</w:t>
            </w:r>
          </w:p>
        </w:tc>
        <w:tc>
          <w:tcPr>
            <w:tcW w:w="3131" w:type="dxa"/>
          </w:tcPr>
          <w:p w14:paraId="3DC3D3E4"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 xml:space="preserve">Dose of prescribed exercise was well reported in all studies: programme length: 4-15 weeks, exercise duration: 20-60 minutes, frequency: 2-3 times per week, intensity: low to moderate. </w:t>
            </w:r>
          </w:p>
          <w:p w14:paraId="1CA4ACB8"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All parameters were within UK guidelines for cardiac and pulmonary rehabilitation (16-18).</w:t>
            </w:r>
          </w:p>
          <w:p w14:paraId="7482CEFB" w14:textId="77777777" w:rsidR="001552B1" w:rsidRPr="004C0B75" w:rsidRDefault="001552B1" w:rsidP="00730F44">
            <w:pPr>
              <w:pStyle w:val="ListParagraph"/>
              <w:spacing w:line="276" w:lineRule="auto"/>
              <w:ind w:left="0"/>
              <w:rPr>
                <w:rFonts w:ascii="Times New Roman" w:hAnsi="Times New Roman"/>
                <w:bCs/>
                <w:color w:val="000000"/>
              </w:rPr>
            </w:pPr>
          </w:p>
        </w:tc>
        <w:tc>
          <w:tcPr>
            <w:tcW w:w="3161" w:type="dxa"/>
          </w:tcPr>
          <w:p w14:paraId="594B5F9B"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Dose of exercise prescribed was within existing UK rehabilitation (17) guidelines. Inclusion of supervised exercise for pulmonary hypertension patients within existing cardiopulmonary rehabilitation programmes is feasible.</w:t>
            </w:r>
          </w:p>
        </w:tc>
      </w:tr>
      <w:tr w:rsidR="001552B1" w:rsidRPr="004C0B75" w14:paraId="51A740EF" w14:textId="77777777" w:rsidTr="00730F44">
        <w:trPr>
          <w:trHeight w:val="1192"/>
        </w:trPr>
        <w:tc>
          <w:tcPr>
            <w:tcW w:w="2421" w:type="dxa"/>
          </w:tcPr>
          <w:p w14:paraId="7384E956"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Home/unsupervised exercise</w:t>
            </w:r>
          </w:p>
        </w:tc>
        <w:tc>
          <w:tcPr>
            <w:tcW w:w="3131" w:type="dxa"/>
          </w:tcPr>
          <w:p w14:paraId="4CF888E5"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 xml:space="preserve">Over half of studies (11/19; 58%) combined supervised sessions in a gym/centre with unsupervised home-based exercise </w:t>
            </w:r>
            <w:proofErr w:type="gramStart"/>
            <w:r w:rsidRPr="004C0B75">
              <w:rPr>
                <w:rFonts w:ascii="Times New Roman" w:hAnsi="Times New Roman"/>
                <w:bCs/>
                <w:color w:val="000000"/>
              </w:rPr>
              <w:t>training, or</w:t>
            </w:r>
            <w:proofErr w:type="gramEnd"/>
            <w:r w:rsidRPr="004C0B75">
              <w:rPr>
                <w:rFonts w:ascii="Times New Roman" w:hAnsi="Times New Roman"/>
                <w:bCs/>
                <w:color w:val="000000"/>
              </w:rPr>
              <w:t xml:space="preserve"> used home-based exercise as an addition to centre-based exercise, although this was not well reported. </w:t>
            </w:r>
          </w:p>
          <w:p w14:paraId="75A88E62" w14:textId="77777777" w:rsidR="001552B1" w:rsidRPr="004C0B75" w:rsidRDefault="001552B1" w:rsidP="00730F44">
            <w:pPr>
              <w:pStyle w:val="ListParagraph"/>
              <w:spacing w:line="276" w:lineRule="auto"/>
              <w:ind w:left="0"/>
              <w:rPr>
                <w:rFonts w:ascii="Times New Roman" w:hAnsi="Times New Roman"/>
                <w:bCs/>
                <w:color w:val="000000"/>
              </w:rPr>
            </w:pPr>
          </w:p>
        </w:tc>
        <w:tc>
          <w:tcPr>
            <w:tcW w:w="3161" w:type="dxa"/>
          </w:tcPr>
          <w:p w14:paraId="5E6B3398"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 xml:space="preserve">The </w:t>
            </w:r>
            <w:proofErr w:type="spellStart"/>
            <w:r w:rsidRPr="004C0B75">
              <w:rPr>
                <w:rFonts w:ascii="Times New Roman" w:hAnsi="Times New Roman"/>
                <w:bCs/>
                <w:color w:val="000000"/>
              </w:rPr>
              <w:t>SPHERe</w:t>
            </w:r>
            <w:proofErr w:type="spellEnd"/>
            <w:r w:rsidRPr="004C0B75">
              <w:rPr>
                <w:rFonts w:ascii="Times New Roman" w:hAnsi="Times New Roman"/>
                <w:bCs/>
                <w:color w:val="000000"/>
              </w:rPr>
              <w:t xml:space="preserve"> intervention could include an unsupervised home exercise plan with exercises deemed safe to perform at home, with clear description and visual materials in a manualised format</w:t>
            </w:r>
          </w:p>
        </w:tc>
      </w:tr>
      <w:tr w:rsidR="001552B1" w:rsidRPr="004C0B75" w14:paraId="2457D3D5" w14:textId="77777777" w:rsidTr="00730F44">
        <w:trPr>
          <w:trHeight w:val="1216"/>
        </w:trPr>
        <w:tc>
          <w:tcPr>
            <w:tcW w:w="2421" w:type="dxa"/>
          </w:tcPr>
          <w:p w14:paraId="1872EE30"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Mode of exercise</w:t>
            </w:r>
          </w:p>
        </w:tc>
        <w:tc>
          <w:tcPr>
            <w:tcW w:w="3131" w:type="dxa"/>
          </w:tcPr>
          <w:p w14:paraId="0C28675B"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 xml:space="preserve">Most studies (17/19; 89%) tested combinations of dynamic aerobic exercises with strength exercise and/or respiratory muscle training.  Aerobic exercise consisted of cycle ergometry or walking. Strength exercises involved upper and </w:t>
            </w:r>
            <w:r w:rsidRPr="004C0B75">
              <w:rPr>
                <w:rFonts w:ascii="Times New Roman" w:hAnsi="Times New Roman"/>
                <w:bCs/>
                <w:color w:val="000000"/>
              </w:rPr>
              <w:lastRenderedPageBreak/>
              <w:t xml:space="preserve">lower body muscle groups with </w:t>
            </w:r>
            <w:proofErr w:type="gramStart"/>
            <w:r w:rsidRPr="004C0B75">
              <w:rPr>
                <w:rFonts w:ascii="Times New Roman" w:hAnsi="Times New Roman"/>
                <w:bCs/>
                <w:color w:val="000000"/>
              </w:rPr>
              <w:t>a number of</w:t>
            </w:r>
            <w:proofErr w:type="gramEnd"/>
            <w:r w:rsidRPr="004C0B75">
              <w:rPr>
                <w:rFonts w:ascii="Times New Roman" w:hAnsi="Times New Roman"/>
                <w:bCs/>
                <w:color w:val="000000"/>
              </w:rPr>
              <w:t xml:space="preserve"> sets of exercises with weights of low to moderate intensity.</w:t>
            </w:r>
          </w:p>
          <w:p w14:paraId="0511BF37" w14:textId="77777777" w:rsidR="001552B1" w:rsidRPr="004C0B75" w:rsidRDefault="001552B1" w:rsidP="00730F44">
            <w:pPr>
              <w:pStyle w:val="ListParagraph"/>
              <w:spacing w:line="276" w:lineRule="auto"/>
              <w:ind w:left="0"/>
              <w:rPr>
                <w:rFonts w:ascii="Times New Roman" w:hAnsi="Times New Roman"/>
                <w:bCs/>
                <w:color w:val="000000"/>
              </w:rPr>
            </w:pPr>
          </w:p>
        </w:tc>
        <w:tc>
          <w:tcPr>
            <w:tcW w:w="3161" w:type="dxa"/>
          </w:tcPr>
          <w:p w14:paraId="14E15A74"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lastRenderedPageBreak/>
              <w:t>There is evidence that it is safe and appropriate to prescribe both aerobic and strength exercise of moderate intensity for people with pulmonary hypertension.</w:t>
            </w:r>
          </w:p>
        </w:tc>
      </w:tr>
      <w:tr w:rsidR="001552B1" w:rsidRPr="004C0B75" w14:paraId="5DB86407" w14:textId="77777777" w:rsidTr="00730F44">
        <w:trPr>
          <w:trHeight w:val="1216"/>
        </w:trPr>
        <w:tc>
          <w:tcPr>
            <w:tcW w:w="2421" w:type="dxa"/>
          </w:tcPr>
          <w:p w14:paraId="586654FD"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Psychological support</w:t>
            </w:r>
          </w:p>
        </w:tc>
        <w:tc>
          <w:tcPr>
            <w:tcW w:w="3131" w:type="dxa"/>
          </w:tcPr>
          <w:p w14:paraId="68D75A1B"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 xml:space="preserve">Only one study (15) adequately described psychological and motivational strategies. Most studies (18/19; 94%) provided support group information sessions with limited information on </w:t>
            </w:r>
            <w:proofErr w:type="gramStart"/>
            <w:r w:rsidRPr="004C0B75">
              <w:rPr>
                <w:rFonts w:ascii="Times New Roman" w:hAnsi="Times New Roman"/>
                <w:bCs/>
                <w:color w:val="000000"/>
              </w:rPr>
              <w:t>content?.</w:t>
            </w:r>
            <w:proofErr w:type="gramEnd"/>
          </w:p>
          <w:p w14:paraId="28A8A2BD"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 xml:space="preserve"> </w:t>
            </w:r>
          </w:p>
        </w:tc>
        <w:tc>
          <w:tcPr>
            <w:tcW w:w="3161" w:type="dxa"/>
          </w:tcPr>
          <w:p w14:paraId="6877F9D6"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Develop a bespoke behavioural change component for people with pulmonary hypertension based on evidence for behaviour change models and involve stakeholder engagement/expert opinion within consensus meetings.</w:t>
            </w:r>
          </w:p>
        </w:tc>
      </w:tr>
      <w:tr w:rsidR="001552B1" w:rsidRPr="004C0B75" w14:paraId="58BDCE51" w14:textId="77777777" w:rsidTr="00730F44">
        <w:trPr>
          <w:trHeight w:val="1216"/>
        </w:trPr>
        <w:tc>
          <w:tcPr>
            <w:tcW w:w="2421" w:type="dxa"/>
            <w:tcBorders>
              <w:bottom w:val="single" w:sz="4" w:space="0" w:color="auto"/>
            </w:tcBorders>
          </w:tcPr>
          <w:p w14:paraId="05E23FDB"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Safety</w:t>
            </w:r>
          </w:p>
        </w:tc>
        <w:tc>
          <w:tcPr>
            <w:tcW w:w="3131" w:type="dxa"/>
            <w:tcBorders>
              <w:bottom w:val="single" w:sz="4" w:space="0" w:color="auto"/>
            </w:tcBorders>
          </w:tcPr>
          <w:p w14:paraId="53B869D5"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Sixteen studies (16/19; 84%) reported predefined criteria for adverse events. Inpatient and outpatient exercise for patients with pulmonary hypertension appears to be safe, with no reports of death occurring as a direct result of exercise.</w:t>
            </w:r>
          </w:p>
        </w:tc>
        <w:tc>
          <w:tcPr>
            <w:tcW w:w="3161" w:type="dxa"/>
            <w:tcBorders>
              <w:bottom w:val="single" w:sz="4" w:space="0" w:color="auto"/>
            </w:tcBorders>
          </w:tcPr>
          <w:p w14:paraId="64C0EFD6" w14:textId="77777777" w:rsidR="001552B1" w:rsidRPr="004C0B75" w:rsidRDefault="001552B1" w:rsidP="00730F44">
            <w:pPr>
              <w:pStyle w:val="ListParagraph"/>
              <w:spacing w:line="276" w:lineRule="auto"/>
              <w:ind w:left="0"/>
              <w:rPr>
                <w:rFonts w:ascii="Times New Roman" w:hAnsi="Times New Roman"/>
                <w:bCs/>
                <w:color w:val="000000"/>
              </w:rPr>
            </w:pPr>
            <w:r w:rsidRPr="004C0B75">
              <w:rPr>
                <w:rFonts w:ascii="Times New Roman" w:hAnsi="Times New Roman"/>
                <w:bCs/>
                <w:color w:val="000000"/>
              </w:rPr>
              <w:t>Patients with pulmonary hypertension can safely attend supervised outpatient exercise programmes.</w:t>
            </w:r>
          </w:p>
        </w:tc>
      </w:tr>
    </w:tbl>
    <w:p w14:paraId="04A0D0A5" w14:textId="63619744" w:rsidR="001552B1" w:rsidRPr="004C0B75" w:rsidRDefault="001552B1" w:rsidP="001552B1">
      <w:pPr>
        <w:rPr>
          <w:rFonts w:cs="Times New Roman"/>
          <w:b/>
          <w:color w:val="000000"/>
          <w:sz w:val="22"/>
          <w:szCs w:val="22"/>
        </w:rPr>
      </w:pPr>
      <w:r w:rsidRPr="004C0B75">
        <w:rPr>
          <w:rFonts w:cs="Times New Roman"/>
          <w:b/>
          <w:color w:val="000000"/>
          <w:sz w:val="22"/>
          <w:szCs w:val="22"/>
        </w:rPr>
        <w:t xml:space="preserve"> Reproduced and adapted from McGregor et al 2018 </w:t>
      </w:r>
      <w:r w:rsidRPr="004C0B75">
        <w:rPr>
          <w:rFonts w:cs="Times New Roman"/>
          <w:b/>
          <w:color w:val="000000"/>
          <w:sz w:val="22"/>
          <w:szCs w:val="22"/>
        </w:rPr>
        <w:fldChar w:fldCharType="begin"/>
      </w:r>
      <w:r w:rsidRPr="004C0B75">
        <w:rPr>
          <w:rFonts w:cs="Times New Roman"/>
          <w:b/>
          <w:color w:val="000000"/>
          <w:sz w:val="22"/>
          <w:szCs w:val="22"/>
        </w:rPr>
        <w:instrText xml:space="preserve"> ADDIN EN.CITE &lt;EndNote&gt;&lt;Cite&gt;&lt;Author&gt;McGregor&lt;/Author&gt;&lt;Year&gt;2018&lt;/Year&gt;&lt;IDText&gt;Exercise rehabilitation programmes for pulmonary hypertension: a systematic review of intervention components and reporting quality&lt;/IDText&gt;&lt;DisplayText&gt;(11)&lt;/DisplayText&gt;&lt;record&gt;&lt;keywords&gt;&lt;keyword&gt;Consensus on Exercise Reporting Template (CERT)&lt;/keyword&gt;&lt;keyword&gt;exercise rehabilitation&lt;/keyword&gt;&lt;keyword&gt;pulmonary hypertension&lt;/keyword&gt;&lt;/keywords&gt;&lt;urls&gt;&lt;related-urls&gt;&lt;url&gt;https://www.ncbi.nlm.nih.gov/pubmed/30364456&lt;/url&gt;&lt;/related-urls&gt;&lt;/urls&gt;&lt;isbn&gt;2055-7647&lt;/isbn&gt;&lt;custom2&gt;PMC6196941&lt;/custom2&gt;&lt;titles&gt;&lt;title&gt;Exercise rehabilitation programmes for pulmonary hypertension: a systematic review of intervention components and reporting quality&lt;/title&gt;&lt;secondary-title&gt;BMJ Open Sport Exerc Med&lt;/secondary-title&gt;&lt;/titles&gt;&lt;pages&gt;e000400&lt;/pages&gt;&lt;number&gt;1&lt;/number&gt;&lt;contributors&gt;&lt;authors&gt;&lt;author&gt;McGregor, G.&lt;/author&gt;&lt;author&gt;Powell, R.&lt;/author&gt;&lt;author&gt;Finnegan, S.&lt;/author&gt;&lt;author&gt;Nichols, S.&lt;/author&gt;&lt;author&gt;Underwood, M.&lt;/author&gt;&lt;/authors&gt;&lt;/contributors&gt;&lt;edition&gt;2018/10/16&lt;/edition&gt;&lt;language&gt;eng&lt;/language&gt;&lt;added-date format="utc"&gt;1587559106&lt;/added-date&gt;&lt;ref-type name="Journal Article"&gt;17&lt;/ref-type&gt;&lt;dates&gt;&lt;year&gt;2018&lt;/year&gt;&lt;/dates&gt;&lt;rec-number&gt;635&lt;/rec-number&gt;&lt;last-updated-date format="utc"&gt;1587559106&lt;/last-updated-date&gt;&lt;accession-num&gt;30364456&lt;/accession-num&gt;&lt;electronic-resource-num&gt;10.1136/bmjsem-2018-000400&lt;/electronic-resource-num&gt;&lt;volume&gt;4&lt;/volume&gt;&lt;/record&gt;&lt;/Cite&gt;&lt;/EndNote&gt;</w:instrText>
      </w:r>
      <w:r w:rsidRPr="004C0B75">
        <w:rPr>
          <w:rFonts w:cs="Times New Roman"/>
          <w:b/>
          <w:color w:val="000000"/>
          <w:sz w:val="22"/>
          <w:szCs w:val="22"/>
        </w:rPr>
        <w:fldChar w:fldCharType="separate"/>
      </w:r>
      <w:r w:rsidRPr="004C0B75">
        <w:rPr>
          <w:rFonts w:cs="Times New Roman"/>
          <w:b/>
          <w:noProof/>
          <w:color w:val="000000"/>
          <w:sz w:val="22"/>
          <w:szCs w:val="22"/>
        </w:rPr>
        <w:t>(11)</w:t>
      </w:r>
      <w:r w:rsidRPr="004C0B75">
        <w:rPr>
          <w:rFonts w:cs="Times New Roman"/>
          <w:b/>
          <w:color w:val="000000"/>
          <w:sz w:val="22"/>
          <w:szCs w:val="22"/>
        </w:rPr>
        <w:fldChar w:fldCharType="end"/>
      </w:r>
      <w:r w:rsidRPr="004C0B75">
        <w:rPr>
          <w:rFonts w:cs="Times New Roman"/>
          <w:sz w:val="22"/>
          <w:szCs w:val="22"/>
        </w:rPr>
        <w:t xml:space="preserve"> </w:t>
      </w:r>
      <w:r w:rsidRPr="004C0B75">
        <w:rPr>
          <w:rFonts w:cs="Times New Roman"/>
          <w:b/>
          <w:color w:val="000000"/>
          <w:sz w:val="22"/>
          <w:szCs w:val="22"/>
        </w:rPr>
        <w:t>Re-use permitted under CC BY-NC</w:t>
      </w:r>
    </w:p>
    <w:p w14:paraId="26E5E21B" w14:textId="77777777" w:rsidR="00BB3486" w:rsidRDefault="001552B1"/>
    <w:sectPr w:rsidR="00BB34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2B1"/>
    <w:rsid w:val="001552B1"/>
    <w:rsid w:val="0024260A"/>
    <w:rsid w:val="003E15E9"/>
    <w:rsid w:val="00954F26"/>
    <w:rsid w:val="00D055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D37F3"/>
  <w15:chartTrackingRefBased/>
  <w15:docId w15:val="{CA5C8B02-4766-482F-B4C6-B58D0BCAB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2B1"/>
    <w:pPr>
      <w:spacing w:after="200" w:line="276" w:lineRule="auto"/>
    </w:pPr>
    <w:rPr>
      <w:rFonts w:ascii="Times New Roman" w:hAnsi="Times New Roman"/>
      <w:sz w:val="2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52B1"/>
    <w:pPr>
      <w:spacing w:after="160" w:line="259" w:lineRule="auto"/>
      <w:ind w:left="720"/>
      <w:contextualSpacing/>
    </w:pPr>
    <w:rPr>
      <w:rFonts w:asciiTheme="minorHAnsi" w:hAnsiTheme="minorHAnsi"/>
      <w:sz w:val="22"/>
      <w:szCs w:val="22"/>
    </w:rPr>
  </w:style>
  <w:style w:type="table" w:styleId="TableGrid">
    <w:name w:val="Table Grid"/>
    <w:basedOn w:val="TableNormal"/>
    <w:uiPriority w:val="39"/>
    <w:rsid w:val="001552B1"/>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3788</Characters>
  <Application>Microsoft Office Word</Application>
  <DocSecurity>0</DocSecurity>
  <Lines>31</Lines>
  <Paragraphs>8</Paragraphs>
  <ScaleCrop>false</ScaleCrop>
  <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Ennis, Stuart</dc:creator>
  <cp:keywords/>
  <dc:description/>
  <cp:lastModifiedBy>Ennis, Stuart</cp:lastModifiedBy>
  <cp:revision>1</cp:revision>
  <dcterms:created xsi:type="dcterms:W3CDTF">2022-06-23T15:07:00Z</dcterms:created>
  <dcterms:modified xsi:type="dcterms:W3CDTF">2022-06-23T15:08:00Z</dcterms:modified>
</cp:coreProperties>
</file>