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3A49" w14:textId="09F00F28" w:rsidR="003807F8" w:rsidRPr="00325E2F" w:rsidRDefault="003807F8" w:rsidP="003807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E2F">
        <w:rPr>
          <w:noProof/>
        </w:rPr>
        <w:drawing>
          <wp:inline distT="0" distB="0" distL="0" distR="0" wp14:anchorId="68ECD0AB" wp14:editId="3315BC69">
            <wp:extent cx="5943600" cy="4822190"/>
            <wp:effectExtent l="0" t="0" r="0" b="0"/>
            <wp:docPr id="1956668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E2F">
        <w:rPr>
          <w:rFonts w:ascii="Times New Roman" w:hAnsi="Times New Roman" w:cs="Times New Roman"/>
          <w:sz w:val="24"/>
          <w:szCs w:val="24"/>
        </w:rPr>
        <w:t xml:space="preserve">Supplemental Figure 1. </w:t>
      </w:r>
      <w:r w:rsidRPr="00325E2F">
        <w:rPr>
          <w:rFonts w:ascii="Times New Roman" w:hAnsi="Times New Roman" w:cs="Times New Roman"/>
          <w:sz w:val="24"/>
          <w:szCs w:val="24"/>
          <w:u w:val="single"/>
        </w:rPr>
        <w:t>Plasma cytokines are similar in LACV-infected cynomolgus macaques regardless of age</w:t>
      </w:r>
      <w:r w:rsidRPr="00325E2F">
        <w:rPr>
          <w:rFonts w:ascii="Times New Roman" w:hAnsi="Times New Roman" w:cs="Times New Roman"/>
          <w:sz w:val="24"/>
          <w:szCs w:val="24"/>
        </w:rPr>
        <w:t xml:space="preserve">. Plasma isolated from the blood of mock and LACV-infected weanling, juvenile, and cynomolgus macaques at 3, 7, 14 and 21dpi was Luminex magnetic bead-based assayed for the protein concentration of CCL2 (A-C), and IL-12 (D-F) cytokines. Data are plotted as picograms/mL concentrations. </w:t>
      </w:r>
    </w:p>
    <w:p w14:paraId="3410C761" w14:textId="77777777" w:rsidR="003807F8" w:rsidRPr="00325E2F" w:rsidRDefault="003807F8" w:rsidP="003807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DAB4F" w14:textId="78D6975B" w:rsidR="003807F8" w:rsidRPr="00325E2F" w:rsidRDefault="003807F8" w:rsidP="003807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E2F">
        <w:rPr>
          <w:noProof/>
        </w:rPr>
        <w:lastRenderedPageBreak/>
        <w:drawing>
          <wp:inline distT="0" distB="0" distL="0" distR="0" wp14:anchorId="7C68EF4B" wp14:editId="05C6B4E1">
            <wp:extent cx="5943600" cy="4406900"/>
            <wp:effectExtent l="0" t="0" r="0" b="0"/>
            <wp:docPr id="20706546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E2F">
        <w:rPr>
          <w:rFonts w:ascii="Times New Roman" w:hAnsi="Times New Roman" w:cs="Times New Roman"/>
          <w:sz w:val="24"/>
          <w:szCs w:val="24"/>
        </w:rPr>
        <w:t xml:space="preserve">Supplemental Figure 2. </w:t>
      </w:r>
      <w:r w:rsidRPr="00325E2F">
        <w:rPr>
          <w:rFonts w:ascii="Times New Roman" w:hAnsi="Times New Roman" w:cs="Times New Roman"/>
          <w:sz w:val="24"/>
          <w:szCs w:val="24"/>
          <w:u w:val="single"/>
        </w:rPr>
        <w:t>CD8</w:t>
      </w:r>
      <w:r w:rsidRPr="00325E2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+</w:t>
      </w:r>
      <w:r w:rsidRPr="00325E2F">
        <w:rPr>
          <w:rFonts w:ascii="Times New Roman" w:hAnsi="Times New Roman" w:cs="Times New Roman"/>
          <w:sz w:val="24"/>
          <w:szCs w:val="24"/>
          <w:u w:val="single"/>
        </w:rPr>
        <w:t xml:space="preserve"> T cell proportions in mock and LACV-infected cynomolgus macaque</w:t>
      </w:r>
      <w:r w:rsidRPr="00325E2F">
        <w:rPr>
          <w:rFonts w:ascii="Times New Roman" w:hAnsi="Times New Roman" w:cs="Times New Roman"/>
          <w:sz w:val="24"/>
          <w:szCs w:val="24"/>
        </w:rPr>
        <w:t>. The proportion of CD8</w:t>
      </w:r>
      <w:r w:rsidRPr="00325E2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325E2F">
        <w:rPr>
          <w:rFonts w:ascii="Times New Roman" w:hAnsi="Times New Roman" w:cs="Times New Roman"/>
          <w:sz w:val="24"/>
          <w:szCs w:val="24"/>
        </w:rPr>
        <w:t xml:space="preserve">T cells was determined in LACV-infected weanling (A), and mock and LACV-infected juvenile (B) and adult (C) animals. Activated </w:t>
      </w:r>
      <w:r w:rsidR="00220384" w:rsidRPr="00325E2F">
        <w:rPr>
          <w:rFonts w:ascii="Times New Roman" w:hAnsi="Times New Roman" w:cs="Times New Roman"/>
          <w:sz w:val="24"/>
          <w:szCs w:val="24"/>
        </w:rPr>
        <w:t>CD8</w:t>
      </w:r>
      <w:r w:rsidRPr="00325E2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E2F">
        <w:rPr>
          <w:rFonts w:ascii="Times New Roman" w:hAnsi="Times New Roman" w:cs="Times New Roman"/>
          <w:sz w:val="24"/>
          <w:szCs w:val="24"/>
        </w:rPr>
        <w:t xml:space="preserve"> CD44</w:t>
      </w:r>
      <w:r w:rsidRPr="00325E2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E2F">
        <w:rPr>
          <w:rFonts w:ascii="Times New Roman" w:hAnsi="Times New Roman" w:cs="Times New Roman"/>
          <w:sz w:val="24"/>
          <w:szCs w:val="24"/>
        </w:rPr>
        <w:t xml:space="preserve"> T cells were determined in the same animals (D-F). All data are presented as the proportion of T cells within total PBMCs.</w:t>
      </w:r>
    </w:p>
    <w:p w14:paraId="4161ABB9" w14:textId="36555B61" w:rsidR="003807F8" w:rsidRDefault="003807F8" w:rsidP="003807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E2F">
        <w:rPr>
          <w:noProof/>
        </w:rPr>
        <w:lastRenderedPageBreak/>
        <w:drawing>
          <wp:inline distT="0" distB="0" distL="0" distR="0" wp14:anchorId="62091D10" wp14:editId="029AC00F">
            <wp:extent cx="5943600" cy="1638935"/>
            <wp:effectExtent l="0" t="0" r="0" b="0"/>
            <wp:docPr id="10527810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E2F">
        <w:rPr>
          <w:rFonts w:ascii="Times New Roman" w:hAnsi="Times New Roman" w:cs="Times New Roman"/>
          <w:sz w:val="24"/>
          <w:szCs w:val="24"/>
        </w:rPr>
        <w:t xml:space="preserve">Supplemental Figure 3. </w:t>
      </w:r>
      <w:r w:rsidRPr="00325E2F">
        <w:rPr>
          <w:rFonts w:ascii="Times New Roman" w:hAnsi="Times New Roman" w:cs="Times New Roman"/>
          <w:sz w:val="24"/>
          <w:szCs w:val="24"/>
          <w:u w:val="single"/>
        </w:rPr>
        <w:t>Cellular immune response in EDTA whole blood of LACV-infected common marmosets</w:t>
      </w:r>
      <w:r w:rsidRPr="00325E2F">
        <w:rPr>
          <w:rFonts w:ascii="Times New Roman" w:hAnsi="Times New Roman" w:cs="Times New Roman"/>
          <w:sz w:val="24"/>
          <w:szCs w:val="24"/>
        </w:rPr>
        <w:t>. PBMCs were isolated from the blood of LACV-infected common marmosets at 3, 7, 14 and 21dpi. Using flow cytometry gating strategies for dendritic cells (Figure 3A-B) and CD4</w:t>
      </w:r>
      <w:r w:rsidRPr="00325E2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E2F">
        <w:rPr>
          <w:rFonts w:ascii="Times New Roman" w:hAnsi="Times New Roman" w:cs="Times New Roman"/>
          <w:sz w:val="24"/>
          <w:szCs w:val="24"/>
        </w:rPr>
        <w:t xml:space="preserve"> T cells (Figure 5A-C), the proportions of CD11c+ dendritic cells (A), CD4</w:t>
      </w:r>
      <w:r w:rsidRPr="00325E2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E2F">
        <w:rPr>
          <w:rFonts w:ascii="Times New Roman" w:hAnsi="Times New Roman" w:cs="Times New Roman"/>
          <w:sz w:val="24"/>
          <w:szCs w:val="24"/>
        </w:rPr>
        <w:t xml:space="preserve"> T cells (B) and activated CD4</w:t>
      </w:r>
      <w:r w:rsidRPr="00325E2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E2F">
        <w:rPr>
          <w:rFonts w:ascii="Times New Roman" w:hAnsi="Times New Roman" w:cs="Times New Roman"/>
          <w:sz w:val="24"/>
          <w:szCs w:val="24"/>
        </w:rPr>
        <w:t xml:space="preserve"> CD44</w:t>
      </w:r>
      <w:r w:rsidRPr="00325E2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25E2F">
        <w:rPr>
          <w:rFonts w:ascii="Times New Roman" w:hAnsi="Times New Roman" w:cs="Times New Roman"/>
          <w:sz w:val="24"/>
          <w:szCs w:val="24"/>
        </w:rPr>
        <w:t xml:space="preserve"> T cells in whole blood were determined. Data are plotted as the portion of each identified cell type as part of total PBMCs.</w:t>
      </w:r>
    </w:p>
    <w:p w14:paraId="3D08515D" w14:textId="77777777" w:rsidR="003807F8" w:rsidRDefault="003807F8"/>
    <w:sectPr w:rsidR="0038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F8"/>
    <w:rsid w:val="001B5E40"/>
    <w:rsid w:val="00206336"/>
    <w:rsid w:val="00220384"/>
    <w:rsid w:val="00325E2F"/>
    <w:rsid w:val="003807F8"/>
    <w:rsid w:val="0077076A"/>
    <w:rsid w:val="00770DAC"/>
    <w:rsid w:val="007769A6"/>
    <w:rsid w:val="007F751F"/>
    <w:rsid w:val="00851C1C"/>
    <w:rsid w:val="008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3D40"/>
  <w15:chartTrackingRefBased/>
  <w15:docId w15:val="{830D4B61-A10B-446F-9207-3F6BDF0D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F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2038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Winkler, Clayton (NIH/NIAID) [E]</dc:creator>
  <cp:keywords/>
  <dc:description/>
  <cp:lastModifiedBy>Winkler, Clayton (NIH/NIAID) [E]</cp:lastModifiedBy>
  <cp:revision>2</cp:revision>
  <dcterms:created xsi:type="dcterms:W3CDTF">2025-04-11T17:51:00Z</dcterms:created>
  <dcterms:modified xsi:type="dcterms:W3CDTF">2025-04-11T17:51:00Z</dcterms:modified>
</cp:coreProperties>
</file>