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52B4C1" w14:textId="69F9E42D" w:rsidR="009838FF" w:rsidRPr="00B86346" w:rsidRDefault="513A733E" w:rsidP="513A733E">
      <w:pPr>
        <w:jc w:val="center"/>
        <w:rPr>
          <w:rFonts w:asciiTheme="majorBidi" w:hAnsiTheme="majorBidi" w:cstheme="majorBidi"/>
          <w:b/>
          <w:bCs/>
          <w:color w:val="000000" w:themeColor="text1"/>
          <w:sz w:val="24"/>
          <w:szCs w:val="24"/>
        </w:rPr>
      </w:pPr>
      <w:r w:rsidRPr="00B86346">
        <w:rPr>
          <w:rFonts w:asciiTheme="majorBidi" w:hAnsiTheme="majorBidi" w:cstheme="majorBidi"/>
          <w:b/>
          <w:bCs/>
          <w:color w:val="000000" w:themeColor="text1"/>
          <w:sz w:val="24"/>
          <w:szCs w:val="24"/>
        </w:rPr>
        <w:t>Supplementary data for</w:t>
      </w:r>
    </w:p>
    <w:p w14:paraId="3ACF148C" w14:textId="77777777" w:rsidR="00764138" w:rsidRPr="00D61B11" w:rsidRDefault="00764138" w:rsidP="00764138">
      <w:pPr>
        <w:spacing w:after="0" w:line="360" w:lineRule="auto"/>
        <w:contextualSpacing/>
        <w:jc w:val="center"/>
        <w:rPr>
          <w:rFonts w:asciiTheme="majorBidi" w:eastAsia="MS Gothic" w:hAnsiTheme="majorBidi" w:cstheme="majorBidi"/>
          <w:b/>
          <w:bCs/>
          <w:color w:val="000000" w:themeColor="text1"/>
          <w:spacing w:val="-10"/>
          <w:kern w:val="28"/>
          <w:sz w:val="28"/>
          <w:szCs w:val="28"/>
        </w:rPr>
      </w:pPr>
      <w:r w:rsidRPr="00D61B11">
        <w:rPr>
          <w:rFonts w:asciiTheme="majorBidi" w:eastAsia="MS Gothic" w:hAnsiTheme="majorBidi" w:cstheme="majorBidi"/>
          <w:b/>
          <w:bCs/>
          <w:color w:val="000000" w:themeColor="text1"/>
          <w:spacing w:val="-10"/>
          <w:kern w:val="28"/>
          <w:sz w:val="28"/>
          <w:szCs w:val="28"/>
        </w:rPr>
        <w:t>Enhanced oral delivery of paclitaxel via a folate decorated zein nanoparticles across intestinal organoid and in vivo models</w:t>
      </w:r>
    </w:p>
    <w:p w14:paraId="343FFB07" w14:textId="77777777" w:rsidR="00D57751" w:rsidRPr="00D57751" w:rsidRDefault="00D57751" w:rsidP="00D57751">
      <w:pPr>
        <w:spacing w:after="200" w:line="360" w:lineRule="auto"/>
        <w:jc w:val="both"/>
        <w:rPr>
          <w:rFonts w:ascii="Times New Roman" w:eastAsia="Calibri" w:hAnsi="Times New Roman" w:cs="Times New Roman"/>
          <w:sz w:val="24"/>
          <w:szCs w:val="24"/>
        </w:rPr>
      </w:pPr>
      <w:r w:rsidRPr="00D57751">
        <w:rPr>
          <w:rFonts w:ascii="Times New Roman" w:eastAsia="Calibri" w:hAnsi="Times New Roman" w:cs="Times New Roman"/>
          <w:sz w:val="24"/>
          <w:szCs w:val="24"/>
        </w:rPr>
        <w:t xml:space="preserve">Ahmed Somaida </w:t>
      </w:r>
      <w:r w:rsidRPr="00D57751">
        <w:rPr>
          <w:rFonts w:ascii="Times New Roman" w:eastAsia="Calibri" w:hAnsi="Times New Roman" w:cs="Times New Roman"/>
          <w:sz w:val="24"/>
          <w:szCs w:val="24"/>
          <w:vertAlign w:val="superscript"/>
        </w:rPr>
        <w:t>1┼</w:t>
      </w:r>
      <w:r w:rsidRPr="00D57751">
        <w:rPr>
          <w:rFonts w:ascii="Times New Roman" w:eastAsia="Calibri" w:hAnsi="Times New Roman" w:cs="Times New Roman"/>
          <w:sz w:val="24"/>
          <w:szCs w:val="24"/>
        </w:rPr>
        <w:t xml:space="preserve">, Ahmed M. Abdelsalam </w:t>
      </w:r>
      <w:r w:rsidRPr="00D57751">
        <w:rPr>
          <w:rFonts w:ascii="Times New Roman" w:eastAsia="Calibri" w:hAnsi="Times New Roman" w:cs="Times New Roman"/>
          <w:sz w:val="24"/>
          <w:szCs w:val="24"/>
          <w:vertAlign w:val="superscript"/>
        </w:rPr>
        <w:t>1,2┼*</w:t>
      </w:r>
      <w:r w:rsidRPr="00D57751">
        <w:rPr>
          <w:rFonts w:ascii="Times New Roman" w:eastAsia="Calibri" w:hAnsi="Times New Roman" w:cs="Times New Roman"/>
          <w:sz w:val="24"/>
          <w:szCs w:val="24"/>
        </w:rPr>
        <w:t>, Shaimaa M. Khedr</w:t>
      </w:r>
      <w:r w:rsidRPr="00D57751">
        <w:rPr>
          <w:rFonts w:ascii="Times New Roman" w:eastAsia="Calibri" w:hAnsi="Times New Roman" w:cs="Times New Roman"/>
          <w:sz w:val="24"/>
          <w:szCs w:val="24"/>
          <w:vertAlign w:val="superscript"/>
        </w:rPr>
        <w:t xml:space="preserve"> 3</w:t>
      </w:r>
      <w:r w:rsidRPr="00D57751">
        <w:rPr>
          <w:rFonts w:ascii="Times New Roman" w:eastAsia="Calibri" w:hAnsi="Times New Roman" w:cs="Times New Roman"/>
          <w:sz w:val="24"/>
          <w:szCs w:val="24"/>
        </w:rPr>
        <w:t xml:space="preserve">, </w:t>
      </w:r>
      <w:r w:rsidRPr="00D57751">
        <w:rPr>
          <w:rFonts w:ascii="Times New Roman" w:eastAsia="Arial" w:hAnsi="Times New Roman" w:cs="Times New Roman"/>
          <w:sz w:val="24"/>
          <w:szCs w:val="24"/>
        </w:rPr>
        <w:t>Ahmed M. Mohamed</w:t>
      </w:r>
      <w:r w:rsidRPr="00D57751">
        <w:rPr>
          <w:rFonts w:ascii="Times New Roman" w:eastAsia="Arial" w:hAnsi="Times New Roman" w:cs="Times New Roman"/>
          <w:sz w:val="24"/>
          <w:szCs w:val="24"/>
          <w:vertAlign w:val="superscript"/>
        </w:rPr>
        <w:t xml:space="preserve"> 2</w:t>
      </w:r>
      <w:r w:rsidRPr="00D57751">
        <w:rPr>
          <w:rFonts w:ascii="Times New Roman" w:eastAsia="Arial" w:hAnsi="Times New Roman" w:cs="Times New Roman"/>
          <w:sz w:val="24"/>
          <w:szCs w:val="24"/>
        </w:rPr>
        <w:t>, Imran Tariq</w:t>
      </w:r>
      <w:r w:rsidRPr="00D57751">
        <w:rPr>
          <w:rFonts w:ascii="Times New Roman" w:eastAsia="Arial" w:hAnsi="Times New Roman" w:cs="Times New Roman"/>
          <w:b/>
          <w:bCs/>
          <w:sz w:val="24"/>
          <w:szCs w:val="24"/>
        </w:rPr>
        <w:t xml:space="preserve"> </w:t>
      </w:r>
      <w:r w:rsidRPr="00D57751">
        <w:rPr>
          <w:rFonts w:ascii="Times New Roman" w:eastAsia="Arial" w:hAnsi="Times New Roman" w:cs="Times New Roman"/>
          <w:sz w:val="24"/>
          <w:szCs w:val="24"/>
          <w:vertAlign w:val="superscript"/>
        </w:rPr>
        <w:t>1,4</w:t>
      </w:r>
      <w:r w:rsidRPr="00D57751">
        <w:rPr>
          <w:rFonts w:ascii="Times New Roman" w:eastAsia="Arial" w:hAnsi="Times New Roman" w:cs="Times New Roman"/>
          <w:sz w:val="24"/>
          <w:szCs w:val="24"/>
        </w:rPr>
        <w:t>,</w:t>
      </w:r>
      <w:r w:rsidRPr="00D57751">
        <w:rPr>
          <w:rFonts w:ascii="Times New Roman" w:eastAsia="Calibri" w:hAnsi="Times New Roman" w:cs="Times New Roman"/>
          <w:sz w:val="24"/>
          <w:szCs w:val="24"/>
        </w:rPr>
        <w:t xml:space="preserve"> Noor </w:t>
      </w:r>
      <w:proofErr w:type="spellStart"/>
      <w:r w:rsidRPr="00D57751">
        <w:rPr>
          <w:rFonts w:ascii="Times New Roman" w:eastAsia="Calibri" w:hAnsi="Times New Roman" w:cs="Times New Roman"/>
          <w:sz w:val="24"/>
          <w:szCs w:val="24"/>
        </w:rPr>
        <w:t>Almohsen</w:t>
      </w:r>
      <w:proofErr w:type="spellEnd"/>
      <w:r w:rsidRPr="00D57751">
        <w:rPr>
          <w:rFonts w:ascii="Times New Roman" w:eastAsia="Calibri" w:hAnsi="Times New Roman" w:cs="Times New Roman"/>
          <w:sz w:val="24"/>
          <w:szCs w:val="24"/>
          <w:vertAlign w:val="superscript"/>
        </w:rPr>
        <w:t xml:space="preserve"> 5</w:t>
      </w:r>
      <w:r w:rsidRPr="00D57751">
        <w:rPr>
          <w:rFonts w:ascii="Times New Roman" w:eastAsia="Calibri" w:hAnsi="Times New Roman" w:cs="Times New Roman"/>
          <w:sz w:val="24"/>
          <w:szCs w:val="24"/>
        </w:rPr>
        <w:t xml:space="preserve">, Orchid Ashraf </w:t>
      </w:r>
      <w:r w:rsidRPr="00D57751">
        <w:rPr>
          <w:rFonts w:ascii="Times New Roman" w:eastAsia="Calibri" w:hAnsi="Times New Roman" w:cs="Times New Roman"/>
          <w:sz w:val="24"/>
          <w:szCs w:val="24"/>
          <w:vertAlign w:val="superscript"/>
        </w:rPr>
        <w:t>5</w:t>
      </w:r>
      <w:r w:rsidRPr="00D57751">
        <w:rPr>
          <w:rFonts w:ascii="Times New Roman" w:eastAsia="Calibri" w:hAnsi="Times New Roman" w:cs="Times New Roman"/>
          <w:sz w:val="24"/>
          <w:szCs w:val="24"/>
        </w:rPr>
        <w:t xml:space="preserve">, Michael </w:t>
      </w:r>
      <w:proofErr w:type="spellStart"/>
      <w:r w:rsidRPr="00D57751">
        <w:rPr>
          <w:rFonts w:ascii="Times New Roman" w:eastAsia="Calibri" w:hAnsi="Times New Roman" w:cs="Times New Roman"/>
          <w:sz w:val="24"/>
          <w:szCs w:val="24"/>
        </w:rPr>
        <w:t>Keusgen</w:t>
      </w:r>
      <w:proofErr w:type="spellEnd"/>
      <w:r w:rsidRPr="00D57751">
        <w:rPr>
          <w:rFonts w:ascii="Times New Roman" w:eastAsia="Calibri" w:hAnsi="Times New Roman" w:cs="Times New Roman"/>
          <w:sz w:val="24"/>
          <w:szCs w:val="24"/>
          <w:vertAlign w:val="superscript"/>
        </w:rPr>
        <w:t xml:space="preserve"> 5</w:t>
      </w:r>
      <w:r w:rsidRPr="00D57751">
        <w:rPr>
          <w:rFonts w:ascii="Times New Roman" w:eastAsia="Calibri" w:hAnsi="Times New Roman" w:cs="Times New Roman"/>
          <w:sz w:val="24"/>
          <w:szCs w:val="24"/>
        </w:rPr>
        <w:t xml:space="preserve">, Shaaban K. Osman </w:t>
      </w:r>
      <w:r w:rsidRPr="00D57751">
        <w:rPr>
          <w:rFonts w:ascii="Times New Roman" w:eastAsia="Calibri" w:hAnsi="Times New Roman" w:cs="Times New Roman"/>
          <w:sz w:val="24"/>
          <w:szCs w:val="24"/>
          <w:vertAlign w:val="superscript"/>
        </w:rPr>
        <w:t>2</w:t>
      </w:r>
      <w:r w:rsidRPr="00D57751">
        <w:rPr>
          <w:rFonts w:ascii="Times New Roman" w:eastAsia="Calibri" w:hAnsi="Times New Roman" w:cs="Times New Roman"/>
          <w:sz w:val="24"/>
          <w:szCs w:val="24"/>
        </w:rPr>
        <w:t>, Majid M. Al-</w:t>
      </w:r>
      <w:proofErr w:type="spellStart"/>
      <w:r w:rsidRPr="00D57751">
        <w:rPr>
          <w:rFonts w:ascii="Times New Roman" w:eastAsia="Calibri" w:hAnsi="Times New Roman" w:cs="Times New Roman"/>
          <w:sz w:val="24"/>
          <w:szCs w:val="24"/>
        </w:rPr>
        <w:t>Sawahli</w:t>
      </w:r>
      <w:proofErr w:type="spellEnd"/>
      <w:r w:rsidRPr="00D57751">
        <w:rPr>
          <w:rFonts w:ascii="Times New Roman" w:eastAsia="Calibri" w:hAnsi="Times New Roman" w:cs="Times New Roman"/>
          <w:sz w:val="24"/>
          <w:szCs w:val="24"/>
        </w:rPr>
        <w:t xml:space="preserve"> </w:t>
      </w:r>
      <w:r w:rsidRPr="00D57751">
        <w:rPr>
          <w:rFonts w:ascii="Times New Roman" w:eastAsia="Calibri" w:hAnsi="Times New Roman" w:cs="Times New Roman"/>
          <w:sz w:val="24"/>
          <w:szCs w:val="24"/>
          <w:vertAlign w:val="superscript"/>
        </w:rPr>
        <w:t>6</w:t>
      </w:r>
      <w:r w:rsidRPr="00D57751">
        <w:rPr>
          <w:rFonts w:ascii="Times New Roman" w:eastAsia="Calibri" w:hAnsi="Times New Roman" w:cs="Times New Roman"/>
          <w:sz w:val="24"/>
          <w:szCs w:val="24"/>
        </w:rPr>
        <w:t xml:space="preserve">, Dandan Zhao </w:t>
      </w:r>
      <w:r w:rsidRPr="00D57751">
        <w:rPr>
          <w:rFonts w:ascii="Times New Roman" w:eastAsia="Calibri" w:hAnsi="Times New Roman" w:cs="Times New Roman"/>
          <w:sz w:val="24"/>
          <w:szCs w:val="24"/>
          <w:vertAlign w:val="superscript"/>
        </w:rPr>
        <w:t>7</w:t>
      </w:r>
      <w:r w:rsidRPr="00D57751">
        <w:rPr>
          <w:rFonts w:ascii="Times New Roman" w:eastAsia="Calibri" w:hAnsi="Times New Roman" w:cs="Times New Roman"/>
          <w:sz w:val="24"/>
          <w:szCs w:val="24"/>
        </w:rPr>
        <w:t xml:space="preserve">, Thomas </w:t>
      </w:r>
      <w:proofErr w:type="spellStart"/>
      <w:r w:rsidRPr="00D57751">
        <w:rPr>
          <w:rFonts w:ascii="Times New Roman" w:eastAsia="Calibri" w:hAnsi="Times New Roman" w:cs="Times New Roman"/>
          <w:sz w:val="24"/>
          <w:szCs w:val="24"/>
        </w:rPr>
        <w:t>Worzfeld</w:t>
      </w:r>
      <w:proofErr w:type="spellEnd"/>
      <w:r w:rsidRPr="00D57751">
        <w:rPr>
          <w:rFonts w:ascii="Times New Roman" w:eastAsia="Calibri" w:hAnsi="Times New Roman" w:cs="Times New Roman"/>
          <w:sz w:val="24"/>
          <w:szCs w:val="24"/>
          <w:vertAlign w:val="superscript"/>
        </w:rPr>
        <w:t xml:space="preserve"> </w:t>
      </w:r>
      <w:proofErr w:type="gramStart"/>
      <w:r w:rsidRPr="00D57751">
        <w:rPr>
          <w:rFonts w:ascii="Times New Roman" w:eastAsia="Calibri" w:hAnsi="Times New Roman" w:cs="Times New Roman"/>
          <w:sz w:val="24"/>
          <w:szCs w:val="24"/>
          <w:vertAlign w:val="superscript"/>
        </w:rPr>
        <w:t xml:space="preserve">7 </w:t>
      </w:r>
      <w:r w:rsidRPr="00D57751">
        <w:rPr>
          <w:rFonts w:ascii="Times New Roman" w:eastAsia="Calibri" w:hAnsi="Times New Roman" w:cs="Times New Roman"/>
          <w:sz w:val="24"/>
          <w:szCs w:val="24"/>
        </w:rPr>
        <w:t>,</w:t>
      </w:r>
      <w:proofErr w:type="gramEnd"/>
      <w:r w:rsidRPr="00D57751">
        <w:rPr>
          <w:rFonts w:ascii="Times New Roman" w:eastAsia="Calibri" w:hAnsi="Times New Roman" w:cs="Times New Roman"/>
          <w:sz w:val="24"/>
          <w:szCs w:val="24"/>
        </w:rPr>
        <w:t xml:space="preserve"> and Udo Bakowsky</w:t>
      </w:r>
      <w:r w:rsidRPr="00D57751">
        <w:rPr>
          <w:rFonts w:ascii="Times New Roman" w:eastAsia="Calibri" w:hAnsi="Times New Roman" w:cs="Times New Roman"/>
          <w:sz w:val="24"/>
          <w:szCs w:val="24"/>
          <w:vertAlign w:val="superscript"/>
        </w:rPr>
        <w:t xml:space="preserve"> 1</w:t>
      </w:r>
    </w:p>
    <w:p w14:paraId="158E0473" w14:textId="77777777" w:rsidR="00D57751" w:rsidRPr="00D57751" w:rsidRDefault="00D57751" w:rsidP="00D57751">
      <w:pPr>
        <w:spacing w:after="200" w:line="360" w:lineRule="auto"/>
        <w:jc w:val="both"/>
        <w:rPr>
          <w:rFonts w:ascii="Times New Roman" w:eastAsia="Calibri" w:hAnsi="Times New Roman" w:cs="Times New Roman"/>
        </w:rPr>
      </w:pPr>
      <w:r w:rsidRPr="00D57751">
        <w:rPr>
          <w:rFonts w:ascii="Times New Roman" w:eastAsia="Calibri" w:hAnsi="Times New Roman" w:cs="Times New Roman"/>
          <w:vertAlign w:val="superscript"/>
        </w:rPr>
        <w:t>1</w:t>
      </w:r>
      <w:r w:rsidRPr="00D57751">
        <w:rPr>
          <w:rFonts w:ascii="Times New Roman" w:eastAsia="Calibri" w:hAnsi="Times New Roman" w:cs="Times New Roman"/>
        </w:rPr>
        <w:t xml:space="preserve"> Department of Pharmaceutics and Biopharmaceutics, University of Marburg, Robert-Koch Strasse 4, 35037 Marburg, Germany.</w:t>
      </w:r>
    </w:p>
    <w:p w14:paraId="044D7F81" w14:textId="77777777" w:rsidR="00D57751" w:rsidRPr="00D57751" w:rsidRDefault="00D57751" w:rsidP="00D57751">
      <w:pPr>
        <w:spacing w:after="200" w:line="360" w:lineRule="auto"/>
        <w:jc w:val="both"/>
        <w:rPr>
          <w:rFonts w:ascii="Times New Roman" w:eastAsia="Calibri" w:hAnsi="Times New Roman" w:cs="Times New Roman"/>
        </w:rPr>
      </w:pPr>
      <w:r w:rsidRPr="00D57751">
        <w:rPr>
          <w:rFonts w:ascii="Times New Roman" w:eastAsia="Calibri" w:hAnsi="Times New Roman" w:cs="Times New Roman"/>
          <w:vertAlign w:val="superscript"/>
        </w:rPr>
        <w:t>2</w:t>
      </w:r>
      <w:r w:rsidRPr="00D57751">
        <w:rPr>
          <w:rFonts w:ascii="Times New Roman" w:eastAsia="Calibri" w:hAnsi="Times New Roman" w:cs="Times New Roman"/>
        </w:rPr>
        <w:t xml:space="preserve"> </w:t>
      </w:r>
      <w:bookmarkStart w:id="0" w:name="_Hlk95217900"/>
      <w:r w:rsidRPr="00D57751">
        <w:rPr>
          <w:rFonts w:ascii="Times New Roman" w:eastAsia="Calibri" w:hAnsi="Times New Roman" w:cs="Times New Roman"/>
        </w:rPr>
        <w:t xml:space="preserve">Department of Pharmaceutics and Pharmaceutical Technology, Faculty of Pharmacy, Al-Azhar University, Assiut </w:t>
      </w:r>
      <w:bookmarkStart w:id="1" w:name="_Hlk95819405"/>
      <w:r w:rsidRPr="00D57751">
        <w:rPr>
          <w:rFonts w:ascii="Times New Roman" w:eastAsia="Calibri" w:hAnsi="Times New Roman" w:cs="Times New Roman"/>
        </w:rPr>
        <w:t>71524</w:t>
      </w:r>
      <w:bookmarkEnd w:id="1"/>
      <w:r w:rsidRPr="00D57751">
        <w:rPr>
          <w:rFonts w:ascii="Times New Roman" w:eastAsia="Calibri" w:hAnsi="Times New Roman" w:cs="Times New Roman"/>
        </w:rPr>
        <w:t>, Egypt.</w:t>
      </w:r>
      <w:bookmarkEnd w:id="0"/>
    </w:p>
    <w:p w14:paraId="2C213588" w14:textId="77777777" w:rsidR="00D57751" w:rsidRPr="00D57751" w:rsidRDefault="00D57751" w:rsidP="00D57751">
      <w:pPr>
        <w:spacing w:after="200" w:line="360" w:lineRule="auto"/>
        <w:jc w:val="both"/>
        <w:rPr>
          <w:rFonts w:ascii="Times New Roman" w:eastAsia="Calibri" w:hAnsi="Times New Roman" w:cs="Times New Roman"/>
        </w:rPr>
      </w:pPr>
      <w:r w:rsidRPr="00D57751">
        <w:rPr>
          <w:rFonts w:ascii="Times New Roman" w:eastAsia="Calibri" w:hAnsi="Times New Roman" w:cs="Times New Roman"/>
          <w:vertAlign w:val="superscript"/>
        </w:rPr>
        <w:t xml:space="preserve">3 </w:t>
      </w:r>
      <w:bookmarkStart w:id="2" w:name="_Hlk115162913"/>
      <w:r w:rsidRPr="00D57751">
        <w:rPr>
          <w:rFonts w:ascii="Times New Roman" w:eastAsia="Calibri" w:hAnsi="Times New Roman" w:cs="Times New Roman"/>
        </w:rPr>
        <w:t>Pharmaceutical and Fermentation Industries Development Center (PFIDC), City of Scientific Research and Technology Applications (SRTA-City), New Borg El Arab, Alexandria, 21111, Egypt.</w:t>
      </w:r>
      <w:bookmarkEnd w:id="2"/>
    </w:p>
    <w:p w14:paraId="110F68B1" w14:textId="77777777" w:rsidR="00D57751" w:rsidRPr="00D57751" w:rsidRDefault="00D57751" w:rsidP="00D57751">
      <w:pPr>
        <w:spacing w:after="200" w:line="360" w:lineRule="auto"/>
        <w:jc w:val="both"/>
        <w:rPr>
          <w:rFonts w:ascii="Times New Roman" w:eastAsia="Calibri" w:hAnsi="Times New Roman" w:cs="Times New Roman"/>
        </w:rPr>
      </w:pPr>
      <w:r w:rsidRPr="00D57751">
        <w:rPr>
          <w:rFonts w:ascii="Times New Roman" w:eastAsia="Calibri" w:hAnsi="Times New Roman" w:cs="Times New Roman"/>
          <w:vertAlign w:val="superscript"/>
        </w:rPr>
        <w:t>4</w:t>
      </w:r>
      <w:r w:rsidRPr="00D57751">
        <w:rPr>
          <w:rFonts w:ascii="Times New Roman" w:eastAsia="Calibri" w:hAnsi="Times New Roman" w:cs="Times New Roman"/>
        </w:rPr>
        <w:t xml:space="preserve"> Punjab University College of Pharmacy, University of the Punjab, 54000 Lahore, Pakistan.</w:t>
      </w:r>
    </w:p>
    <w:p w14:paraId="17301051" w14:textId="77777777" w:rsidR="00D57751" w:rsidRPr="00D57751" w:rsidRDefault="00D57751" w:rsidP="00D57751">
      <w:pPr>
        <w:spacing w:after="200" w:line="360" w:lineRule="auto"/>
        <w:jc w:val="both"/>
        <w:rPr>
          <w:rFonts w:ascii="Times New Roman" w:eastAsia="Calibri" w:hAnsi="Times New Roman" w:cs="Times New Roman"/>
        </w:rPr>
      </w:pPr>
      <w:r w:rsidRPr="00D57751">
        <w:rPr>
          <w:rFonts w:ascii="Times New Roman" w:eastAsia="Times New Roman" w:hAnsi="Times New Roman" w:cs="Times New Roman"/>
          <w:color w:val="333333"/>
          <w:sz w:val="24"/>
          <w:szCs w:val="24"/>
          <w:vertAlign w:val="superscript"/>
        </w:rPr>
        <w:t>5</w:t>
      </w:r>
      <w:r w:rsidRPr="00D57751">
        <w:rPr>
          <w:rFonts w:ascii="Times New Roman" w:eastAsia="Calibri" w:hAnsi="Times New Roman" w:cs="Times New Roman"/>
        </w:rPr>
        <w:t xml:space="preserve"> </w:t>
      </w:r>
      <w:bookmarkStart w:id="3" w:name="_Hlk115162517"/>
      <w:r w:rsidRPr="00D57751">
        <w:rPr>
          <w:rFonts w:ascii="Times New Roman" w:eastAsia="Calibri" w:hAnsi="Times New Roman" w:cs="Times New Roman"/>
        </w:rPr>
        <w:t xml:space="preserve">Department of Pharmaceutical Chemistry, University of Marburg, </w:t>
      </w:r>
      <w:proofErr w:type="spellStart"/>
      <w:r w:rsidRPr="00D57751">
        <w:rPr>
          <w:rFonts w:ascii="Times New Roman" w:eastAsia="Calibri" w:hAnsi="Times New Roman" w:cs="Times New Roman"/>
        </w:rPr>
        <w:t>Marbacher</w:t>
      </w:r>
      <w:proofErr w:type="spellEnd"/>
      <w:r w:rsidRPr="00D57751">
        <w:rPr>
          <w:rFonts w:ascii="Times New Roman" w:eastAsia="Calibri" w:hAnsi="Times New Roman" w:cs="Times New Roman"/>
        </w:rPr>
        <w:t xml:space="preserve"> Weg 10, 35032 Marburg, Germany.</w:t>
      </w:r>
      <w:bookmarkEnd w:id="3"/>
    </w:p>
    <w:p w14:paraId="29EEA7E1" w14:textId="77777777" w:rsidR="00D57751" w:rsidRPr="00D57751" w:rsidRDefault="00D57751" w:rsidP="00D57751">
      <w:pPr>
        <w:spacing w:after="200" w:line="360" w:lineRule="auto"/>
        <w:jc w:val="both"/>
        <w:rPr>
          <w:rFonts w:ascii="Times New Roman" w:eastAsia="Times New Roman" w:hAnsi="Times New Roman" w:cs="Times New Roman"/>
          <w:sz w:val="24"/>
          <w:szCs w:val="24"/>
        </w:rPr>
      </w:pPr>
      <w:r w:rsidRPr="00D57751">
        <w:rPr>
          <w:rFonts w:ascii="Times New Roman" w:eastAsia="Times New Roman" w:hAnsi="Times New Roman" w:cs="Times New Roman"/>
          <w:color w:val="333333"/>
          <w:sz w:val="24"/>
          <w:szCs w:val="24"/>
          <w:vertAlign w:val="superscript"/>
        </w:rPr>
        <w:t>6</w:t>
      </w:r>
      <w:r w:rsidRPr="00D57751">
        <w:rPr>
          <w:rFonts w:ascii="Times New Roman" w:eastAsia="Times New Roman" w:hAnsi="Times New Roman" w:cs="Times New Roman"/>
          <w:color w:val="333333"/>
          <w:sz w:val="24"/>
          <w:szCs w:val="24"/>
        </w:rPr>
        <w:t xml:space="preserve"> </w:t>
      </w:r>
      <w:r w:rsidRPr="00D57751">
        <w:rPr>
          <w:rFonts w:ascii="Times New Roman" w:eastAsia="Calibri" w:hAnsi="Times New Roman" w:cs="Times New Roman"/>
          <w:sz w:val="24"/>
          <w:szCs w:val="24"/>
          <w:lang w:bidi="ar-EG"/>
        </w:rPr>
        <w:t>Department of Pharmaceutics, College of Pharmacy, The Islamic University, Najaf, Iraq.</w:t>
      </w:r>
    </w:p>
    <w:p w14:paraId="43AB1BE9" w14:textId="77777777" w:rsidR="00D57751" w:rsidRPr="00D57751" w:rsidRDefault="00D57751" w:rsidP="00D57751">
      <w:pPr>
        <w:spacing w:after="200" w:line="360" w:lineRule="auto"/>
        <w:jc w:val="both"/>
        <w:rPr>
          <w:rFonts w:ascii="Times New Roman" w:eastAsia="Calibri" w:hAnsi="Times New Roman" w:cs="Times New Roman"/>
        </w:rPr>
      </w:pPr>
      <w:r w:rsidRPr="00D57751">
        <w:rPr>
          <w:rFonts w:ascii="Times New Roman" w:eastAsia="Times New Roman" w:hAnsi="Times New Roman" w:cs="Times New Roman"/>
          <w:color w:val="333333"/>
          <w:sz w:val="24"/>
          <w:szCs w:val="24"/>
          <w:vertAlign w:val="superscript"/>
        </w:rPr>
        <w:t xml:space="preserve">7 </w:t>
      </w:r>
      <w:r w:rsidRPr="00D57751">
        <w:rPr>
          <w:rFonts w:ascii="Times New Roman" w:eastAsia="Times New Roman" w:hAnsi="Times New Roman" w:cs="Times New Roman"/>
          <w:color w:val="333333"/>
          <w:sz w:val="24"/>
          <w:szCs w:val="24"/>
        </w:rPr>
        <w:t>Institute of Pharmacology, University of Marburg, Marburg, Germany.</w:t>
      </w:r>
    </w:p>
    <w:p w14:paraId="165A83D4" w14:textId="77777777" w:rsidR="00D57751" w:rsidRPr="00D57751" w:rsidRDefault="00D57751" w:rsidP="00D57751">
      <w:pPr>
        <w:spacing w:after="200" w:line="360" w:lineRule="auto"/>
        <w:jc w:val="both"/>
        <w:rPr>
          <w:rFonts w:ascii="Times New Roman" w:eastAsia="Times New Roman" w:hAnsi="Times New Roman" w:cs="Times New Roman"/>
          <w:color w:val="333333"/>
          <w:sz w:val="24"/>
          <w:szCs w:val="24"/>
          <w:vertAlign w:val="superscript"/>
        </w:rPr>
      </w:pPr>
    </w:p>
    <w:p w14:paraId="298008C0" w14:textId="77777777" w:rsidR="00D57751" w:rsidRPr="00D57751" w:rsidRDefault="00D57751" w:rsidP="00D57751">
      <w:pPr>
        <w:spacing w:after="200" w:line="360" w:lineRule="auto"/>
        <w:jc w:val="both"/>
        <w:rPr>
          <w:rFonts w:ascii="Times New Roman" w:eastAsia="Times New Roman" w:hAnsi="Times New Roman" w:cs="Times New Roman"/>
          <w:color w:val="333333"/>
          <w:sz w:val="24"/>
          <w:szCs w:val="24"/>
        </w:rPr>
      </w:pPr>
      <w:r w:rsidRPr="00D57751">
        <w:rPr>
          <w:rFonts w:ascii="Times New Roman" w:eastAsia="Times New Roman" w:hAnsi="Times New Roman" w:cs="Times New Roman"/>
          <w:color w:val="333333"/>
          <w:sz w:val="24"/>
          <w:szCs w:val="24"/>
          <w:vertAlign w:val="superscript"/>
        </w:rPr>
        <w:t xml:space="preserve">┼ </w:t>
      </w:r>
      <w:r w:rsidRPr="00D57751">
        <w:rPr>
          <w:rFonts w:ascii="Times New Roman" w:eastAsia="Times New Roman" w:hAnsi="Times New Roman" w:cs="Times New Roman"/>
          <w:color w:val="333333"/>
          <w:sz w:val="24"/>
          <w:szCs w:val="24"/>
        </w:rPr>
        <w:t>These authors equally contributed to this work.</w:t>
      </w:r>
    </w:p>
    <w:p w14:paraId="2FDC7216" w14:textId="77777777" w:rsidR="00D57751" w:rsidRPr="00D57751" w:rsidRDefault="00D57751" w:rsidP="00D57751">
      <w:pPr>
        <w:spacing w:after="200" w:line="360" w:lineRule="auto"/>
        <w:jc w:val="both"/>
        <w:rPr>
          <w:rFonts w:ascii="Times New Roman" w:eastAsia="Calibri" w:hAnsi="Times New Roman" w:cs="Times New Roman"/>
          <w:sz w:val="24"/>
          <w:szCs w:val="24"/>
        </w:rPr>
      </w:pPr>
      <w:r w:rsidRPr="00D57751">
        <w:rPr>
          <w:rFonts w:ascii="Times New Roman" w:eastAsia="Calibri" w:hAnsi="Times New Roman" w:cs="Times New Roman"/>
          <w:sz w:val="24"/>
          <w:szCs w:val="24"/>
          <w:vertAlign w:val="superscript"/>
        </w:rPr>
        <w:t xml:space="preserve">* </w:t>
      </w:r>
      <w:r w:rsidRPr="00D57751">
        <w:rPr>
          <w:rFonts w:ascii="Times New Roman" w:eastAsia="Calibri" w:hAnsi="Times New Roman" w:cs="Times New Roman"/>
          <w:sz w:val="24"/>
          <w:szCs w:val="24"/>
        </w:rPr>
        <w:t xml:space="preserve">Correspondence author: </w:t>
      </w:r>
      <w:hyperlink r:id="rId6" w:history="1">
        <w:r w:rsidRPr="00D57751">
          <w:rPr>
            <w:rFonts w:ascii="Times New Roman" w:eastAsia="Calibri" w:hAnsi="Times New Roman" w:cs="Times New Roman"/>
            <w:color w:val="0000FF"/>
            <w:sz w:val="24"/>
            <w:szCs w:val="24"/>
            <w:u w:val="single"/>
          </w:rPr>
          <w:t>ahm.abdelsalam87@azhar.edu.eg</w:t>
        </w:r>
      </w:hyperlink>
    </w:p>
    <w:p w14:paraId="2F9BAB14" w14:textId="77777777" w:rsidR="00382B83" w:rsidRDefault="00382B83" w:rsidP="513A733E">
      <w:pPr>
        <w:spacing w:after="200" w:line="360" w:lineRule="auto"/>
        <w:jc w:val="both"/>
        <w:rPr>
          <w:rFonts w:asciiTheme="majorBidi" w:hAnsiTheme="majorBidi" w:cstheme="majorBidi"/>
          <w:color w:val="000000" w:themeColor="text1"/>
          <w:sz w:val="24"/>
          <w:szCs w:val="24"/>
        </w:rPr>
      </w:pPr>
    </w:p>
    <w:p w14:paraId="035EB2E8" w14:textId="77777777" w:rsidR="00640CB5" w:rsidRDefault="00640CB5" w:rsidP="513A733E">
      <w:pPr>
        <w:spacing w:after="200" w:line="360" w:lineRule="auto"/>
        <w:jc w:val="both"/>
        <w:rPr>
          <w:rFonts w:asciiTheme="majorBidi" w:hAnsiTheme="majorBidi" w:cstheme="majorBidi"/>
          <w:color w:val="000000" w:themeColor="text1"/>
          <w:sz w:val="24"/>
          <w:szCs w:val="24"/>
        </w:rPr>
      </w:pPr>
    </w:p>
    <w:p w14:paraId="2415E573" w14:textId="77777777" w:rsidR="00D57751" w:rsidRPr="00B86346" w:rsidRDefault="00D57751" w:rsidP="513A733E">
      <w:pPr>
        <w:spacing w:after="200" w:line="360" w:lineRule="auto"/>
        <w:jc w:val="both"/>
        <w:rPr>
          <w:rFonts w:asciiTheme="majorBidi" w:hAnsiTheme="majorBidi" w:cstheme="majorBidi"/>
          <w:color w:val="000000" w:themeColor="text1"/>
          <w:sz w:val="24"/>
          <w:szCs w:val="24"/>
        </w:rPr>
      </w:pPr>
    </w:p>
    <w:p w14:paraId="523D1C5F" w14:textId="6826655A" w:rsidR="513A733E" w:rsidRPr="00B86346" w:rsidRDefault="513A733E" w:rsidP="513A733E">
      <w:pPr>
        <w:spacing w:after="0" w:line="360" w:lineRule="auto"/>
        <w:contextualSpacing/>
        <w:rPr>
          <w:rFonts w:asciiTheme="majorBidi" w:eastAsia="MS Gothic" w:hAnsiTheme="majorBidi" w:cstheme="majorBidi"/>
          <w:b/>
          <w:bCs/>
          <w:color w:val="000000" w:themeColor="text1"/>
          <w:sz w:val="24"/>
          <w:szCs w:val="24"/>
        </w:rPr>
      </w:pPr>
    </w:p>
    <w:p w14:paraId="1A493957" w14:textId="37731B85" w:rsidR="00126A2B" w:rsidRPr="00B86346" w:rsidRDefault="00F4109A" w:rsidP="00126A2B">
      <w:pPr>
        <w:pStyle w:val="Heading1"/>
        <w:numPr>
          <w:ilvl w:val="0"/>
          <w:numId w:val="1"/>
        </w:numPr>
        <w:rPr>
          <w:rFonts w:asciiTheme="majorBidi" w:eastAsia="MS Gothic" w:hAnsiTheme="majorBidi"/>
          <w:color w:val="000000" w:themeColor="text1"/>
          <w:sz w:val="24"/>
          <w:szCs w:val="24"/>
        </w:rPr>
      </w:pPr>
      <w:r w:rsidRPr="00B86346">
        <w:rPr>
          <w:rFonts w:asciiTheme="majorBidi" w:eastAsia="MS Gothic" w:hAnsiTheme="majorBidi"/>
          <w:color w:val="000000" w:themeColor="text1"/>
          <w:sz w:val="24"/>
          <w:szCs w:val="24"/>
        </w:rPr>
        <w:lastRenderedPageBreak/>
        <w:t xml:space="preserve">Chemical synthesis of </w:t>
      </w:r>
      <w:r w:rsidR="0065122E" w:rsidRPr="00B86346">
        <w:rPr>
          <w:rFonts w:asciiTheme="majorBidi" w:eastAsia="MS Gothic" w:hAnsiTheme="majorBidi"/>
          <w:color w:val="000000" w:themeColor="text1"/>
          <w:sz w:val="24"/>
          <w:szCs w:val="24"/>
        </w:rPr>
        <w:t xml:space="preserve">folate </w:t>
      </w:r>
      <w:r w:rsidR="00B86346">
        <w:rPr>
          <w:rFonts w:asciiTheme="majorBidi" w:eastAsia="MS Gothic" w:hAnsiTheme="majorBidi"/>
          <w:color w:val="000000" w:themeColor="text1"/>
          <w:sz w:val="24"/>
          <w:szCs w:val="24"/>
        </w:rPr>
        <w:t>labeled</w:t>
      </w:r>
      <w:r w:rsidR="0065122E" w:rsidRPr="00B86346">
        <w:rPr>
          <w:rFonts w:asciiTheme="majorBidi" w:eastAsia="MS Gothic" w:hAnsiTheme="majorBidi"/>
          <w:color w:val="000000" w:themeColor="text1"/>
          <w:sz w:val="24"/>
          <w:szCs w:val="24"/>
        </w:rPr>
        <w:t xml:space="preserve"> zein</w:t>
      </w:r>
      <w:r w:rsidR="00126A2B" w:rsidRPr="00B86346">
        <w:rPr>
          <w:rFonts w:asciiTheme="majorBidi" w:eastAsia="MS Gothic" w:hAnsiTheme="majorBidi"/>
          <w:color w:val="000000" w:themeColor="text1"/>
          <w:sz w:val="24"/>
          <w:szCs w:val="24"/>
        </w:rPr>
        <w:t>.</w:t>
      </w:r>
    </w:p>
    <w:p w14:paraId="20D78082" w14:textId="77777777" w:rsidR="00882B6D" w:rsidRPr="00B86346" w:rsidRDefault="00882B6D" w:rsidP="00882B6D">
      <w:pPr>
        <w:rPr>
          <w:color w:val="000000" w:themeColor="text1"/>
          <w:sz w:val="24"/>
          <w:szCs w:val="24"/>
        </w:rPr>
      </w:pPr>
    </w:p>
    <w:p w14:paraId="654553AE" w14:textId="007D975F" w:rsidR="00126A2B" w:rsidRPr="00B86346" w:rsidRDefault="00126A2B" w:rsidP="00F22339">
      <w:pPr>
        <w:ind w:left="360"/>
        <w:rPr>
          <w:rFonts w:asciiTheme="majorBidi" w:hAnsiTheme="majorBidi" w:cstheme="majorBidi"/>
          <w:color w:val="000000" w:themeColor="text1"/>
          <w:sz w:val="24"/>
          <w:szCs w:val="24"/>
        </w:rPr>
      </w:pPr>
      <w:r w:rsidRPr="00B86346">
        <w:rPr>
          <w:rFonts w:asciiTheme="majorBidi" w:hAnsiTheme="majorBidi" w:cstheme="majorBidi"/>
          <w:color w:val="000000" w:themeColor="text1"/>
          <w:sz w:val="24"/>
          <w:szCs w:val="24"/>
        </w:rPr>
        <w:t xml:space="preserve">The overall </w:t>
      </w:r>
      <w:r w:rsidR="00882B6D" w:rsidRPr="00B86346">
        <w:rPr>
          <w:rFonts w:asciiTheme="majorBidi" w:hAnsiTheme="majorBidi" w:cstheme="majorBidi"/>
          <w:color w:val="000000" w:themeColor="text1"/>
          <w:sz w:val="24"/>
          <w:szCs w:val="24"/>
        </w:rPr>
        <w:t>synthesis</w:t>
      </w:r>
      <w:r w:rsidRPr="00B86346">
        <w:rPr>
          <w:rFonts w:asciiTheme="majorBidi" w:hAnsiTheme="majorBidi" w:cstheme="majorBidi"/>
          <w:color w:val="000000" w:themeColor="text1"/>
          <w:sz w:val="24"/>
          <w:szCs w:val="24"/>
        </w:rPr>
        <w:t xml:space="preserve"> </w:t>
      </w:r>
      <w:r w:rsidR="00882B6D" w:rsidRPr="00B86346">
        <w:rPr>
          <w:rFonts w:asciiTheme="majorBidi" w:hAnsiTheme="majorBidi" w:cstheme="majorBidi"/>
          <w:color w:val="000000" w:themeColor="text1"/>
          <w:sz w:val="24"/>
          <w:szCs w:val="24"/>
        </w:rPr>
        <w:t xml:space="preserve">steps are shown in Fig S1 </w:t>
      </w:r>
      <w:r w:rsidR="003C1A1E" w:rsidRPr="00B86346">
        <w:rPr>
          <w:rFonts w:asciiTheme="majorBidi" w:hAnsiTheme="majorBidi" w:cstheme="majorBidi"/>
          <w:color w:val="000000" w:themeColor="text1"/>
          <w:sz w:val="24"/>
          <w:szCs w:val="24"/>
        </w:rPr>
        <w:t xml:space="preserve">and </w:t>
      </w:r>
      <w:r w:rsidR="00214224" w:rsidRPr="00B86346">
        <w:rPr>
          <w:rFonts w:asciiTheme="majorBidi" w:hAnsiTheme="majorBidi" w:cstheme="majorBidi"/>
          <w:color w:val="000000" w:themeColor="text1"/>
          <w:sz w:val="24"/>
          <w:szCs w:val="24"/>
        </w:rPr>
        <w:t xml:space="preserve">were adopted from previously published work </w:t>
      </w:r>
      <w:r w:rsidR="00882B6D" w:rsidRPr="00B86346">
        <w:rPr>
          <w:rFonts w:asciiTheme="majorBidi" w:hAnsiTheme="majorBidi" w:cstheme="majorBidi"/>
          <w:color w:val="000000" w:themeColor="text1"/>
          <w:sz w:val="24"/>
          <w:szCs w:val="24"/>
        </w:rPr>
        <w:t>as follows</w:t>
      </w:r>
      <w:r w:rsidR="00C332EB">
        <w:rPr>
          <w:rFonts w:asciiTheme="majorBidi" w:hAnsiTheme="majorBidi" w:cstheme="majorBidi"/>
          <w:color w:val="000000" w:themeColor="text1"/>
          <w:sz w:val="24"/>
          <w:szCs w:val="24"/>
        </w:rPr>
        <w:t xml:space="preserve"> </w:t>
      </w:r>
      <w:r w:rsidR="000D6E0A">
        <w:rPr>
          <w:rFonts w:asciiTheme="majorBidi" w:hAnsiTheme="majorBidi" w:cstheme="majorBidi"/>
          <w:color w:val="000000" w:themeColor="text1"/>
          <w:sz w:val="24"/>
          <w:szCs w:val="24"/>
        </w:rPr>
        <w:fldChar w:fldCharType="begin" w:fldLock="1"/>
      </w:r>
      <w:r w:rsidR="00104302">
        <w:rPr>
          <w:rFonts w:asciiTheme="majorBidi" w:hAnsiTheme="majorBidi" w:cstheme="majorBidi"/>
          <w:color w:val="000000" w:themeColor="text1"/>
          <w:sz w:val="24"/>
          <w:szCs w:val="24"/>
        </w:rPr>
        <w:instrText>ADDIN CSL_CITATION {"citationItems":[{"id":"ITEM-1","itemData":{"DOI":"10.1016/j.msec.2021.112420","ISSN":"09284931","author":[{"dropping-particle":"","family":"Abdelsalam","given":"Ahmed M.","non-dropping-particle":"","parse-names":false,"suffix":""},{"dropping-particle":"","family":"Somaida","given":"Ahmed","non-dropping-particle":"","parse-names":false,"suffix":""},{"dropping-particle":"","family":"Ambreen","given":"Ghazala","non-dropping-particle":"","parse-names":false,"suffix":""},{"dropping-particle":"","family":"Ayoub","given":"Abdallah M.","non-dropping-particle":"","parse-names":false,"suffix":""},{"dropping-particle":"","family":"Tariq","given":"Imran","non-dropping-particle":"","parse-names":false,"suffix":""},{"dropping-particle":"","family":"Engelhardt","given":"Konrad","non-dropping-particle":"","parse-names":false,"suffix":""},{"dropping-particle":"","family":"Garidel","given":"Patrick","non-dropping-particle":"","parse-names":false,"suffix":""},{"dropping-particle":"","family":"Fawaz","given":"Ibrahim","non-dropping-particle":"","parse-names":false,"suffix":""},{"dropping-particle":"","family":"Amin","given":"Muhammed U.","non-dropping-particle":"","parse-names":false,"suffix":""},{"dropping-particle":"","family":"Wojcik","given":"Matthias","non-dropping-particle":"","parse-names":false,"suffix":""},{"dropping-particle":"","family":"Bakowsky","given":"Udo","non-dropping-particle":"","parse-names":false,"suffix":""}],"container-title":"Materials Science and Engineering: C","id":"ITEM-1","issue":"August","issued":{"date-parts":[["2021","10"]]},"page":"112420","publisher":"Elsevier B.V.","title":"Surface tailored zein as a novel delivery system for hypericin: Application in photodynamic therapy","type":"article-journal","volume":"129"},"uris":["http://www.mendeley.com/documents/?uuid=cdc10b7f-efd7-4a1d-9590-4cb5d0ea34bf"]},{"id":"ITEM-2","itemData":{"DOI":"10.17192/z2023.0244","abstract":"This work addressed the potential applicability of maize protein as an example of plant-derived proteins in drug delivery. Herein, zein, a well-established biomaterial in drug and food applications, was invested to create innovative formulations using the α -zein fraction. Such green-based designs were used to enhance the delivery of the naturally derived photosensitizers hypericin and parietin in the context of PDT. The design, optimization, and application of zein-based carrier systems in the treatment of hepatocellular carcinoma (HepG2 cells) were addressed in two sections throughout the current study. The first section considered the tailoring of the surface of zein with polyethylene glycol to serve for the encapsulation of hypericin. PEGylated zein was assembled as micelles in aqueous buffers. The developed micelles showed reduced size, high encapsulation competence, and enhanced stability upon dilution. The in vitro outcomes on HepG2 cells disclosed an escalated cytotoxic effect of hypericin after micellization, coupled with a higher uptake profile in hepatocellular carcinoma cells. Moreover, a lower toxic effect was recorded in non-cancerous fibroblasts indicating the relative safety profile of the developed system on normal cells. Furthermore, the chemically modified zein influenced the high level of intracellular ROS and mitochondrial damage in HepG2 cells which induced pronounced apoptotic events in cells treated with the encapsulated hypericin. The second section focused on the use of zein NPs decorated with glycyrrhetinic acid for targeting hepatocellular carcinoma. NPs were loaded with parietin, a green hydrophobic photosensitizer, which possesses a promising photodynamic potential for several types of cancer. The obtained NPs were monodisperse and stable when exposed to serum. Further to that, zein NPs successfully solubilized parietin and retained its photodynamic activity in aqueous buffers. The system's direct targeting capability towards HepG2 cells manifested an enhanced in vitro phototoxicity. As compared to non-targeted zein, the higher cytotoxicity of encapsulated parietin was credited to the glycyrrhetinic acid- NPs' tethering which influenced increased uptake and improved ROS production in liver cancer cells. As proof of concept, the accumulation of zein NPs was tracked in live mice. The obtained in vivo data revealed an efficient accumulation of zein NPs in the liver of living mice as indicated by the fluorescence signals that p…","author":[{"dropping-particle":"","family":"Mohamed","given":"Ahmed Mohamed Abdelsalam","non-dropping-particle":"","parse-names":false,"suffix":""}],"id":"ITEM-2","issued":{"date-parts":[["2023"]]},"publisher":"Philipps-Universität Marburg","title":"Novel protein-based nanomaterial for active targeted drug delivery to human hepatocyte carcinoma cells","type":"thesis"},"uris":["http://www.mendeley.com/documents/?uuid=29145897-6227-45c6-91d9-b8b502733a23"]}],"mendeley":{"formattedCitation":"[1,2]","plainTextFormattedCitation":"[1,2]","previouslyFormattedCitation":"[1,2]"},"properties":{"noteIndex":0},"schema":"https://github.com/citation-style-language/schema/raw/master/csl-citation.json"}</w:instrText>
      </w:r>
      <w:r w:rsidR="000D6E0A">
        <w:rPr>
          <w:rFonts w:asciiTheme="majorBidi" w:hAnsiTheme="majorBidi" w:cstheme="majorBidi"/>
          <w:color w:val="000000" w:themeColor="text1"/>
          <w:sz w:val="24"/>
          <w:szCs w:val="24"/>
        </w:rPr>
        <w:fldChar w:fldCharType="separate"/>
      </w:r>
      <w:r w:rsidR="00104302" w:rsidRPr="00104302">
        <w:rPr>
          <w:rFonts w:asciiTheme="majorBidi" w:hAnsiTheme="majorBidi" w:cstheme="majorBidi"/>
          <w:noProof/>
          <w:color w:val="000000" w:themeColor="text1"/>
          <w:sz w:val="24"/>
          <w:szCs w:val="24"/>
        </w:rPr>
        <w:t>[1,2]</w:t>
      </w:r>
      <w:r w:rsidR="000D6E0A">
        <w:rPr>
          <w:rFonts w:asciiTheme="majorBidi" w:hAnsiTheme="majorBidi" w:cstheme="majorBidi"/>
          <w:color w:val="000000" w:themeColor="text1"/>
          <w:sz w:val="24"/>
          <w:szCs w:val="24"/>
        </w:rPr>
        <w:fldChar w:fldCharType="end"/>
      </w:r>
      <w:r w:rsidR="00882B6D" w:rsidRPr="00B86346">
        <w:rPr>
          <w:rFonts w:asciiTheme="majorBidi" w:hAnsiTheme="majorBidi" w:cstheme="majorBidi"/>
          <w:color w:val="000000" w:themeColor="text1"/>
          <w:sz w:val="24"/>
          <w:szCs w:val="24"/>
        </w:rPr>
        <w:t>:</w:t>
      </w:r>
    </w:p>
    <w:p w14:paraId="431B6CC8" w14:textId="28C07157" w:rsidR="00126A2B" w:rsidRPr="00B86346" w:rsidRDefault="00126A2B" w:rsidP="00F22339">
      <w:pPr>
        <w:spacing w:line="360" w:lineRule="auto"/>
        <w:ind w:left="360"/>
        <w:jc w:val="both"/>
        <w:rPr>
          <w:rFonts w:asciiTheme="majorBidi" w:hAnsiTheme="majorBidi" w:cstheme="majorBidi"/>
          <w:color w:val="000000" w:themeColor="text1"/>
          <w:sz w:val="24"/>
          <w:szCs w:val="24"/>
        </w:rPr>
      </w:pPr>
      <w:r w:rsidRPr="00B86346">
        <w:rPr>
          <w:rFonts w:asciiTheme="majorBidi" w:hAnsiTheme="majorBidi" w:cstheme="majorBidi"/>
          <w:color w:val="000000" w:themeColor="text1"/>
          <w:sz w:val="24"/>
          <w:szCs w:val="24"/>
        </w:rPr>
        <w:t>1.1.</w:t>
      </w:r>
      <w:r w:rsidRPr="00B86346">
        <w:rPr>
          <w:rFonts w:asciiTheme="majorBidi" w:hAnsiTheme="majorBidi" w:cstheme="majorBidi"/>
          <w:color w:val="000000" w:themeColor="text1"/>
          <w:sz w:val="24"/>
          <w:szCs w:val="24"/>
        </w:rPr>
        <w:tab/>
        <w:t xml:space="preserve">Synthesis of active folic acid (Folic acid </w:t>
      </w:r>
      <w:proofErr w:type="spellStart"/>
      <w:r w:rsidRPr="00B86346">
        <w:rPr>
          <w:rFonts w:asciiTheme="majorBidi" w:hAnsiTheme="majorBidi" w:cstheme="majorBidi"/>
          <w:color w:val="000000" w:themeColor="text1"/>
          <w:sz w:val="24"/>
          <w:szCs w:val="24"/>
        </w:rPr>
        <w:t>succinimidyl</w:t>
      </w:r>
      <w:proofErr w:type="spellEnd"/>
      <w:r w:rsidRPr="00B86346">
        <w:rPr>
          <w:rFonts w:asciiTheme="majorBidi" w:hAnsiTheme="majorBidi" w:cstheme="majorBidi"/>
          <w:color w:val="000000" w:themeColor="text1"/>
          <w:sz w:val="24"/>
          <w:szCs w:val="24"/>
        </w:rPr>
        <w:t xml:space="preserve"> ester).</w:t>
      </w:r>
    </w:p>
    <w:p w14:paraId="0E290954" w14:textId="77777777" w:rsidR="00126A2B" w:rsidRPr="00B86346" w:rsidRDefault="00126A2B" w:rsidP="00F22339">
      <w:pPr>
        <w:spacing w:line="360" w:lineRule="auto"/>
        <w:ind w:left="360"/>
        <w:jc w:val="both"/>
        <w:rPr>
          <w:rFonts w:asciiTheme="majorBidi" w:hAnsiTheme="majorBidi" w:cstheme="majorBidi"/>
          <w:color w:val="000000" w:themeColor="text1"/>
          <w:sz w:val="24"/>
          <w:szCs w:val="24"/>
        </w:rPr>
      </w:pPr>
      <w:r w:rsidRPr="00B86346">
        <w:rPr>
          <w:rFonts w:asciiTheme="majorBidi" w:hAnsiTheme="majorBidi" w:cstheme="majorBidi"/>
          <w:color w:val="000000" w:themeColor="text1"/>
          <w:sz w:val="24"/>
          <w:szCs w:val="24"/>
        </w:rPr>
        <w:t xml:space="preserve">     NHS active folic acid was synthesized using NHS/DCC coupling chemistry. In a degassed 10 ml solution of DMSO, 1 g (2.26 mM) of folic acid was dissolved completely. DCC (0.931 g, 4.52 mM, 2 equivalents) and NHS (0.52 g, 4.52 mM, 2 equivalents) were added. Following the addition of 0.5 ml of TEA, the reaction mixture was stirred under a nitrogen atmosphere for 24 hours in the dark. The byproduct, Dicyclohexyl urea, was removed by filtration, and the filtrate was precipitated using a cold diethyl ether/acetone mixture (70:30 v/v). The resulted NHS-activated folic acid ester product was washed with ethanol and diethyl ether, then dried in a desiccator under reduced pressure. FT-IR as well as H1NMR spectroscopy confirmed the successful formation of the active acid.</w:t>
      </w:r>
    </w:p>
    <w:p w14:paraId="575798BB" w14:textId="2C611B3A" w:rsidR="00126A2B" w:rsidRPr="00B86346" w:rsidRDefault="00126A2B" w:rsidP="00F22339">
      <w:pPr>
        <w:spacing w:line="360" w:lineRule="auto"/>
        <w:ind w:left="360"/>
        <w:jc w:val="both"/>
        <w:rPr>
          <w:rFonts w:asciiTheme="majorBidi" w:hAnsiTheme="majorBidi" w:cstheme="majorBidi"/>
          <w:color w:val="000000" w:themeColor="text1"/>
          <w:sz w:val="24"/>
          <w:szCs w:val="24"/>
        </w:rPr>
      </w:pPr>
      <w:r w:rsidRPr="00B86346">
        <w:rPr>
          <w:rFonts w:asciiTheme="majorBidi" w:hAnsiTheme="majorBidi" w:cstheme="majorBidi"/>
          <w:color w:val="000000" w:themeColor="text1"/>
          <w:sz w:val="24"/>
          <w:szCs w:val="24"/>
        </w:rPr>
        <w:t>1.2.</w:t>
      </w:r>
      <w:r w:rsidRPr="00B86346">
        <w:rPr>
          <w:rFonts w:asciiTheme="majorBidi" w:hAnsiTheme="majorBidi" w:cstheme="majorBidi"/>
          <w:color w:val="000000" w:themeColor="text1"/>
          <w:sz w:val="24"/>
          <w:szCs w:val="24"/>
        </w:rPr>
        <w:tab/>
        <w:t>Synthesis of Carboxyl-PEG-FA Conjugate.</w:t>
      </w:r>
    </w:p>
    <w:p w14:paraId="568B2722" w14:textId="7CE3536A" w:rsidR="00126A2B" w:rsidRPr="00B86346" w:rsidRDefault="00126A2B" w:rsidP="00F22339">
      <w:pPr>
        <w:spacing w:line="360" w:lineRule="auto"/>
        <w:ind w:left="360"/>
        <w:jc w:val="both"/>
        <w:rPr>
          <w:rFonts w:asciiTheme="majorBidi" w:hAnsiTheme="majorBidi" w:cstheme="majorBidi"/>
          <w:color w:val="000000" w:themeColor="text1"/>
          <w:sz w:val="24"/>
          <w:szCs w:val="24"/>
        </w:rPr>
      </w:pPr>
      <w:r w:rsidRPr="00B86346">
        <w:rPr>
          <w:rFonts w:asciiTheme="majorBidi" w:hAnsiTheme="majorBidi" w:cstheme="majorBidi"/>
          <w:color w:val="000000" w:themeColor="text1"/>
          <w:sz w:val="24"/>
          <w:szCs w:val="24"/>
        </w:rPr>
        <w:t xml:space="preserve">    In a 25 ml round-bottom flask, the </w:t>
      </w:r>
      <w:proofErr w:type="spellStart"/>
      <w:r w:rsidRPr="00B86346">
        <w:rPr>
          <w:rFonts w:asciiTheme="majorBidi" w:hAnsiTheme="majorBidi" w:cstheme="majorBidi"/>
          <w:color w:val="000000" w:themeColor="text1"/>
          <w:sz w:val="24"/>
          <w:szCs w:val="24"/>
        </w:rPr>
        <w:t>heterofunctional</w:t>
      </w:r>
      <w:proofErr w:type="spellEnd"/>
      <w:r w:rsidRPr="00B86346">
        <w:rPr>
          <w:rFonts w:asciiTheme="majorBidi" w:hAnsiTheme="majorBidi" w:cstheme="majorBidi"/>
          <w:color w:val="000000" w:themeColor="text1"/>
          <w:sz w:val="24"/>
          <w:szCs w:val="24"/>
        </w:rPr>
        <w:t xml:space="preserve"> PEG (COOH-PEG-NH</w:t>
      </w:r>
      <w:r w:rsidRPr="00B86346">
        <w:rPr>
          <w:rFonts w:asciiTheme="majorBidi" w:hAnsiTheme="majorBidi" w:cstheme="majorBidi"/>
          <w:color w:val="000000" w:themeColor="text1"/>
          <w:sz w:val="24"/>
          <w:szCs w:val="24"/>
          <w:vertAlign w:val="subscript"/>
        </w:rPr>
        <w:t>2</w:t>
      </w:r>
      <w:r w:rsidRPr="00B86346">
        <w:rPr>
          <w:rFonts w:asciiTheme="majorBidi" w:hAnsiTheme="majorBidi" w:cstheme="majorBidi"/>
          <w:color w:val="000000" w:themeColor="text1"/>
          <w:sz w:val="24"/>
          <w:szCs w:val="24"/>
        </w:rPr>
        <w:t xml:space="preserve">, 5.311 </w:t>
      </w:r>
      <w:proofErr w:type="spellStart"/>
      <w:r w:rsidRPr="00B86346">
        <w:rPr>
          <w:rFonts w:asciiTheme="majorBidi" w:hAnsiTheme="majorBidi" w:cstheme="majorBidi"/>
          <w:color w:val="000000" w:themeColor="text1"/>
          <w:sz w:val="24"/>
          <w:szCs w:val="24"/>
        </w:rPr>
        <w:t>kDa</w:t>
      </w:r>
      <w:proofErr w:type="spellEnd"/>
      <w:r w:rsidRPr="00B86346">
        <w:rPr>
          <w:rFonts w:asciiTheme="majorBidi" w:hAnsiTheme="majorBidi" w:cstheme="majorBidi"/>
          <w:color w:val="000000" w:themeColor="text1"/>
          <w:sz w:val="24"/>
          <w:szCs w:val="24"/>
        </w:rPr>
        <w:t>, 0.1 g, 17 mM) was dissolved completely in 3 ml of dry DMSO under a nitrogen atmosphere. Active folic acid (0.021 g, 2 molar equivalents) and 200 µl of dry triethylamine were then added. The reaction was stirred under nitrogen in the dark for 48 hours. Upon completion, the reaction mixture was added to cold diethyl ether to precipitate both the folic acid and the FA-PEG conjugate. The resulting residue was filtered, dissolved in dichloromethane, and washed in a separating funnel with 50 ml of 0.1 M carbonate buffer (pH 9.2) and deionized water to remove any unreacted folic acid. The organic phase was dried with anhydrous magnesium sulfate, filtered, and the pale-yellow solution was evaporated using a rotary evaporator, redissolved in dichloromethane, and precipitated into cold diethyl ether. The final PEG-FA conjugate was filtered through Whatman filter paper, dried in a desiccator, and characterized using FT-IR and H1NMR spectroscopy to confirm successful synthesis.</w:t>
      </w:r>
    </w:p>
    <w:p w14:paraId="33691E17" w14:textId="4F64B714" w:rsidR="00126A2B" w:rsidRPr="00B86346" w:rsidRDefault="00126A2B" w:rsidP="00F22339">
      <w:pPr>
        <w:spacing w:line="360" w:lineRule="auto"/>
        <w:ind w:left="360"/>
        <w:jc w:val="both"/>
        <w:rPr>
          <w:rFonts w:asciiTheme="majorBidi" w:hAnsiTheme="majorBidi" w:cstheme="majorBidi"/>
          <w:color w:val="000000" w:themeColor="text1"/>
          <w:sz w:val="24"/>
          <w:szCs w:val="24"/>
        </w:rPr>
      </w:pPr>
      <w:r w:rsidRPr="00B86346">
        <w:rPr>
          <w:rFonts w:asciiTheme="majorBidi" w:hAnsiTheme="majorBidi" w:cstheme="majorBidi"/>
          <w:color w:val="000000" w:themeColor="text1"/>
          <w:sz w:val="24"/>
          <w:szCs w:val="24"/>
        </w:rPr>
        <w:t>1.3.</w:t>
      </w:r>
      <w:r w:rsidRPr="00B86346">
        <w:rPr>
          <w:rFonts w:asciiTheme="majorBidi" w:hAnsiTheme="majorBidi" w:cstheme="majorBidi"/>
          <w:color w:val="000000" w:themeColor="text1"/>
          <w:sz w:val="24"/>
          <w:szCs w:val="24"/>
        </w:rPr>
        <w:tab/>
        <w:t>Synthesis of Z-PEG-FA conjugate.</w:t>
      </w:r>
    </w:p>
    <w:p w14:paraId="62B430EB" w14:textId="77777777" w:rsidR="00126A2B" w:rsidRPr="00B86346" w:rsidRDefault="00126A2B" w:rsidP="00F22339">
      <w:pPr>
        <w:spacing w:line="360" w:lineRule="auto"/>
        <w:ind w:left="360"/>
        <w:jc w:val="both"/>
        <w:rPr>
          <w:rFonts w:asciiTheme="majorBidi" w:hAnsiTheme="majorBidi" w:cstheme="majorBidi"/>
          <w:color w:val="000000" w:themeColor="text1"/>
          <w:sz w:val="24"/>
          <w:szCs w:val="24"/>
        </w:rPr>
      </w:pPr>
      <w:r w:rsidRPr="00B86346">
        <w:rPr>
          <w:rFonts w:asciiTheme="majorBidi" w:hAnsiTheme="majorBidi" w:cstheme="majorBidi"/>
          <w:color w:val="000000" w:themeColor="text1"/>
          <w:sz w:val="24"/>
          <w:szCs w:val="24"/>
        </w:rPr>
        <w:t xml:space="preserve">     To activate the carboxyl group of carboxyl-PEG-folate, 0.08 g of the compound was dissolved in 20 ml of nitrogen-purged methylene chloride. DCC (0.007 g, 2 equivalents) and </w:t>
      </w:r>
      <w:r w:rsidRPr="00B86346">
        <w:rPr>
          <w:rFonts w:asciiTheme="majorBidi" w:hAnsiTheme="majorBidi" w:cstheme="majorBidi"/>
          <w:color w:val="000000" w:themeColor="text1"/>
          <w:sz w:val="24"/>
          <w:szCs w:val="24"/>
        </w:rPr>
        <w:lastRenderedPageBreak/>
        <w:t xml:space="preserve">NHS (0.004 g, 2 equivalents) were then added to the solution. The reaction was stirred under nitrogen for 48 hours. Following the reaction, by-products were removed by filtration, and the filtrate was evaporated using rotary evaporator, yielding the active folic-PEG-NHS ester as a pale-yellow residue. The residue was then dissolved in 3 ml of nitrogen-purged DMSO followed by the addition of 0.1 g of yellow zein and 200 µl of dry triethylamine. The mixture was stirred under nitrogen for 72 hours. The mixture was dialyzed against distilled water for 48 hours using dialysis tubing (12–14 </w:t>
      </w:r>
      <w:proofErr w:type="spellStart"/>
      <w:r w:rsidRPr="00B86346">
        <w:rPr>
          <w:rFonts w:asciiTheme="majorBidi" w:hAnsiTheme="majorBidi" w:cstheme="majorBidi"/>
          <w:color w:val="000000" w:themeColor="text1"/>
          <w:sz w:val="24"/>
          <w:szCs w:val="24"/>
        </w:rPr>
        <w:t>kDa</w:t>
      </w:r>
      <w:proofErr w:type="spellEnd"/>
      <w:r w:rsidRPr="00B86346">
        <w:rPr>
          <w:rFonts w:asciiTheme="majorBidi" w:hAnsiTheme="majorBidi" w:cstheme="majorBidi"/>
          <w:color w:val="000000" w:themeColor="text1"/>
          <w:sz w:val="24"/>
          <w:szCs w:val="24"/>
        </w:rPr>
        <w:t>), with water replaced every 6 hours to ensure complete removal of unreacted PEG and DMSO. The dialyzed colloidal Z-PEG-FA product was freeze-dried to yield a fluffy zein powder, which was further characterized using FT-IR and H1NMR spectroscopy.</w:t>
      </w:r>
    </w:p>
    <w:p w14:paraId="35C59C09" w14:textId="064289F2" w:rsidR="00126A2B" w:rsidRPr="00B86346" w:rsidRDefault="00126A2B" w:rsidP="00F22339">
      <w:pPr>
        <w:spacing w:line="360" w:lineRule="auto"/>
        <w:ind w:left="360"/>
        <w:jc w:val="both"/>
        <w:rPr>
          <w:rFonts w:asciiTheme="majorBidi" w:hAnsiTheme="majorBidi" w:cstheme="majorBidi"/>
          <w:color w:val="000000" w:themeColor="text1"/>
          <w:sz w:val="24"/>
          <w:szCs w:val="24"/>
        </w:rPr>
      </w:pPr>
      <w:r w:rsidRPr="00B86346">
        <w:rPr>
          <w:rFonts w:asciiTheme="majorBidi" w:hAnsiTheme="majorBidi" w:cstheme="majorBidi"/>
          <w:color w:val="000000" w:themeColor="text1"/>
          <w:sz w:val="24"/>
          <w:szCs w:val="24"/>
        </w:rPr>
        <w:t>1.4.</w:t>
      </w:r>
      <w:r w:rsidRPr="00B86346">
        <w:rPr>
          <w:rFonts w:asciiTheme="majorBidi" w:hAnsiTheme="majorBidi" w:cstheme="majorBidi"/>
          <w:color w:val="000000" w:themeColor="text1"/>
          <w:sz w:val="24"/>
          <w:szCs w:val="24"/>
        </w:rPr>
        <w:tab/>
        <w:t>FT-IR Spectroscopy.</w:t>
      </w:r>
    </w:p>
    <w:p w14:paraId="78FFD7FD" w14:textId="703358D2" w:rsidR="00126A2B" w:rsidRPr="00B86346" w:rsidRDefault="00126A2B" w:rsidP="00F22339">
      <w:pPr>
        <w:spacing w:line="360" w:lineRule="auto"/>
        <w:ind w:left="360"/>
        <w:jc w:val="both"/>
        <w:rPr>
          <w:rFonts w:asciiTheme="majorBidi" w:hAnsiTheme="majorBidi" w:cstheme="majorBidi"/>
          <w:color w:val="000000" w:themeColor="text1"/>
          <w:sz w:val="24"/>
          <w:szCs w:val="24"/>
        </w:rPr>
      </w:pPr>
      <w:r w:rsidRPr="00B86346">
        <w:rPr>
          <w:rFonts w:asciiTheme="majorBidi" w:hAnsiTheme="majorBidi" w:cstheme="majorBidi"/>
          <w:color w:val="000000" w:themeColor="text1"/>
          <w:sz w:val="24"/>
          <w:szCs w:val="24"/>
        </w:rPr>
        <w:t xml:space="preserve">  Infrared spectra were obtained using a Bruker α-alpha FT-IR spectrometer (Bruker Optic GmbH, Ettlingen, Germany), which featured a diamond crystal for attenuated total reflectance (ATR) measurements. Solid samples were applied directly onto the diamond crystal, then held in place with a pressure arm to ensure optimal contact. Spectral data were recorded over a </w:t>
      </w:r>
      <w:r w:rsidR="00B86346" w:rsidRPr="00B86346">
        <w:rPr>
          <w:rFonts w:asciiTheme="majorBidi" w:hAnsiTheme="majorBidi" w:cstheme="majorBidi"/>
          <w:color w:val="000000" w:themeColor="text1"/>
          <w:sz w:val="24"/>
          <w:szCs w:val="24"/>
        </w:rPr>
        <w:t>range of</w:t>
      </w:r>
      <w:r w:rsidRPr="00B86346">
        <w:rPr>
          <w:rFonts w:asciiTheme="majorBidi" w:hAnsiTheme="majorBidi" w:cstheme="majorBidi"/>
          <w:color w:val="000000" w:themeColor="text1"/>
          <w:sz w:val="24"/>
          <w:szCs w:val="24"/>
        </w:rPr>
        <w:t xml:space="preserve"> 4000 cm⁻¹ down to 400 cm⁻¹ using the spectrometer’s integrated software.</w:t>
      </w:r>
    </w:p>
    <w:p w14:paraId="0A0DF322" w14:textId="0375FD09" w:rsidR="00126A2B" w:rsidRPr="00B86346" w:rsidRDefault="00126A2B" w:rsidP="00F22339">
      <w:pPr>
        <w:spacing w:line="360" w:lineRule="auto"/>
        <w:ind w:left="360"/>
        <w:jc w:val="both"/>
        <w:rPr>
          <w:rFonts w:asciiTheme="majorBidi" w:hAnsiTheme="majorBidi" w:cstheme="majorBidi"/>
          <w:color w:val="000000" w:themeColor="text1"/>
          <w:sz w:val="24"/>
          <w:szCs w:val="24"/>
        </w:rPr>
      </w:pPr>
      <w:r w:rsidRPr="00B86346">
        <w:rPr>
          <w:rFonts w:asciiTheme="majorBidi" w:hAnsiTheme="majorBidi" w:cstheme="majorBidi"/>
          <w:color w:val="000000" w:themeColor="text1"/>
          <w:sz w:val="24"/>
          <w:szCs w:val="24"/>
        </w:rPr>
        <w:t>1.5.</w:t>
      </w:r>
      <w:r w:rsidRPr="00B86346">
        <w:rPr>
          <w:rFonts w:asciiTheme="majorBidi" w:hAnsiTheme="majorBidi" w:cstheme="majorBidi"/>
          <w:color w:val="000000" w:themeColor="text1"/>
          <w:sz w:val="24"/>
          <w:szCs w:val="24"/>
        </w:rPr>
        <w:tab/>
        <w:t>H1NMR spectroscopy.</w:t>
      </w:r>
    </w:p>
    <w:p w14:paraId="54351A52" w14:textId="77777777" w:rsidR="00126A2B" w:rsidRPr="00B86346" w:rsidRDefault="00126A2B" w:rsidP="00F22339">
      <w:pPr>
        <w:spacing w:line="360" w:lineRule="auto"/>
        <w:ind w:left="360"/>
        <w:jc w:val="both"/>
        <w:rPr>
          <w:rFonts w:asciiTheme="majorBidi" w:hAnsiTheme="majorBidi" w:cstheme="majorBidi"/>
          <w:color w:val="000000" w:themeColor="text1"/>
          <w:sz w:val="24"/>
          <w:szCs w:val="24"/>
        </w:rPr>
      </w:pPr>
      <w:r w:rsidRPr="00B86346">
        <w:rPr>
          <w:rFonts w:asciiTheme="majorBidi" w:hAnsiTheme="majorBidi" w:cstheme="majorBidi"/>
          <w:color w:val="000000" w:themeColor="text1"/>
          <w:sz w:val="24"/>
          <w:szCs w:val="24"/>
        </w:rPr>
        <w:t xml:space="preserve">      Proton NMR (¹H NMR) spectra were acquired using a JEOL ECX-400 Nuclear Magnetic Resonance spectrometer (JEOL, Japan) with an automated tuning sample head. Samples were prepared by dissolving an accurately measured quantity of the compound in a suitable NMR solvent, like </w:t>
      </w:r>
      <w:proofErr w:type="spellStart"/>
      <w:r w:rsidRPr="00B86346">
        <w:rPr>
          <w:rFonts w:asciiTheme="majorBidi" w:hAnsiTheme="majorBidi" w:cstheme="majorBidi"/>
          <w:color w:val="000000" w:themeColor="text1"/>
          <w:sz w:val="24"/>
          <w:szCs w:val="24"/>
        </w:rPr>
        <w:t>CDCl</w:t>
      </w:r>
      <w:proofErr w:type="spellEnd"/>
      <w:r w:rsidRPr="00B86346">
        <w:rPr>
          <w:rFonts w:asciiTheme="majorBidi" w:hAnsiTheme="majorBidi" w:cstheme="majorBidi"/>
          <w:color w:val="000000" w:themeColor="text1"/>
          <w:sz w:val="24"/>
          <w:szCs w:val="24"/>
        </w:rPr>
        <w:t>₃ or DMSO-d₆. The resulting solutions were then placed in NMR tubes for analysis.</w:t>
      </w:r>
    </w:p>
    <w:p w14:paraId="143F93C2" w14:textId="1B0B36FA" w:rsidR="00126A2B" w:rsidRPr="00B86346" w:rsidRDefault="00F22339" w:rsidP="00F22339">
      <w:pPr>
        <w:spacing w:line="360" w:lineRule="auto"/>
        <w:ind w:left="360"/>
        <w:jc w:val="both"/>
        <w:rPr>
          <w:rFonts w:asciiTheme="majorBidi" w:hAnsiTheme="majorBidi" w:cstheme="majorBidi"/>
          <w:color w:val="000000" w:themeColor="text1"/>
          <w:sz w:val="24"/>
          <w:szCs w:val="24"/>
        </w:rPr>
      </w:pPr>
      <w:r w:rsidRPr="00B86346">
        <w:rPr>
          <w:rFonts w:asciiTheme="majorBidi" w:hAnsiTheme="majorBidi" w:cstheme="majorBidi"/>
          <w:color w:val="000000" w:themeColor="text1"/>
          <w:sz w:val="24"/>
          <w:szCs w:val="24"/>
        </w:rPr>
        <w:t>1.6</w:t>
      </w:r>
      <w:r w:rsidR="00126A2B" w:rsidRPr="00B86346">
        <w:rPr>
          <w:rFonts w:asciiTheme="majorBidi" w:hAnsiTheme="majorBidi" w:cstheme="majorBidi"/>
          <w:color w:val="000000" w:themeColor="text1"/>
          <w:sz w:val="24"/>
          <w:szCs w:val="24"/>
        </w:rPr>
        <w:t>. UV-Spectroscopy</w:t>
      </w:r>
    </w:p>
    <w:p w14:paraId="20A67114" w14:textId="66143664" w:rsidR="00126A2B" w:rsidRPr="00B86346" w:rsidRDefault="00126A2B" w:rsidP="00F22339">
      <w:pPr>
        <w:spacing w:line="360" w:lineRule="auto"/>
        <w:ind w:left="360"/>
        <w:jc w:val="both"/>
        <w:rPr>
          <w:rFonts w:asciiTheme="majorBidi" w:hAnsiTheme="majorBidi" w:cstheme="majorBidi"/>
          <w:color w:val="000000" w:themeColor="text1"/>
          <w:sz w:val="24"/>
          <w:szCs w:val="24"/>
        </w:rPr>
      </w:pPr>
      <w:r w:rsidRPr="00B86346">
        <w:rPr>
          <w:rFonts w:asciiTheme="majorBidi" w:hAnsiTheme="majorBidi" w:cstheme="majorBidi"/>
          <w:color w:val="000000" w:themeColor="text1"/>
          <w:sz w:val="24"/>
          <w:szCs w:val="24"/>
        </w:rPr>
        <w:t xml:space="preserve">     UV spectra of free folic acid (in 0.2 M carbonate buffer), Z-PEG, and the Z-PEG-FA (both in 90% EtOH) were acquired via UV-Spectrophotometer (</w:t>
      </w:r>
      <w:proofErr w:type="spellStart"/>
      <w:r w:rsidRPr="00B86346">
        <w:rPr>
          <w:rFonts w:asciiTheme="majorBidi" w:hAnsiTheme="majorBidi" w:cstheme="majorBidi"/>
          <w:color w:val="000000" w:themeColor="text1"/>
          <w:sz w:val="24"/>
          <w:szCs w:val="24"/>
        </w:rPr>
        <w:t>Thermo</w:t>
      </w:r>
      <w:proofErr w:type="spellEnd"/>
      <w:r w:rsidRPr="00B86346">
        <w:rPr>
          <w:rFonts w:asciiTheme="majorBidi" w:hAnsiTheme="majorBidi" w:cstheme="majorBidi"/>
          <w:color w:val="000000" w:themeColor="text1"/>
          <w:sz w:val="24"/>
          <w:szCs w:val="24"/>
        </w:rPr>
        <w:t xml:space="preserve"> Fisher Scientific, Finland). Recordings were caught at ambient temperature (25OC), and the data </w:t>
      </w:r>
      <w:proofErr w:type="gramStart"/>
      <w:r w:rsidRPr="00B86346">
        <w:rPr>
          <w:rFonts w:asciiTheme="majorBidi" w:hAnsiTheme="majorBidi" w:cstheme="majorBidi"/>
          <w:color w:val="000000" w:themeColor="text1"/>
          <w:sz w:val="24"/>
          <w:szCs w:val="24"/>
        </w:rPr>
        <w:t>were</w:t>
      </w:r>
      <w:proofErr w:type="gramEnd"/>
      <w:r w:rsidRPr="00B86346">
        <w:rPr>
          <w:rFonts w:asciiTheme="majorBidi" w:hAnsiTheme="majorBidi" w:cstheme="majorBidi"/>
          <w:color w:val="000000" w:themeColor="text1"/>
          <w:sz w:val="24"/>
          <w:szCs w:val="24"/>
        </w:rPr>
        <w:t xml:space="preserve"> extracted and analyzed by Origin Lab software (MA, USA).</w:t>
      </w:r>
    </w:p>
    <w:p w14:paraId="5EA7E49B" w14:textId="77777777" w:rsidR="00764138" w:rsidRPr="00B86346" w:rsidRDefault="00764138" w:rsidP="00764138">
      <w:pPr>
        <w:spacing w:after="0" w:line="360" w:lineRule="auto"/>
        <w:contextualSpacing/>
        <w:jc w:val="center"/>
        <w:rPr>
          <w:rFonts w:asciiTheme="majorBidi" w:eastAsia="MS Gothic" w:hAnsiTheme="majorBidi" w:cstheme="majorBidi"/>
          <w:b/>
          <w:bCs/>
          <w:color w:val="000000" w:themeColor="text1"/>
          <w:spacing w:val="-10"/>
          <w:kern w:val="28"/>
          <w:sz w:val="24"/>
          <w:szCs w:val="24"/>
        </w:rPr>
      </w:pPr>
    </w:p>
    <w:p w14:paraId="22598AE0" w14:textId="77777777" w:rsidR="00F17A34" w:rsidRPr="00B86346" w:rsidRDefault="00764138" w:rsidP="00F17A34">
      <w:pPr>
        <w:keepNext/>
        <w:spacing w:after="0" w:line="360" w:lineRule="auto"/>
        <w:contextualSpacing/>
        <w:jc w:val="center"/>
        <w:rPr>
          <w:rFonts w:asciiTheme="majorBidi" w:hAnsiTheme="majorBidi" w:cstheme="majorBidi"/>
          <w:color w:val="000000" w:themeColor="text1"/>
          <w:sz w:val="24"/>
          <w:szCs w:val="24"/>
        </w:rPr>
      </w:pPr>
      <w:r w:rsidRPr="00B86346">
        <w:rPr>
          <w:rFonts w:asciiTheme="majorBidi" w:eastAsia="MS Gothic" w:hAnsiTheme="majorBidi" w:cstheme="majorBidi"/>
          <w:b/>
          <w:bCs/>
          <w:noProof/>
          <w:color w:val="000000" w:themeColor="text1"/>
          <w:spacing w:val="-10"/>
          <w:kern w:val="28"/>
          <w:sz w:val="24"/>
          <w:szCs w:val="24"/>
        </w:rPr>
        <w:lastRenderedPageBreak/>
        <w:drawing>
          <wp:inline distT="0" distB="0" distL="0" distR="0" wp14:anchorId="51B73B3B" wp14:editId="08D96586">
            <wp:extent cx="5943600" cy="4415790"/>
            <wp:effectExtent l="0" t="0" r="0" b="3810"/>
            <wp:docPr id="1" name="Picture 1"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 schematic&#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5943600" cy="4415790"/>
                    </a:xfrm>
                    <a:prstGeom prst="rect">
                      <a:avLst/>
                    </a:prstGeom>
                  </pic:spPr>
                </pic:pic>
              </a:graphicData>
            </a:graphic>
          </wp:inline>
        </w:drawing>
      </w:r>
    </w:p>
    <w:p w14:paraId="4201587C" w14:textId="6E2700A5" w:rsidR="00764138" w:rsidRPr="00B86346" w:rsidRDefault="00F17A34" w:rsidP="00F17A34">
      <w:pPr>
        <w:pStyle w:val="Caption"/>
        <w:jc w:val="center"/>
        <w:rPr>
          <w:rFonts w:asciiTheme="majorBidi" w:eastAsia="MS Gothic" w:hAnsiTheme="majorBidi" w:cstheme="majorBidi"/>
          <w:b/>
          <w:bCs/>
          <w:color w:val="000000" w:themeColor="text1"/>
          <w:spacing w:val="-10"/>
          <w:kern w:val="28"/>
          <w:sz w:val="24"/>
          <w:szCs w:val="24"/>
        </w:rPr>
      </w:pPr>
      <w:r w:rsidRPr="00B86346">
        <w:rPr>
          <w:rFonts w:asciiTheme="majorBidi" w:hAnsiTheme="majorBidi" w:cstheme="majorBidi"/>
          <w:color w:val="000000" w:themeColor="text1"/>
          <w:sz w:val="24"/>
          <w:szCs w:val="24"/>
        </w:rPr>
        <w:t xml:space="preserve">Figure </w:t>
      </w:r>
      <w:r w:rsidR="00EA59EF" w:rsidRPr="00B86346">
        <w:rPr>
          <w:rFonts w:asciiTheme="majorBidi" w:hAnsiTheme="majorBidi" w:cstheme="majorBidi"/>
          <w:color w:val="000000" w:themeColor="text1"/>
          <w:sz w:val="24"/>
          <w:szCs w:val="24"/>
        </w:rPr>
        <w:t>S</w:t>
      </w:r>
      <w:r w:rsidRPr="00B86346">
        <w:rPr>
          <w:rFonts w:asciiTheme="majorBidi" w:hAnsiTheme="majorBidi" w:cstheme="majorBidi"/>
          <w:color w:val="000000" w:themeColor="text1"/>
          <w:sz w:val="24"/>
          <w:szCs w:val="24"/>
        </w:rPr>
        <w:fldChar w:fldCharType="begin"/>
      </w:r>
      <w:r w:rsidRPr="00B86346">
        <w:rPr>
          <w:rFonts w:asciiTheme="majorBidi" w:hAnsiTheme="majorBidi" w:cstheme="majorBidi"/>
          <w:color w:val="000000" w:themeColor="text1"/>
          <w:sz w:val="24"/>
          <w:szCs w:val="24"/>
        </w:rPr>
        <w:instrText>SEQ Figure \* ARABIC</w:instrText>
      </w:r>
      <w:r w:rsidRPr="00B86346">
        <w:rPr>
          <w:rFonts w:asciiTheme="majorBidi" w:hAnsiTheme="majorBidi" w:cstheme="majorBidi"/>
          <w:color w:val="000000" w:themeColor="text1"/>
          <w:sz w:val="24"/>
          <w:szCs w:val="24"/>
        </w:rPr>
        <w:fldChar w:fldCharType="separate"/>
      </w:r>
      <w:r w:rsidR="00461E3A">
        <w:rPr>
          <w:rFonts w:asciiTheme="majorBidi" w:hAnsiTheme="majorBidi" w:cstheme="majorBidi"/>
          <w:noProof/>
          <w:color w:val="000000" w:themeColor="text1"/>
          <w:sz w:val="24"/>
          <w:szCs w:val="24"/>
        </w:rPr>
        <w:t>1</w:t>
      </w:r>
      <w:r w:rsidRPr="00B86346">
        <w:rPr>
          <w:rFonts w:asciiTheme="majorBidi" w:hAnsiTheme="majorBidi" w:cstheme="majorBidi"/>
          <w:color w:val="000000" w:themeColor="text1"/>
          <w:sz w:val="24"/>
          <w:szCs w:val="24"/>
        </w:rPr>
        <w:fldChar w:fldCharType="end"/>
      </w:r>
      <w:r w:rsidR="00EA59EF" w:rsidRPr="00B86346">
        <w:rPr>
          <w:rFonts w:asciiTheme="majorBidi" w:hAnsiTheme="majorBidi" w:cstheme="majorBidi"/>
          <w:color w:val="000000" w:themeColor="text1"/>
          <w:sz w:val="24"/>
          <w:szCs w:val="24"/>
        </w:rPr>
        <w:t xml:space="preserve">. Chemical synthesis of PEGylated zein </w:t>
      </w:r>
      <w:r w:rsidR="009632E9" w:rsidRPr="00B86346">
        <w:rPr>
          <w:rFonts w:asciiTheme="majorBidi" w:hAnsiTheme="majorBidi" w:cstheme="majorBidi"/>
          <w:color w:val="000000" w:themeColor="text1"/>
          <w:sz w:val="24"/>
          <w:szCs w:val="24"/>
        </w:rPr>
        <w:t xml:space="preserve">functionalized with folic acid </w:t>
      </w:r>
    </w:p>
    <w:p w14:paraId="21657FC6" w14:textId="77777777" w:rsidR="00764138" w:rsidRPr="00B86346" w:rsidRDefault="00764138" w:rsidP="00764138">
      <w:pPr>
        <w:spacing w:after="0" w:line="360" w:lineRule="auto"/>
        <w:contextualSpacing/>
        <w:jc w:val="center"/>
        <w:rPr>
          <w:rFonts w:asciiTheme="majorBidi" w:eastAsia="MS Gothic" w:hAnsiTheme="majorBidi" w:cstheme="majorBidi"/>
          <w:b/>
          <w:bCs/>
          <w:color w:val="000000" w:themeColor="text1"/>
          <w:spacing w:val="-10"/>
          <w:kern w:val="28"/>
          <w:sz w:val="24"/>
          <w:szCs w:val="24"/>
        </w:rPr>
      </w:pPr>
    </w:p>
    <w:p w14:paraId="2ECC01E6" w14:textId="77777777" w:rsidR="00764138" w:rsidRPr="00B86346" w:rsidRDefault="00764138" w:rsidP="00764138">
      <w:pPr>
        <w:spacing w:after="0" w:line="360" w:lineRule="auto"/>
        <w:contextualSpacing/>
        <w:jc w:val="center"/>
        <w:rPr>
          <w:rFonts w:asciiTheme="majorBidi" w:eastAsia="MS Gothic" w:hAnsiTheme="majorBidi" w:cstheme="majorBidi"/>
          <w:b/>
          <w:bCs/>
          <w:color w:val="000000" w:themeColor="text1"/>
          <w:spacing w:val="-10"/>
          <w:kern w:val="28"/>
          <w:sz w:val="24"/>
          <w:szCs w:val="24"/>
        </w:rPr>
      </w:pPr>
    </w:p>
    <w:p w14:paraId="19F4791C" w14:textId="77777777" w:rsidR="00764138" w:rsidRPr="00B86346" w:rsidRDefault="00764138" w:rsidP="00764138">
      <w:pPr>
        <w:spacing w:after="0" w:line="360" w:lineRule="auto"/>
        <w:contextualSpacing/>
        <w:jc w:val="center"/>
        <w:rPr>
          <w:rFonts w:asciiTheme="majorBidi" w:eastAsia="MS Gothic" w:hAnsiTheme="majorBidi" w:cstheme="majorBidi"/>
          <w:b/>
          <w:bCs/>
          <w:color w:val="000000" w:themeColor="text1"/>
          <w:spacing w:val="-10"/>
          <w:kern w:val="28"/>
          <w:sz w:val="24"/>
          <w:szCs w:val="24"/>
        </w:rPr>
      </w:pPr>
    </w:p>
    <w:p w14:paraId="18E7D476" w14:textId="77777777" w:rsidR="00764138" w:rsidRPr="00B86346" w:rsidRDefault="00764138" w:rsidP="00764138">
      <w:pPr>
        <w:spacing w:after="0" w:line="360" w:lineRule="auto"/>
        <w:contextualSpacing/>
        <w:jc w:val="center"/>
        <w:rPr>
          <w:rFonts w:asciiTheme="majorBidi" w:eastAsia="MS Gothic" w:hAnsiTheme="majorBidi" w:cstheme="majorBidi"/>
          <w:b/>
          <w:bCs/>
          <w:color w:val="000000" w:themeColor="text1"/>
          <w:spacing w:val="-10"/>
          <w:kern w:val="28"/>
          <w:sz w:val="24"/>
          <w:szCs w:val="24"/>
        </w:rPr>
      </w:pPr>
    </w:p>
    <w:p w14:paraId="7785A7FD" w14:textId="77777777" w:rsidR="0065122E" w:rsidRPr="00B86346" w:rsidRDefault="0065122E" w:rsidP="00764138">
      <w:pPr>
        <w:spacing w:after="0" w:line="360" w:lineRule="auto"/>
        <w:contextualSpacing/>
        <w:jc w:val="center"/>
        <w:rPr>
          <w:rFonts w:asciiTheme="majorBidi" w:eastAsia="MS Gothic" w:hAnsiTheme="majorBidi" w:cstheme="majorBidi"/>
          <w:b/>
          <w:bCs/>
          <w:color w:val="000000" w:themeColor="text1"/>
          <w:spacing w:val="-10"/>
          <w:kern w:val="28"/>
          <w:sz w:val="24"/>
          <w:szCs w:val="24"/>
        </w:rPr>
      </w:pPr>
    </w:p>
    <w:p w14:paraId="25E9897E" w14:textId="77777777" w:rsidR="0065122E" w:rsidRPr="00B86346" w:rsidRDefault="0065122E" w:rsidP="00764138">
      <w:pPr>
        <w:spacing w:after="0" w:line="360" w:lineRule="auto"/>
        <w:contextualSpacing/>
        <w:jc w:val="center"/>
        <w:rPr>
          <w:rFonts w:asciiTheme="majorBidi" w:eastAsia="MS Gothic" w:hAnsiTheme="majorBidi" w:cstheme="majorBidi"/>
          <w:b/>
          <w:bCs/>
          <w:color w:val="000000" w:themeColor="text1"/>
          <w:spacing w:val="-10"/>
          <w:kern w:val="28"/>
          <w:sz w:val="24"/>
          <w:szCs w:val="24"/>
        </w:rPr>
      </w:pPr>
    </w:p>
    <w:p w14:paraId="0D5FA1B5" w14:textId="795CA729" w:rsidR="0065122E" w:rsidRPr="00B86346" w:rsidRDefault="00A963FD" w:rsidP="00A963FD">
      <w:pPr>
        <w:pStyle w:val="Heading1"/>
        <w:numPr>
          <w:ilvl w:val="0"/>
          <w:numId w:val="1"/>
        </w:numPr>
        <w:rPr>
          <w:rFonts w:asciiTheme="majorBidi" w:eastAsia="MS Gothic" w:hAnsiTheme="majorBidi"/>
          <w:color w:val="000000" w:themeColor="text1"/>
          <w:sz w:val="24"/>
          <w:szCs w:val="24"/>
        </w:rPr>
      </w:pPr>
      <w:r w:rsidRPr="00B86346">
        <w:rPr>
          <w:rFonts w:asciiTheme="majorBidi" w:eastAsia="MS Gothic" w:hAnsiTheme="majorBidi"/>
          <w:color w:val="000000" w:themeColor="text1"/>
          <w:sz w:val="24"/>
          <w:szCs w:val="24"/>
        </w:rPr>
        <w:lastRenderedPageBreak/>
        <w:t>The HPLC calibration of paclitaxel in ethanol</w:t>
      </w:r>
    </w:p>
    <w:p w14:paraId="4D595ED2" w14:textId="77777777" w:rsidR="002D162B" w:rsidRPr="00B86346" w:rsidRDefault="002D162B" w:rsidP="002D162B">
      <w:pPr>
        <w:keepNext/>
        <w:spacing w:after="0" w:line="360" w:lineRule="auto"/>
        <w:contextualSpacing/>
        <w:jc w:val="center"/>
        <w:rPr>
          <w:rFonts w:asciiTheme="majorBidi" w:hAnsiTheme="majorBidi" w:cstheme="majorBidi"/>
          <w:color w:val="000000" w:themeColor="text1"/>
          <w:sz w:val="24"/>
          <w:szCs w:val="24"/>
        </w:rPr>
      </w:pPr>
      <w:r w:rsidRPr="00B86346">
        <w:rPr>
          <w:rFonts w:asciiTheme="majorBidi" w:eastAsia="MS Gothic" w:hAnsiTheme="majorBidi" w:cstheme="majorBidi"/>
          <w:b/>
          <w:bCs/>
          <w:noProof/>
          <w:color w:val="000000" w:themeColor="text1"/>
          <w:spacing w:val="-10"/>
          <w:kern w:val="28"/>
          <w:sz w:val="24"/>
          <w:szCs w:val="24"/>
        </w:rPr>
        <w:drawing>
          <wp:inline distT="0" distB="0" distL="0" distR="0" wp14:anchorId="3C139578" wp14:editId="6851CBF9">
            <wp:extent cx="4733171" cy="3622696"/>
            <wp:effectExtent l="0" t="0" r="0" b="0"/>
            <wp:docPr id="3" name="Picture 3"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scatter char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4741334" cy="3628944"/>
                    </a:xfrm>
                    <a:prstGeom prst="rect">
                      <a:avLst/>
                    </a:prstGeom>
                  </pic:spPr>
                </pic:pic>
              </a:graphicData>
            </a:graphic>
          </wp:inline>
        </w:drawing>
      </w:r>
    </w:p>
    <w:p w14:paraId="59C8C92C" w14:textId="27AC232A" w:rsidR="00764138" w:rsidRPr="00B86346" w:rsidRDefault="002D162B" w:rsidP="002D162B">
      <w:pPr>
        <w:pStyle w:val="Caption"/>
        <w:jc w:val="center"/>
        <w:rPr>
          <w:rFonts w:asciiTheme="majorBidi" w:hAnsiTheme="majorBidi" w:cstheme="majorBidi"/>
          <w:color w:val="000000" w:themeColor="text1"/>
          <w:sz w:val="24"/>
          <w:szCs w:val="24"/>
        </w:rPr>
      </w:pPr>
      <w:r w:rsidRPr="00B86346">
        <w:rPr>
          <w:rFonts w:asciiTheme="majorBidi" w:hAnsiTheme="majorBidi" w:cstheme="majorBidi"/>
          <w:color w:val="000000" w:themeColor="text1"/>
          <w:sz w:val="24"/>
          <w:szCs w:val="24"/>
        </w:rPr>
        <w:t>Figure S</w:t>
      </w:r>
      <w:r w:rsidRPr="00B86346">
        <w:rPr>
          <w:rFonts w:asciiTheme="majorBidi" w:hAnsiTheme="majorBidi" w:cstheme="majorBidi"/>
          <w:color w:val="000000" w:themeColor="text1"/>
          <w:sz w:val="24"/>
          <w:szCs w:val="24"/>
        </w:rPr>
        <w:fldChar w:fldCharType="begin"/>
      </w:r>
      <w:r w:rsidRPr="00B86346">
        <w:rPr>
          <w:rFonts w:asciiTheme="majorBidi" w:hAnsiTheme="majorBidi" w:cstheme="majorBidi"/>
          <w:color w:val="000000" w:themeColor="text1"/>
          <w:sz w:val="24"/>
          <w:szCs w:val="24"/>
        </w:rPr>
        <w:instrText>SEQ Figure \* ARABIC</w:instrText>
      </w:r>
      <w:r w:rsidRPr="00B86346">
        <w:rPr>
          <w:rFonts w:asciiTheme="majorBidi" w:hAnsiTheme="majorBidi" w:cstheme="majorBidi"/>
          <w:color w:val="000000" w:themeColor="text1"/>
          <w:sz w:val="24"/>
          <w:szCs w:val="24"/>
        </w:rPr>
        <w:fldChar w:fldCharType="separate"/>
      </w:r>
      <w:r w:rsidR="00461E3A">
        <w:rPr>
          <w:rFonts w:asciiTheme="majorBidi" w:hAnsiTheme="majorBidi" w:cstheme="majorBidi"/>
          <w:noProof/>
          <w:color w:val="000000" w:themeColor="text1"/>
          <w:sz w:val="24"/>
          <w:szCs w:val="24"/>
        </w:rPr>
        <w:t>2</w:t>
      </w:r>
      <w:r w:rsidRPr="00B86346">
        <w:rPr>
          <w:rFonts w:asciiTheme="majorBidi" w:hAnsiTheme="majorBidi" w:cstheme="majorBidi"/>
          <w:color w:val="000000" w:themeColor="text1"/>
          <w:sz w:val="24"/>
          <w:szCs w:val="24"/>
        </w:rPr>
        <w:fldChar w:fldCharType="end"/>
      </w:r>
      <w:r w:rsidRPr="00B86346">
        <w:rPr>
          <w:rFonts w:asciiTheme="majorBidi" w:hAnsiTheme="majorBidi" w:cstheme="majorBidi"/>
          <w:color w:val="000000" w:themeColor="text1"/>
          <w:sz w:val="24"/>
          <w:szCs w:val="24"/>
        </w:rPr>
        <w:t xml:space="preserve">. </w:t>
      </w:r>
      <w:r w:rsidR="00794A32" w:rsidRPr="00B86346">
        <w:rPr>
          <w:rFonts w:asciiTheme="majorBidi" w:hAnsiTheme="majorBidi" w:cstheme="majorBidi"/>
          <w:color w:val="000000" w:themeColor="text1"/>
          <w:sz w:val="24"/>
          <w:szCs w:val="24"/>
        </w:rPr>
        <w:t xml:space="preserve">The HPLC calibration of paclitaxel in Ethanol </w:t>
      </w:r>
      <w:r w:rsidR="00D552D5" w:rsidRPr="00B86346">
        <w:rPr>
          <w:rFonts w:asciiTheme="majorBidi" w:hAnsiTheme="majorBidi" w:cstheme="majorBidi"/>
          <w:color w:val="000000" w:themeColor="text1"/>
          <w:sz w:val="24"/>
          <w:szCs w:val="24"/>
        </w:rPr>
        <w:t xml:space="preserve">generated at concentration </w:t>
      </w:r>
      <w:r w:rsidR="00E55ECC" w:rsidRPr="00B86346">
        <w:rPr>
          <w:rFonts w:asciiTheme="majorBidi" w:hAnsiTheme="majorBidi" w:cstheme="majorBidi"/>
          <w:color w:val="000000" w:themeColor="text1"/>
          <w:sz w:val="24"/>
          <w:szCs w:val="24"/>
        </w:rPr>
        <w:t>range</w:t>
      </w:r>
      <w:r w:rsidR="00D552D5" w:rsidRPr="00B86346">
        <w:rPr>
          <w:rFonts w:asciiTheme="majorBidi" w:hAnsiTheme="majorBidi" w:cstheme="majorBidi"/>
          <w:color w:val="000000" w:themeColor="text1"/>
          <w:sz w:val="24"/>
          <w:szCs w:val="24"/>
        </w:rPr>
        <w:t xml:space="preserve"> </w:t>
      </w:r>
      <w:r w:rsidR="00165CAA" w:rsidRPr="00B86346">
        <w:rPr>
          <w:rFonts w:asciiTheme="majorBidi" w:hAnsiTheme="majorBidi" w:cstheme="majorBidi"/>
          <w:color w:val="000000" w:themeColor="text1"/>
          <w:sz w:val="24"/>
          <w:szCs w:val="24"/>
        </w:rPr>
        <w:t>(0</w:t>
      </w:r>
      <w:r w:rsidR="00E55ECC" w:rsidRPr="00B86346">
        <w:rPr>
          <w:rFonts w:asciiTheme="majorBidi" w:hAnsiTheme="majorBidi" w:cstheme="majorBidi"/>
          <w:color w:val="000000" w:themeColor="text1"/>
          <w:sz w:val="24"/>
          <w:szCs w:val="24"/>
        </w:rPr>
        <w:t xml:space="preserve"> – 1000 ug/</w:t>
      </w:r>
      <w:proofErr w:type="gramStart"/>
      <w:r w:rsidR="00E55ECC" w:rsidRPr="00B86346">
        <w:rPr>
          <w:rFonts w:asciiTheme="majorBidi" w:hAnsiTheme="majorBidi" w:cstheme="majorBidi"/>
          <w:color w:val="000000" w:themeColor="text1"/>
          <w:sz w:val="24"/>
          <w:szCs w:val="24"/>
        </w:rPr>
        <w:t>ml )</w:t>
      </w:r>
      <w:proofErr w:type="gramEnd"/>
      <w:r w:rsidR="00E55ECC" w:rsidRPr="00B86346">
        <w:rPr>
          <w:rFonts w:asciiTheme="majorBidi" w:hAnsiTheme="majorBidi" w:cstheme="majorBidi"/>
          <w:color w:val="000000" w:themeColor="text1"/>
          <w:sz w:val="24"/>
          <w:szCs w:val="24"/>
        </w:rPr>
        <w:t xml:space="preserve"> </w:t>
      </w:r>
      <w:r w:rsidR="00FB58A6" w:rsidRPr="00B86346">
        <w:rPr>
          <w:rFonts w:asciiTheme="majorBidi" w:hAnsiTheme="majorBidi" w:cstheme="majorBidi"/>
          <w:color w:val="000000" w:themeColor="text1"/>
          <w:sz w:val="24"/>
          <w:szCs w:val="24"/>
        </w:rPr>
        <w:t>of pure paclitaxel.</w:t>
      </w:r>
    </w:p>
    <w:p w14:paraId="345E4037" w14:textId="77777777" w:rsidR="00165CAA" w:rsidRPr="00B86346" w:rsidRDefault="00165CAA" w:rsidP="00165CAA">
      <w:pPr>
        <w:rPr>
          <w:rFonts w:asciiTheme="majorBidi" w:hAnsiTheme="majorBidi" w:cstheme="majorBidi"/>
          <w:color w:val="000000" w:themeColor="text1"/>
          <w:sz w:val="24"/>
          <w:szCs w:val="24"/>
        </w:rPr>
      </w:pPr>
    </w:p>
    <w:p w14:paraId="31E0D391" w14:textId="77777777" w:rsidR="002F0BD4" w:rsidRPr="00B86346" w:rsidRDefault="002F0BD4" w:rsidP="002F0BD4">
      <w:pPr>
        <w:rPr>
          <w:rFonts w:asciiTheme="majorBidi" w:hAnsiTheme="majorBidi" w:cstheme="majorBidi"/>
          <w:color w:val="000000" w:themeColor="text1"/>
          <w:sz w:val="24"/>
          <w:szCs w:val="24"/>
        </w:rPr>
      </w:pPr>
    </w:p>
    <w:p w14:paraId="1035D236" w14:textId="242F07A4" w:rsidR="002F0BD4" w:rsidRPr="00B86346" w:rsidRDefault="00A963FD" w:rsidP="00A963FD">
      <w:pPr>
        <w:pStyle w:val="Heading1"/>
        <w:numPr>
          <w:ilvl w:val="0"/>
          <w:numId w:val="1"/>
        </w:numPr>
        <w:rPr>
          <w:rFonts w:asciiTheme="majorBidi" w:eastAsia="MS Gothic" w:hAnsiTheme="majorBidi"/>
          <w:color w:val="000000" w:themeColor="text1"/>
          <w:sz w:val="24"/>
          <w:szCs w:val="24"/>
        </w:rPr>
      </w:pPr>
      <w:r w:rsidRPr="00B86346">
        <w:rPr>
          <w:rFonts w:asciiTheme="majorBidi" w:eastAsia="MS Gothic" w:hAnsiTheme="majorBidi"/>
          <w:color w:val="000000" w:themeColor="text1"/>
          <w:sz w:val="24"/>
          <w:szCs w:val="24"/>
        </w:rPr>
        <w:t xml:space="preserve">Chemical synthesis of fluorescent </w:t>
      </w:r>
      <w:r w:rsidR="00463344" w:rsidRPr="00B86346">
        <w:rPr>
          <w:rFonts w:asciiTheme="majorBidi" w:eastAsia="MS Gothic" w:hAnsiTheme="majorBidi"/>
          <w:color w:val="000000" w:themeColor="text1"/>
          <w:sz w:val="24"/>
          <w:szCs w:val="24"/>
        </w:rPr>
        <w:t xml:space="preserve">folic acid conjugate and </w:t>
      </w:r>
      <w:r w:rsidR="00A852F7" w:rsidRPr="00B86346">
        <w:rPr>
          <w:rFonts w:asciiTheme="majorBidi" w:eastAsia="MS Gothic" w:hAnsiTheme="majorBidi"/>
          <w:color w:val="000000" w:themeColor="text1"/>
          <w:sz w:val="24"/>
          <w:szCs w:val="24"/>
        </w:rPr>
        <w:t>its uptake pattern in</w:t>
      </w:r>
      <w:r w:rsidR="00165CAA" w:rsidRPr="00B86346">
        <w:rPr>
          <w:rFonts w:asciiTheme="majorBidi" w:eastAsia="MS Gothic" w:hAnsiTheme="majorBidi"/>
          <w:color w:val="000000" w:themeColor="text1"/>
          <w:sz w:val="24"/>
          <w:szCs w:val="24"/>
        </w:rPr>
        <w:t xml:space="preserve"> 2D</w:t>
      </w:r>
      <w:r w:rsidR="00A852F7" w:rsidRPr="00B86346">
        <w:rPr>
          <w:rFonts w:asciiTheme="majorBidi" w:eastAsia="MS Gothic" w:hAnsiTheme="majorBidi"/>
          <w:color w:val="000000" w:themeColor="text1"/>
          <w:sz w:val="24"/>
          <w:szCs w:val="24"/>
        </w:rPr>
        <w:t xml:space="preserve"> Hela</w:t>
      </w:r>
      <w:r w:rsidR="00165CAA" w:rsidRPr="00B86346">
        <w:rPr>
          <w:rFonts w:asciiTheme="majorBidi" w:eastAsia="MS Gothic" w:hAnsiTheme="majorBidi"/>
          <w:color w:val="000000" w:themeColor="text1"/>
          <w:sz w:val="24"/>
          <w:szCs w:val="24"/>
        </w:rPr>
        <w:t xml:space="preserve"> cells</w:t>
      </w:r>
      <w:r w:rsidR="00A852F7" w:rsidRPr="00B86346">
        <w:rPr>
          <w:rFonts w:asciiTheme="majorBidi" w:eastAsia="MS Gothic" w:hAnsiTheme="majorBidi"/>
          <w:color w:val="000000" w:themeColor="text1"/>
          <w:sz w:val="24"/>
          <w:szCs w:val="24"/>
        </w:rPr>
        <w:t xml:space="preserve"> </w:t>
      </w:r>
    </w:p>
    <w:p w14:paraId="2A5FBEA9" w14:textId="0F8684AF" w:rsidR="002F0BD4" w:rsidRPr="00B86346" w:rsidRDefault="002F0BD4" w:rsidP="00A963FD">
      <w:pPr>
        <w:pStyle w:val="ListParagraph"/>
        <w:rPr>
          <w:rFonts w:asciiTheme="majorBidi" w:hAnsiTheme="majorBidi" w:cstheme="majorBidi"/>
          <w:color w:val="000000" w:themeColor="text1"/>
          <w:sz w:val="24"/>
          <w:szCs w:val="24"/>
        </w:rPr>
      </w:pPr>
    </w:p>
    <w:p w14:paraId="75493647" w14:textId="77777777" w:rsidR="00E92019" w:rsidRPr="00B86346" w:rsidRDefault="002F0BD4" w:rsidP="00E92019">
      <w:pPr>
        <w:keepNext/>
        <w:rPr>
          <w:rFonts w:asciiTheme="majorBidi" w:hAnsiTheme="majorBidi" w:cstheme="majorBidi"/>
          <w:color w:val="000000" w:themeColor="text1"/>
          <w:sz w:val="24"/>
          <w:szCs w:val="24"/>
        </w:rPr>
      </w:pPr>
      <w:r w:rsidRPr="00B86346">
        <w:rPr>
          <w:rFonts w:asciiTheme="majorBidi" w:hAnsiTheme="majorBidi" w:cstheme="majorBidi"/>
          <w:noProof/>
          <w:color w:val="000000" w:themeColor="text1"/>
          <w:sz w:val="24"/>
          <w:szCs w:val="24"/>
        </w:rPr>
        <w:drawing>
          <wp:inline distT="0" distB="0" distL="0" distR="0" wp14:anchorId="78730931" wp14:editId="064AE5DC">
            <wp:extent cx="6002721" cy="1335862"/>
            <wp:effectExtent l="0" t="0" r="0" b="0"/>
            <wp:docPr id="4" name="Picture 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iagram&#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6027421" cy="1341359"/>
                    </a:xfrm>
                    <a:prstGeom prst="rect">
                      <a:avLst/>
                    </a:prstGeom>
                  </pic:spPr>
                </pic:pic>
              </a:graphicData>
            </a:graphic>
          </wp:inline>
        </w:drawing>
      </w:r>
    </w:p>
    <w:p w14:paraId="29D2B5B0" w14:textId="7650EED0" w:rsidR="002F0BD4" w:rsidRPr="00B86346" w:rsidRDefault="00E92019" w:rsidP="00C62EA8">
      <w:pPr>
        <w:pStyle w:val="Caption"/>
        <w:jc w:val="center"/>
        <w:rPr>
          <w:rFonts w:asciiTheme="majorBidi" w:hAnsiTheme="majorBidi" w:cstheme="majorBidi"/>
          <w:color w:val="000000" w:themeColor="text1"/>
          <w:sz w:val="24"/>
          <w:szCs w:val="24"/>
        </w:rPr>
      </w:pPr>
      <w:r w:rsidRPr="00B86346">
        <w:rPr>
          <w:rFonts w:asciiTheme="majorBidi" w:hAnsiTheme="majorBidi" w:cstheme="majorBidi"/>
          <w:color w:val="000000" w:themeColor="text1"/>
          <w:sz w:val="24"/>
          <w:szCs w:val="24"/>
        </w:rPr>
        <w:t>Figure S</w:t>
      </w:r>
      <w:r w:rsidRPr="00B86346">
        <w:rPr>
          <w:rFonts w:asciiTheme="majorBidi" w:hAnsiTheme="majorBidi" w:cstheme="majorBidi"/>
          <w:color w:val="000000" w:themeColor="text1"/>
          <w:sz w:val="24"/>
          <w:szCs w:val="24"/>
        </w:rPr>
        <w:fldChar w:fldCharType="begin"/>
      </w:r>
      <w:r w:rsidRPr="00B86346">
        <w:rPr>
          <w:rFonts w:asciiTheme="majorBidi" w:hAnsiTheme="majorBidi" w:cstheme="majorBidi"/>
          <w:color w:val="000000" w:themeColor="text1"/>
          <w:sz w:val="24"/>
          <w:szCs w:val="24"/>
        </w:rPr>
        <w:instrText>SEQ Figure \* ARABIC</w:instrText>
      </w:r>
      <w:r w:rsidRPr="00B86346">
        <w:rPr>
          <w:rFonts w:asciiTheme="majorBidi" w:hAnsiTheme="majorBidi" w:cstheme="majorBidi"/>
          <w:color w:val="000000" w:themeColor="text1"/>
          <w:sz w:val="24"/>
          <w:szCs w:val="24"/>
        </w:rPr>
        <w:fldChar w:fldCharType="separate"/>
      </w:r>
      <w:r w:rsidR="00461E3A">
        <w:rPr>
          <w:rFonts w:asciiTheme="majorBidi" w:hAnsiTheme="majorBidi" w:cstheme="majorBidi"/>
          <w:noProof/>
          <w:color w:val="000000" w:themeColor="text1"/>
          <w:sz w:val="24"/>
          <w:szCs w:val="24"/>
        </w:rPr>
        <w:t>3</w:t>
      </w:r>
      <w:r w:rsidRPr="00B86346">
        <w:rPr>
          <w:rFonts w:asciiTheme="majorBidi" w:hAnsiTheme="majorBidi" w:cstheme="majorBidi"/>
          <w:color w:val="000000" w:themeColor="text1"/>
          <w:sz w:val="24"/>
          <w:szCs w:val="24"/>
        </w:rPr>
        <w:fldChar w:fldCharType="end"/>
      </w:r>
      <w:r w:rsidRPr="00B86346">
        <w:rPr>
          <w:rFonts w:asciiTheme="majorBidi" w:hAnsiTheme="majorBidi" w:cstheme="majorBidi"/>
          <w:color w:val="000000" w:themeColor="text1"/>
          <w:sz w:val="24"/>
          <w:szCs w:val="24"/>
        </w:rPr>
        <w:t xml:space="preserve">. Synthesis of </w:t>
      </w:r>
      <w:r w:rsidR="00C62EA8" w:rsidRPr="00B86346">
        <w:rPr>
          <w:rFonts w:asciiTheme="majorBidi" w:hAnsiTheme="majorBidi" w:cstheme="majorBidi"/>
          <w:color w:val="000000" w:themeColor="text1"/>
          <w:sz w:val="24"/>
          <w:szCs w:val="24"/>
        </w:rPr>
        <w:t>the green</w:t>
      </w:r>
      <w:r w:rsidR="00B86346" w:rsidRPr="00B86346">
        <w:rPr>
          <w:rFonts w:asciiTheme="majorBidi" w:hAnsiTheme="majorBidi" w:cstheme="majorBidi"/>
          <w:color w:val="000000" w:themeColor="text1"/>
          <w:sz w:val="24"/>
          <w:szCs w:val="24"/>
        </w:rPr>
        <w:t>-</w:t>
      </w:r>
      <w:r w:rsidR="00C62EA8" w:rsidRPr="00B86346">
        <w:rPr>
          <w:rFonts w:asciiTheme="majorBidi" w:hAnsiTheme="majorBidi" w:cstheme="majorBidi"/>
          <w:color w:val="000000" w:themeColor="text1"/>
          <w:sz w:val="24"/>
          <w:szCs w:val="24"/>
        </w:rPr>
        <w:t>fluorescent Folic</w:t>
      </w:r>
      <w:r w:rsidRPr="00B86346">
        <w:rPr>
          <w:rFonts w:asciiTheme="majorBidi" w:hAnsiTheme="majorBidi" w:cstheme="majorBidi"/>
          <w:color w:val="000000" w:themeColor="text1"/>
          <w:sz w:val="24"/>
          <w:szCs w:val="24"/>
        </w:rPr>
        <w:t xml:space="preserve"> acid </w:t>
      </w:r>
      <w:r w:rsidR="00550C66" w:rsidRPr="00B86346">
        <w:rPr>
          <w:rFonts w:asciiTheme="majorBidi" w:hAnsiTheme="majorBidi" w:cstheme="majorBidi"/>
          <w:color w:val="000000" w:themeColor="text1"/>
          <w:sz w:val="24"/>
          <w:szCs w:val="24"/>
        </w:rPr>
        <w:t>conjugated 5-aminofluorescein</w:t>
      </w:r>
    </w:p>
    <w:p w14:paraId="73B3B38F" w14:textId="77777777" w:rsidR="009632E9" w:rsidRPr="00B86346" w:rsidRDefault="00764138" w:rsidP="009632E9">
      <w:pPr>
        <w:keepNext/>
        <w:spacing w:after="0" w:line="360" w:lineRule="auto"/>
        <w:contextualSpacing/>
        <w:jc w:val="center"/>
        <w:rPr>
          <w:rFonts w:asciiTheme="majorBidi" w:hAnsiTheme="majorBidi" w:cstheme="majorBidi"/>
          <w:color w:val="000000" w:themeColor="text1"/>
          <w:sz w:val="24"/>
          <w:szCs w:val="24"/>
        </w:rPr>
      </w:pPr>
      <w:r w:rsidRPr="00B86346">
        <w:rPr>
          <w:rFonts w:asciiTheme="majorBidi" w:eastAsia="MS Gothic" w:hAnsiTheme="majorBidi" w:cstheme="majorBidi"/>
          <w:b/>
          <w:bCs/>
          <w:noProof/>
          <w:color w:val="000000" w:themeColor="text1"/>
          <w:spacing w:val="-10"/>
          <w:kern w:val="28"/>
          <w:sz w:val="24"/>
          <w:szCs w:val="24"/>
        </w:rPr>
        <w:lastRenderedPageBreak/>
        <w:drawing>
          <wp:inline distT="0" distB="0" distL="0" distR="0" wp14:anchorId="58E80E90" wp14:editId="5D6AAA9A">
            <wp:extent cx="5450219" cy="7374682"/>
            <wp:effectExtent l="0" t="0" r="0" b="0"/>
            <wp:docPr id="2" name="Picture 2"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imeline&#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455614" cy="7381982"/>
                    </a:xfrm>
                    <a:prstGeom prst="rect">
                      <a:avLst/>
                    </a:prstGeom>
                  </pic:spPr>
                </pic:pic>
              </a:graphicData>
            </a:graphic>
          </wp:inline>
        </w:drawing>
      </w:r>
    </w:p>
    <w:p w14:paraId="0999A576" w14:textId="245DCE25" w:rsidR="00764138" w:rsidRPr="00B86346" w:rsidRDefault="009632E9" w:rsidP="009632E9">
      <w:pPr>
        <w:pStyle w:val="Caption"/>
        <w:jc w:val="center"/>
        <w:rPr>
          <w:rFonts w:asciiTheme="majorBidi" w:hAnsiTheme="majorBidi" w:cstheme="majorBidi"/>
          <w:color w:val="000000" w:themeColor="text1"/>
          <w:sz w:val="24"/>
          <w:szCs w:val="24"/>
        </w:rPr>
      </w:pPr>
      <w:r w:rsidRPr="00B86346">
        <w:rPr>
          <w:rFonts w:asciiTheme="majorBidi" w:hAnsiTheme="majorBidi" w:cstheme="majorBidi"/>
          <w:color w:val="000000" w:themeColor="text1"/>
          <w:sz w:val="24"/>
          <w:szCs w:val="24"/>
        </w:rPr>
        <w:t>Figure S</w:t>
      </w:r>
      <w:r w:rsidRPr="00B86346">
        <w:rPr>
          <w:rFonts w:asciiTheme="majorBidi" w:hAnsiTheme="majorBidi" w:cstheme="majorBidi"/>
          <w:color w:val="000000" w:themeColor="text1"/>
          <w:sz w:val="24"/>
          <w:szCs w:val="24"/>
        </w:rPr>
        <w:fldChar w:fldCharType="begin"/>
      </w:r>
      <w:r w:rsidRPr="00B86346">
        <w:rPr>
          <w:rFonts w:asciiTheme="majorBidi" w:hAnsiTheme="majorBidi" w:cstheme="majorBidi"/>
          <w:color w:val="000000" w:themeColor="text1"/>
          <w:sz w:val="24"/>
          <w:szCs w:val="24"/>
        </w:rPr>
        <w:instrText>SEQ Figure \* ARABIC</w:instrText>
      </w:r>
      <w:r w:rsidRPr="00B86346">
        <w:rPr>
          <w:rFonts w:asciiTheme="majorBidi" w:hAnsiTheme="majorBidi" w:cstheme="majorBidi"/>
          <w:color w:val="000000" w:themeColor="text1"/>
          <w:sz w:val="24"/>
          <w:szCs w:val="24"/>
        </w:rPr>
        <w:fldChar w:fldCharType="separate"/>
      </w:r>
      <w:r w:rsidR="00461E3A">
        <w:rPr>
          <w:rFonts w:asciiTheme="majorBidi" w:hAnsiTheme="majorBidi" w:cstheme="majorBidi"/>
          <w:noProof/>
          <w:color w:val="000000" w:themeColor="text1"/>
          <w:sz w:val="24"/>
          <w:szCs w:val="24"/>
        </w:rPr>
        <w:t>4</w:t>
      </w:r>
      <w:r w:rsidRPr="00B86346">
        <w:rPr>
          <w:rFonts w:asciiTheme="majorBidi" w:hAnsiTheme="majorBidi" w:cstheme="majorBidi"/>
          <w:color w:val="000000" w:themeColor="text1"/>
          <w:sz w:val="24"/>
          <w:szCs w:val="24"/>
        </w:rPr>
        <w:fldChar w:fldCharType="end"/>
      </w:r>
      <w:r w:rsidRPr="00B86346">
        <w:rPr>
          <w:rFonts w:asciiTheme="majorBidi" w:hAnsiTheme="majorBidi" w:cstheme="majorBidi"/>
          <w:color w:val="000000" w:themeColor="text1"/>
          <w:sz w:val="24"/>
          <w:szCs w:val="24"/>
        </w:rPr>
        <w:t xml:space="preserve">. </w:t>
      </w:r>
      <w:r w:rsidR="00A87EE4" w:rsidRPr="00B86346">
        <w:rPr>
          <w:rFonts w:asciiTheme="majorBidi" w:hAnsiTheme="majorBidi" w:cstheme="majorBidi"/>
          <w:color w:val="000000" w:themeColor="text1"/>
          <w:sz w:val="24"/>
          <w:szCs w:val="24"/>
        </w:rPr>
        <w:t>The H</w:t>
      </w:r>
      <w:r w:rsidR="00A87EE4" w:rsidRPr="00B86346">
        <w:rPr>
          <w:rFonts w:asciiTheme="majorBidi" w:hAnsiTheme="majorBidi" w:cstheme="majorBidi"/>
          <w:color w:val="000000" w:themeColor="text1"/>
          <w:sz w:val="24"/>
          <w:szCs w:val="24"/>
          <w:vertAlign w:val="superscript"/>
        </w:rPr>
        <w:t>1</w:t>
      </w:r>
      <w:r w:rsidR="00A87EE4" w:rsidRPr="00B86346">
        <w:rPr>
          <w:rFonts w:asciiTheme="majorBidi" w:hAnsiTheme="majorBidi" w:cstheme="majorBidi"/>
          <w:color w:val="000000" w:themeColor="text1"/>
          <w:sz w:val="24"/>
          <w:szCs w:val="24"/>
        </w:rPr>
        <w:t xml:space="preserve">NMR spectra of 5-aminofluorescine and folic acid conjugated </w:t>
      </w:r>
      <w:r w:rsidR="002B38C8" w:rsidRPr="00B86346">
        <w:rPr>
          <w:rFonts w:asciiTheme="majorBidi" w:hAnsiTheme="majorBidi" w:cstheme="majorBidi"/>
          <w:color w:val="000000" w:themeColor="text1"/>
          <w:sz w:val="24"/>
          <w:szCs w:val="24"/>
        </w:rPr>
        <w:t>5-aminofluorescein (A)</w:t>
      </w:r>
      <w:r w:rsidR="00A61AFC" w:rsidRPr="00B86346">
        <w:rPr>
          <w:rFonts w:asciiTheme="majorBidi" w:hAnsiTheme="majorBidi" w:cstheme="majorBidi"/>
          <w:color w:val="000000" w:themeColor="text1"/>
          <w:sz w:val="24"/>
          <w:szCs w:val="24"/>
        </w:rPr>
        <w:t xml:space="preserve"> and</w:t>
      </w:r>
      <w:r w:rsidR="002B38C8" w:rsidRPr="00B86346">
        <w:rPr>
          <w:rFonts w:asciiTheme="majorBidi" w:hAnsiTheme="majorBidi" w:cstheme="majorBidi"/>
          <w:color w:val="000000" w:themeColor="text1"/>
          <w:sz w:val="24"/>
          <w:szCs w:val="24"/>
        </w:rPr>
        <w:t xml:space="preserve"> cellular uptake of </w:t>
      </w:r>
      <w:r w:rsidR="00A61AFC" w:rsidRPr="00B86346">
        <w:rPr>
          <w:rFonts w:asciiTheme="majorBidi" w:hAnsiTheme="majorBidi" w:cstheme="majorBidi"/>
          <w:color w:val="000000" w:themeColor="text1"/>
          <w:sz w:val="24"/>
          <w:szCs w:val="24"/>
        </w:rPr>
        <w:t>the folate conjugated 5-aminofluorescein in folate</w:t>
      </w:r>
      <w:r w:rsidR="002062B1" w:rsidRPr="00B86346">
        <w:rPr>
          <w:rFonts w:asciiTheme="majorBidi" w:hAnsiTheme="majorBidi" w:cstheme="majorBidi"/>
          <w:color w:val="000000" w:themeColor="text1"/>
          <w:sz w:val="24"/>
          <w:szCs w:val="24"/>
        </w:rPr>
        <w:t>-</w:t>
      </w:r>
      <w:r w:rsidR="00A61AFC" w:rsidRPr="00B86346">
        <w:rPr>
          <w:rFonts w:asciiTheme="majorBidi" w:hAnsiTheme="majorBidi" w:cstheme="majorBidi"/>
          <w:color w:val="000000" w:themeColor="text1"/>
          <w:sz w:val="24"/>
          <w:szCs w:val="24"/>
        </w:rPr>
        <w:t xml:space="preserve">positive Hela cells as proof of </w:t>
      </w:r>
      <w:r w:rsidR="002B10EE" w:rsidRPr="00B86346">
        <w:rPr>
          <w:rFonts w:asciiTheme="majorBidi" w:hAnsiTheme="majorBidi" w:cstheme="majorBidi"/>
          <w:color w:val="000000" w:themeColor="text1"/>
          <w:sz w:val="24"/>
          <w:szCs w:val="24"/>
        </w:rPr>
        <w:t xml:space="preserve">the presence of folate receptors in the tested </w:t>
      </w:r>
      <w:r w:rsidR="000A09D9" w:rsidRPr="00B86346">
        <w:rPr>
          <w:rFonts w:asciiTheme="majorBidi" w:hAnsiTheme="majorBidi" w:cstheme="majorBidi"/>
          <w:color w:val="000000" w:themeColor="text1"/>
          <w:sz w:val="24"/>
          <w:szCs w:val="24"/>
        </w:rPr>
        <w:t>cells</w:t>
      </w:r>
      <w:r w:rsidR="002062B1" w:rsidRPr="00B86346">
        <w:rPr>
          <w:rFonts w:asciiTheme="majorBidi" w:hAnsiTheme="majorBidi" w:cstheme="majorBidi"/>
          <w:color w:val="000000" w:themeColor="text1"/>
          <w:sz w:val="24"/>
          <w:szCs w:val="24"/>
        </w:rPr>
        <w:t xml:space="preserve"> prior to the </w:t>
      </w:r>
      <w:r w:rsidR="00C73C58" w:rsidRPr="00B86346">
        <w:rPr>
          <w:rFonts w:asciiTheme="majorBidi" w:hAnsiTheme="majorBidi" w:cstheme="majorBidi"/>
          <w:color w:val="000000" w:themeColor="text1"/>
          <w:sz w:val="24"/>
          <w:szCs w:val="24"/>
        </w:rPr>
        <w:t xml:space="preserve">cultivation </w:t>
      </w:r>
      <w:r w:rsidR="002062B1" w:rsidRPr="00B86346">
        <w:rPr>
          <w:rFonts w:asciiTheme="majorBidi" w:hAnsiTheme="majorBidi" w:cstheme="majorBidi"/>
          <w:color w:val="000000" w:themeColor="text1"/>
          <w:sz w:val="24"/>
          <w:szCs w:val="24"/>
        </w:rPr>
        <w:t>of multicellular spheroids</w:t>
      </w:r>
      <w:r w:rsidR="000A09D9" w:rsidRPr="00B86346">
        <w:rPr>
          <w:rFonts w:asciiTheme="majorBidi" w:hAnsiTheme="majorBidi" w:cstheme="majorBidi"/>
          <w:color w:val="000000" w:themeColor="text1"/>
          <w:sz w:val="24"/>
          <w:szCs w:val="24"/>
        </w:rPr>
        <w:t>.</w:t>
      </w:r>
    </w:p>
    <w:p w14:paraId="319AFF1D" w14:textId="77777777" w:rsidR="00461E3A" w:rsidRDefault="00461E3A" w:rsidP="00461E3A">
      <w:pPr>
        <w:keepNext/>
        <w:jc w:val="center"/>
      </w:pPr>
      <w:r>
        <w:rPr>
          <w:noProof/>
          <w:color w:val="000000" w:themeColor="text1"/>
          <w:sz w:val="24"/>
          <w:szCs w:val="24"/>
        </w:rPr>
        <w:lastRenderedPageBreak/>
        <w:drawing>
          <wp:inline distT="0" distB="0" distL="0" distR="0" wp14:anchorId="16FBFBBA" wp14:editId="64F93D91">
            <wp:extent cx="3820962" cy="7651370"/>
            <wp:effectExtent l="0" t="0" r="8255" b="6985"/>
            <wp:docPr id="1393075195" name="Picture 1" descr="A white paper with 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3075195" name="Picture 1" descr="A white paper with red lines&#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829057" cy="7667581"/>
                    </a:xfrm>
                    <a:prstGeom prst="rect">
                      <a:avLst/>
                    </a:prstGeom>
                  </pic:spPr>
                </pic:pic>
              </a:graphicData>
            </a:graphic>
          </wp:inline>
        </w:drawing>
      </w:r>
    </w:p>
    <w:p w14:paraId="08C55105" w14:textId="3EBDCA41" w:rsidR="00214224" w:rsidRPr="00663B4C" w:rsidRDefault="00461E3A" w:rsidP="00461E3A">
      <w:pPr>
        <w:pStyle w:val="Caption"/>
        <w:jc w:val="center"/>
        <w:rPr>
          <w:rFonts w:asciiTheme="majorBidi" w:hAnsiTheme="majorBidi" w:cstheme="majorBidi"/>
          <w:color w:val="000000" w:themeColor="text1"/>
          <w:sz w:val="36"/>
          <w:szCs w:val="36"/>
        </w:rPr>
      </w:pPr>
      <w:r w:rsidRPr="00663B4C">
        <w:rPr>
          <w:rFonts w:asciiTheme="majorBidi" w:hAnsiTheme="majorBidi" w:cstheme="majorBidi"/>
          <w:sz w:val="24"/>
          <w:szCs w:val="24"/>
        </w:rPr>
        <w:t xml:space="preserve">Figure </w:t>
      </w:r>
      <w:r w:rsidR="00663B4C" w:rsidRPr="00663B4C">
        <w:rPr>
          <w:rFonts w:asciiTheme="majorBidi" w:hAnsiTheme="majorBidi" w:cstheme="majorBidi"/>
          <w:sz w:val="24"/>
          <w:szCs w:val="24"/>
        </w:rPr>
        <w:t>S</w:t>
      </w:r>
      <w:r w:rsidRPr="00663B4C">
        <w:rPr>
          <w:rFonts w:asciiTheme="majorBidi" w:hAnsiTheme="majorBidi" w:cstheme="majorBidi"/>
          <w:sz w:val="24"/>
          <w:szCs w:val="24"/>
        </w:rPr>
        <w:fldChar w:fldCharType="begin"/>
      </w:r>
      <w:r w:rsidRPr="00663B4C">
        <w:rPr>
          <w:rFonts w:asciiTheme="majorBidi" w:hAnsiTheme="majorBidi" w:cstheme="majorBidi"/>
          <w:sz w:val="24"/>
          <w:szCs w:val="24"/>
        </w:rPr>
        <w:instrText xml:space="preserve"> SEQ Figure \* ARABIC </w:instrText>
      </w:r>
      <w:r w:rsidRPr="00663B4C">
        <w:rPr>
          <w:rFonts w:asciiTheme="majorBidi" w:hAnsiTheme="majorBidi" w:cstheme="majorBidi"/>
          <w:sz w:val="24"/>
          <w:szCs w:val="24"/>
        </w:rPr>
        <w:fldChar w:fldCharType="separate"/>
      </w:r>
      <w:r w:rsidRPr="00663B4C">
        <w:rPr>
          <w:rFonts w:asciiTheme="majorBidi" w:hAnsiTheme="majorBidi" w:cstheme="majorBidi"/>
          <w:noProof/>
          <w:sz w:val="24"/>
          <w:szCs w:val="24"/>
        </w:rPr>
        <w:t>5</w:t>
      </w:r>
      <w:r w:rsidRPr="00663B4C">
        <w:rPr>
          <w:rFonts w:asciiTheme="majorBidi" w:hAnsiTheme="majorBidi" w:cstheme="majorBidi"/>
          <w:sz w:val="24"/>
          <w:szCs w:val="24"/>
        </w:rPr>
        <w:fldChar w:fldCharType="end"/>
      </w:r>
      <w:r w:rsidRPr="00663B4C">
        <w:rPr>
          <w:rFonts w:asciiTheme="majorBidi" w:hAnsiTheme="majorBidi" w:cstheme="majorBidi"/>
          <w:sz w:val="24"/>
          <w:szCs w:val="24"/>
        </w:rPr>
        <w:t xml:space="preserve">: the HPLC chromatograms developed from </w:t>
      </w:r>
      <w:r w:rsidR="00D56502" w:rsidRPr="00663B4C">
        <w:rPr>
          <w:rFonts w:asciiTheme="majorBidi" w:hAnsiTheme="majorBidi" w:cstheme="majorBidi"/>
          <w:sz w:val="24"/>
          <w:szCs w:val="24"/>
        </w:rPr>
        <w:t>Rabbit’s withdrawn</w:t>
      </w:r>
      <w:r w:rsidRPr="00663B4C">
        <w:rPr>
          <w:rFonts w:asciiTheme="majorBidi" w:hAnsiTheme="majorBidi" w:cstheme="majorBidi"/>
          <w:sz w:val="24"/>
          <w:szCs w:val="24"/>
        </w:rPr>
        <w:t xml:space="preserve"> plasma for groups treated with free paclitaxel, Z-PEG</w:t>
      </w:r>
      <w:r w:rsidR="00D56502" w:rsidRPr="00663B4C">
        <w:rPr>
          <w:rFonts w:asciiTheme="majorBidi" w:hAnsiTheme="majorBidi" w:cstheme="majorBidi"/>
          <w:sz w:val="24"/>
          <w:szCs w:val="24"/>
        </w:rPr>
        <w:t>,</w:t>
      </w:r>
      <w:r w:rsidRPr="00663B4C">
        <w:rPr>
          <w:rFonts w:asciiTheme="majorBidi" w:hAnsiTheme="majorBidi" w:cstheme="majorBidi"/>
          <w:sz w:val="24"/>
          <w:szCs w:val="24"/>
        </w:rPr>
        <w:t xml:space="preserve"> and Z-PEG-FA</w:t>
      </w:r>
    </w:p>
    <w:p w14:paraId="69923489" w14:textId="77777777" w:rsidR="002C04E5" w:rsidRPr="00B86346" w:rsidRDefault="002C04E5" w:rsidP="00214224">
      <w:pPr>
        <w:rPr>
          <w:color w:val="000000" w:themeColor="text1"/>
          <w:sz w:val="24"/>
          <w:szCs w:val="24"/>
        </w:rPr>
      </w:pPr>
    </w:p>
    <w:p w14:paraId="6BAF9B76" w14:textId="00A58821" w:rsidR="00214224" w:rsidRPr="00663B4C" w:rsidRDefault="00214224" w:rsidP="00214224">
      <w:pPr>
        <w:rPr>
          <w:rFonts w:asciiTheme="majorBidi" w:hAnsiTheme="majorBidi" w:cstheme="majorBidi"/>
          <w:b/>
          <w:bCs/>
          <w:color w:val="000000" w:themeColor="text1"/>
          <w:sz w:val="24"/>
          <w:szCs w:val="24"/>
        </w:rPr>
      </w:pPr>
      <w:r w:rsidRPr="00663B4C">
        <w:rPr>
          <w:rFonts w:asciiTheme="majorBidi" w:hAnsiTheme="majorBidi" w:cstheme="majorBidi"/>
          <w:b/>
          <w:bCs/>
          <w:color w:val="000000" w:themeColor="text1"/>
          <w:sz w:val="24"/>
          <w:szCs w:val="24"/>
        </w:rPr>
        <w:t>References.</w:t>
      </w:r>
    </w:p>
    <w:p w14:paraId="71470CEA" w14:textId="29891EBF" w:rsidR="00104302" w:rsidRPr="00396BA5" w:rsidRDefault="00104302" w:rsidP="00396BA5">
      <w:pPr>
        <w:widowControl w:val="0"/>
        <w:autoSpaceDE w:val="0"/>
        <w:autoSpaceDN w:val="0"/>
        <w:adjustRightInd w:val="0"/>
        <w:spacing w:line="240" w:lineRule="auto"/>
        <w:jc w:val="both"/>
        <w:rPr>
          <w:rFonts w:asciiTheme="majorBidi" w:hAnsiTheme="majorBidi" w:cstheme="majorBidi"/>
          <w:noProof/>
          <w:sz w:val="24"/>
        </w:rPr>
      </w:pPr>
      <w:r>
        <w:rPr>
          <w:color w:val="000000" w:themeColor="text1"/>
          <w:sz w:val="24"/>
          <w:szCs w:val="24"/>
        </w:rPr>
        <w:fldChar w:fldCharType="begin" w:fldLock="1"/>
      </w:r>
      <w:r>
        <w:rPr>
          <w:color w:val="000000" w:themeColor="text1"/>
          <w:sz w:val="24"/>
          <w:szCs w:val="24"/>
        </w:rPr>
        <w:instrText xml:space="preserve">ADDIN Mendeley Bibliography CSL_BIBLIOGRAPHY </w:instrText>
      </w:r>
      <w:r>
        <w:rPr>
          <w:color w:val="000000" w:themeColor="text1"/>
          <w:sz w:val="24"/>
          <w:szCs w:val="24"/>
        </w:rPr>
        <w:fldChar w:fldCharType="separate"/>
      </w:r>
      <w:r w:rsidRPr="00104302">
        <w:rPr>
          <w:rFonts w:ascii="Calibri" w:hAnsi="Calibri" w:cs="Calibri"/>
          <w:noProof/>
          <w:sz w:val="24"/>
        </w:rPr>
        <w:t>1. Abdelsalam AM, Somaida A, Ambreen G, Ayoub AM, Tariq I, Engelhardt K, et al. Surface tailo</w:t>
      </w:r>
      <w:r w:rsidRPr="00396BA5">
        <w:rPr>
          <w:rFonts w:asciiTheme="majorBidi" w:hAnsiTheme="majorBidi" w:cstheme="majorBidi"/>
          <w:noProof/>
          <w:sz w:val="24"/>
        </w:rPr>
        <w:t>red zein as a novel delivery system for hypericin: Application in photodynamic therapy. Mater Sci Eng C [Internet]. 2021;129:112420. Available from: https://doi.org/10.1016/j.msec.2021.112420</w:t>
      </w:r>
    </w:p>
    <w:p w14:paraId="4DC771DB" w14:textId="77777777" w:rsidR="00104302" w:rsidRPr="00396BA5" w:rsidRDefault="00104302" w:rsidP="00396BA5">
      <w:pPr>
        <w:widowControl w:val="0"/>
        <w:autoSpaceDE w:val="0"/>
        <w:autoSpaceDN w:val="0"/>
        <w:adjustRightInd w:val="0"/>
        <w:spacing w:line="240" w:lineRule="auto"/>
        <w:jc w:val="both"/>
        <w:rPr>
          <w:rFonts w:asciiTheme="majorBidi" w:hAnsiTheme="majorBidi" w:cstheme="majorBidi"/>
          <w:noProof/>
          <w:sz w:val="24"/>
        </w:rPr>
      </w:pPr>
      <w:r w:rsidRPr="00396BA5">
        <w:rPr>
          <w:rFonts w:asciiTheme="majorBidi" w:hAnsiTheme="majorBidi" w:cstheme="majorBidi"/>
          <w:noProof/>
          <w:sz w:val="24"/>
        </w:rPr>
        <w:t>2. Mohamed AMA. Novel protein-based nanomaterial for active targeted drug delivery to human hepatocyte carcinoma cells [Internet]. Philipps-Universität Marburg; 2023. Available from: https://archiv.ub.uni-marburg.de/diss/z2023/0244</w:t>
      </w:r>
    </w:p>
    <w:p w14:paraId="461DBC4E" w14:textId="6EA8641D" w:rsidR="00E04AD1" w:rsidRPr="00B86346" w:rsidRDefault="00104302" w:rsidP="00104302">
      <w:pPr>
        <w:pStyle w:val="ListParagraph"/>
        <w:jc w:val="both"/>
        <w:rPr>
          <w:color w:val="000000" w:themeColor="text1"/>
          <w:sz w:val="24"/>
          <w:szCs w:val="24"/>
        </w:rPr>
      </w:pPr>
      <w:r>
        <w:rPr>
          <w:color w:val="000000" w:themeColor="text1"/>
          <w:sz w:val="24"/>
          <w:szCs w:val="24"/>
        </w:rPr>
        <w:fldChar w:fldCharType="end"/>
      </w:r>
    </w:p>
    <w:p w14:paraId="7593E3BC" w14:textId="77777777" w:rsidR="0087701D" w:rsidRPr="00B86346" w:rsidRDefault="0087701D">
      <w:pPr>
        <w:rPr>
          <w:rFonts w:asciiTheme="majorBidi" w:hAnsiTheme="majorBidi" w:cstheme="majorBidi"/>
          <w:color w:val="000000" w:themeColor="text1"/>
          <w:sz w:val="24"/>
          <w:szCs w:val="24"/>
        </w:rPr>
      </w:pPr>
    </w:p>
    <w:sectPr w:rsidR="0087701D" w:rsidRPr="00B8634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CF490B"/>
    <w:multiLevelType w:val="hybridMultilevel"/>
    <w:tmpl w:val="3D704C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4850B20"/>
    <w:multiLevelType w:val="hybridMultilevel"/>
    <w:tmpl w:val="B84A80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6534D54"/>
    <w:multiLevelType w:val="hybridMultilevel"/>
    <w:tmpl w:val="E13AEF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31500876">
    <w:abstractNumId w:val="1"/>
  </w:num>
  <w:num w:numId="2" w16cid:durableId="704447493">
    <w:abstractNumId w:val="2"/>
  </w:num>
  <w:num w:numId="3" w16cid:durableId="9279296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DE3NTayMDQwsTS1tLBQ0lEKTi0uzszPAykwqgUAti4l8iwAAAA="/>
  </w:docVars>
  <w:rsids>
    <w:rsidRoot w:val="00EC2B8B"/>
    <w:rsid w:val="000A09D9"/>
    <w:rsid w:val="000D1FFB"/>
    <w:rsid w:val="000D6E0A"/>
    <w:rsid w:val="00104302"/>
    <w:rsid w:val="00126A2B"/>
    <w:rsid w:val="00146093"/>
    <w:rsid w:val="00165CAA"/>
    <w:rsid w:val="001704F2"/>
    <w:rsid w:val="002062B1"/>
    <w:rsid w:val="00214224"/>
    <w:rsid w:val="00261794"/>
    <w:rsid w:val="00283239"/>
    <w:rsid w:val="002B10EE"/>
    <w:rsid w:val="002B38C8"/>
    <w:rsid w:val="002C04E5"/>
    <w:rsid w:val="002D162B"/>
    <w:rsid w:val="002F0BD4"/>
    <w:rsid w:val="00382B83"/>
    <w:rsid w:val="00396BA5"/>
    <w:rsid w:val="003C1A1E"/>
    <w:rsid w:val="00461E3A"/>
    <w:rsid w:val="00463344"/>
    <w:rsid w:val="00550C66"/>
    <w:rsid w:val="0057747F"/>
    <w:rsid w:val="00640CB5"/>
    <w:rsid w:val="0065122E"/>
    <w:rsid w:val="00663B4C"/>
    <w:rsid w:val="006C6A2A"/>
    <w:rsid w:val="00764138"/>
    <w:rsid w:val="00794A32"/>
    <w:rsid w:val="007C5225"/>
    <w:rsid w:val="008351EE"/>
    <w:rsid w:val="00873146"/>
    <w:rsid w:val="0087701D"/>
    <w:rsid w:val="00882B6D"/>
    <w:rsid w:val="009632E9"/>
    <w:rsid w:val="009838FF"/>
    <w:rsid w:val="009B5DFF"/>
    <w:rsid w:val="009C175E"/>
    <w:rsid w:val="00A61AFC"/>
    <w:rsid w:val="00A852F7"/>
    <w:rsid w:val="00A87EE4"/>
    <w:rsid w:val="00A963FD"/>
    <w:rsid w:val="00B23917"/>
    <w:rsid w:val="00B86346"/>
    <w:rsid w:val="00BC2509"/>
    <w:rsid w:val="00BD0EF0"/>
    <w:rsid w:val="00C332EB"/>
    <w:rsid w:val="00C62EA8"/>
    <w:rsid w:val="00C73C58"/>
    <w:rsid w:val="00D04199"/>
    <w:rsid w:val="00D552D5"/>
    <w:rsid w:val="00D56502"/>
    <w:rsid w:val="00D57751"/>
    <w:rsid w:val="00D61B11"/>
    <w:rsid w:val="00DD748F"/>
    <w:rsid w:val="00E04AD1"/>
    <w:rsid w:val="00E06E45"/>
    <w:rsid w:val="00E55ECC"/>
    <w:rsid w:val="00E92019"/>
    <w:rsid w:val="00E9593A"/>
    <w:rsid w:val="00EA59EF"/>
    <w:rsid w:val="00EC2B8B"/>
    <w:rsid w:val="00F17A34"/>
    <w:rsid w:val="00F22339"/>
    <w:rsid w:val="00F4109A"/>
    <w:rsid w:val="00FB58A6"/>
    <w:rsid w:val="513A733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ADCB05D"/>
  <w15:chartTrackingRefBased/>
  <w15:docId w15:val="{3C675024-24C0-4F21-ACAE-4818A76D0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4109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F17A34"/>
    <w:pPr>
      <w:spacing w:after="200" w:line="240" w:lineRule="auto"/>
    </w:pPr>
    <w:rPr>
      <w:i/>
      <w:iCs/>
      <w:color w:val="44546A" w:themeColor="text2"/>
      <w:sz w:val="18"/>
      <w:szCs w:val="18"/>
    </w:rPr>
  </w:style>
  <w:style w:type="character" w:customStyle="1" w:styleId="Heading1Char">
    <w:name w:val="Heading 1 Char"/>
    <w:basedOn w:val="DefaultParagraphFont"/>
    <w:link w:val="Heading1"/>
    <w:uiPriority w:val="9"/>
    <w:rsid w:val="00F4109A"/>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A963FD"/>
    <w:pPr>
      <w:ind w:left="720"/>
      <w:contextualSpacing/>
    </w:pPr>
  </w:style>
  <w:style w:type="character" w:styleId="Hyperlink">
    <w:name w:val="Hyperlink"/>
    <w:basedOn w:val="DefaultParagraphFont"/>
    <w:uiPriority w:val="99"/>
    <w:unhideWhenUsed/>
    <w:rPr>
      <w:color w:val="0563C1" w:themeColor="hyperlink"/>
      <w:u w:val="single"/>
    </w:rPr>
  </w:style>
  <w:style w:type="character" w:styleId="UnresolvedMention">
    <w:name w:val="Unresolved Mention"/>
    <w:basedOn w:val="DefaultParagraphFont"/>
    <w:uiPriority w:val="99"/>
    <w:semiHidden/>
    <w:unhideWhenUsed/>
    <w:rsid w:val="000D1FF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ahm.abdelsalam87@azhar.edu.eg" TargetMode="External"/><Relationship Id="rId11" Type="http://schemas.openxmlformats.org/officeDocument/2006/relationships/image" Target="media/image5.jpeg"/><Relationship Id="rId5" Type="http://schemas.openxmlformats.org/officeDocument/2006/relationships/webSettings" Target="webSettings.xml"/><Relationship Id="rId10"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03B0E0-CCB8-4037-855E-B138153D7A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1847</Words>
  <Characters>10607</Characters>
  <Application>Microsoft Office Word</Application>
  <DocSecurity>0</DocSecurity>
  <Lines>212</Lines>
  <Paragraphs>73</Paragraphs>
  <ScaleCrop>false</ScaleCrop>
  <Company/>
  <LinksUpToDate>false</LinksUpToDate>
  <CharactersWithSpaces>12381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Ahmed Mohamed</dc:creator>
  <cp:keywords/>
  <dc:description/>
  <cp:lastModifiedBy>Ahmed Mohamed</cp:lastModifiedBy>
  <cp:revision>57</cp:revision>
  <dcterms:created xsi:type="dcterms:W3CDTF">2022-12-05T22:34:00Z</dcterms:created>
  <dcterms:modified xsi:type="dcterms:W3CDTF">2024-12-19T22:13:00Z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http://www.zotero.org/styles/acs-biomaterials-science-and-engineering</vt:lpwstr>
  </property>
  <property fmtid="{D5CDD505-2E9C-101B-9397-08002B2CF9AE}" pid="3" name="Mendeley Recent Style Name 0_1">
    <vt:lpwstr>ACS Biomaterials Science &amp; Engineering</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http://www.zotero.org/styles/biomaterials</vt:lpwstr>
  </property>
  <property fmtid="{D5CDD505-2E9C-101B-9397-08002B2CF9AE}" pid="7" name="Mendeley Recent Style Name 2_1">
    <vt:lpwstr>Biomaterials</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12th edition - Harvard</vt:lpwstr>
  </property>
  <property fmtid="{D5CDD505-2E9C-101B-9397-08002B2CF9AE}" pid="10" name="Mendeley Recent Style Id 4_1">
    <vt:lpwstr>http://www.zotero.org/styles/drug-delivery-and-translational-research</vt:lpwstr>
  </property>
  <property fmtid="{D5CDD505-2E9C-101B-9397-08002B2CF9AE}" pid="11" name="Mendeley Recent Style Name 4_1">
    <vt:lpwstr>Drug Delivery and Translational Research</vt:lpwstr>
  </property>
  <property fmtid="{D5CDD505-2E9C-101B-9397-08002B2CF9AE}" pid="12" name="Mendeley Recent Style Id 5_1">
    <vt:lpwstr>http://www.zotero.org/styles/journal-of-photochemistry-and-photobiology-b-biology</vt:lpwstr>
  </property>
  <property fmtid="{D5CDD505-2E9C-101B-9397-08002B2CF9AE}" pid="13" name="Mendeley Recent Style Name 5_1">
    <vt:lpwstr>Journal of Photochemistry &amp; Photobiology, B: Biology</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9th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http://www.zotero.org/styles/photochemistry-and-photobiology</vt:lpwstr>
  </property>
  <property fmtid="{D5CDD505-2E9C-101B-9397-08002B2CF9AE}" pid="21" name="Mendeley Recent Style Name 9_1">
    <vt:lpwstr>Photochemistry and Photobiology</vt:lpwstr>
  </property>
  <property fmtid="{D5CDD505-2E9C-101B-9397-08002B2CF9AE}" pid="22" name="Mendeley Document_1">
    <vt:lpwstr>True</vt:lpwstr>
  </property>
  <property fmtid="{D5CDD505-2E9C-101B-9397-08002B2CF9AE}" pid="23" name="Mendeley Unique User Id_1">
    <vt:lpwstr>3bed96d5-d6f3-3b20-837a-124e4db77b4c</vt:lpwstr>
  </property>
  <property fmtid="{D5CDD505-2E9C-101B-9397-08002B2CF9AE}" pid="24" name="Mendeley Citation Style_1">
    <vt:lpwstr>http://www.zotero.org/styles/drug-delivery-and-translational-research</vt:lpwstr>
  </property>
</Properties>
</file>