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B37B2F8" w14:textId="77777777" w:rsidR="00494298" w:rsidRPr="00494298" w:rsidRDefault="00494298" w:rsidP="00494298">
      <w:pPr>
        <w:spacing w:line="480" w:lineRule="auto"/>
        <w:rPr>
          <w:rFonts w:asciiTheme="minorHAnsi" w:hAnsiTheme="minorHAnsi"/>
          <w:b/>
          <w:bCs/>
        </w:rPr>
      </w:pPr>
      <w:r w:rsidRPr="00494298">
        <w:rPr>
          <w:rFonts w:asciiTheme="minorHAnsi" w:hAnsiTheme="minorHAnsi"/>
          <w:b/>
          <w:bCs/>
        </w:rPr>
        <w:t xml:space="preserve">Note on </w:t>
      </w:r>
      <w:r>
        <w:rPr>
          <w:rFonts w:asciiTheme="minorHAnsi" w:hAnsiTheme="minorHAnsi"/>
          <w:b/>
          <w:bCs/>
        </w:rPr>
        <w:t xml:space="preserve">manuscript </w:t>
      </w:r>
      <w:r w:rsidRPr="00494298">
        <w:rPr>
          <w:rFonts w:asciiTheme="minorHAnsi" w:hAnsiTheme="minorHAnsi"/>
          <w:b/>
          <w:bCs/>
        </w:rPr>
        <w:t>deviations from protocol</w:t>
      </w:r>
    </w:p>
    <w:p w14:paraId="02D9CD42" w14:textId="5859C95E" w:rsidR="00494298" w:rsidRPr="00494298" w:rsidRDefault="00494298" w:rsidP="00494298">
      <w:pPr>
        <w:spacing w:line="480" w:lineRule="auto"/>
      </w:pPr>
      <w:r>
        <w:t>The methods reported in the manuscript are based on a protocol developed prior to initiating the study (</w:t>
      </w:r>
      <w:r>
        <w:t>below)</w:t>
      </w:r>
      <w:r>
        <w:t xml:space="preserve">. The methods differ from the protocol in the following ways: 1) we took the additional step of assessing inter-rater agreement for inclusion; 2) the data extraction forms were modified to include the additional categories of: how documents were retrieved (search or other), the focus of the article, existence of a graphic or visual aid, how policy was portrayed in the article, and a place for author notes and how it contributed to theory building. We also removed the academic discipline category, which we felt was less relevant than the categories we added; 3) we did not formally undertake the analytic strategy of negative case analysis as part of our efforts to increase credibility as we felt this was covered through working to saturation; and 4) article quality was assessed less formally due to the difficulties encountered in finding the required information based on the diversity of disciplines and fields of scholarship and related publishing expectations. </w:t>
      </w:r>
      <w:r w:rsidRPr="00494298">
        <w:rPr>
          <w:rFonts w:asciiTheme="minorHAnsi" w:hAnsiTheme="minorHAnsi"/>
          <w:b/>
          <w:bCs/>
        </w:rPr>
        <w:br w:type="page"/>
      </w:r>
    </w:p>
    <w:p w14:paraId="52CB458A" w14:textId="77777777" w:rsidR="00494298" w:rsidRDefault="00494298" w:rsidP="00424D4C">
      <w:pPr>
        <w:jc w:val="center"/>
        <w:rPr>
          <w:rFonts w:asciiTheme="minorHAnsi" w:hAnsiTheme="minorHAnsi"/>
          <w:b/>
        </w:rPr>
        <w:sectPr w:rsidR="00494298" w:rsidSect="00052762">
          <w:footerReference w:type="even" r:id="rId8"/>
          <w:footerReference w:type="default" r:id="rId9"/>
          <w:pgSz w:w="12240" w:h="15840"/>
          <w:pgMar w:top="1440" w:right="1440" w:bottom="1440" w:left="1440" w:header="709" w:footer="709" w:gutter="0"/>
          <w:cols w:space="708"/>
          <w:docGrid w:linePitch="360"/>
        </w:sectPr>
      </w:pPr>
    </w:p>
    <w:p w14:paraId="5BC539C6" w14:textId="103EC2FE" w:rsidR="00BF4991" w:rsidRDefault="00BF4991" w:rsidP="00424D4C">
      <w:pPr>
        <w:jc w:val="center"/>
        <w:rPr>
          <w:rFonts w:asciiTheme="minorHAnsi" w:hAnsiTheme="minorHAnsi"/>
          <w:b/>
        </w:rPr>
      </w:pPr>
      <w:r>
        <w:rPr>
          <w:rFonts w:asciiTheme="minorHAnsi" w:hAnsiTheme="minorHAnsi"/>
          <w:b/>
        </w:rPr>
        <w:lastRenderedPageBreak/>
        <w:t>Study 1</w:t>
      </w:r>
      <w:r w:rsidR="00FE21D3" w:rsidRPr="00424D4C">
        <w:rPr>
          <w:rFonts w:asciiTheme="minorHAnsi" w:hAnsiTheme="minorHAnsi"/>
          <w:b/>
        </w:rPr>
        <w:t xml:space="preserve"> </w:t>
      </w:r>
      <w:r>
        <w:rPr>
          <w:rFonts w:asciiTheme="minorHAnsi" w:hAnsiTheme="minorHAnsi"/>
          <w:b/>
        </w:rPr>
        <w:t>Critical Interpretive Synthesis Protocol</w:t>
      </w:r>
    </w:p>
    <w:p w14:paraId="38465299" w14:textId="77777777" w:rsidR="000273BA" w:rsidRPr="00424D4C" w:rsidRDefault="00FE21D3" w:rsidP="00424D4C">
      <w:pPr>
        <w:jc w:val="center"/>
        <w:rPr>
          <w:rFonts w:asciiTheme="minorHAnsi" w:hAnsiTheme="minorHAnsi"/>
          <w:b/>
        </w:rPr>
      </w:pPr>
      <w:r w:rsidRPr="00424D4C">
        <w:rPr>
          <w:rFonts w:asciiTheme="minorHAnsi" w:hAnsiTheme="minorHAnsi"/>
          <w:b/>
        </w:rPr>
        <w:t xml:space="preserve"> When the Outer Context is the Inner Context: </w:t>
      </w:r>
      <w:r w:rsidR="00BF4991">
        <w:rPr>
          <w:rFonts w:asciiTheme="minorHAnsi" w:hAnsiTheme="minorHAnsi"/>
          <w:b/>
        </w:rPr>
        <w:t xml:space="preserve">An integrated </w:t>
      </w:r>
      <w:r w:rsidR="00A234B8">
        <w:rPr>
          <w:rFonts w:asciiTheme="minorHAnsi" w:hAnsiTheme="minorHAnsi"/>
          <w:b/>
        </w:rPr>
        <w:t>theoretical</w:t>
      </w:r>
      <w:r w:rsidR="00BF4991">
        <w:rPr>
          <w:rFonts w:asciiTheme="minorHAnsi" w:hAnsiTheme="minorHAnsi"/>
          <w:b/>
        </w:rPr>
        <w:t xml:space="preserve"> </w:t>
      </w:r>
      <w:r w:rsidR="00F35872">
        <w:rPr>
          <w:rFonts w:asciiTheme="minorHAnsi" w:hAnsiTheme="minorHAnsi"/>
          <w:b/>
        </w:rPr>
        <w:t xml:space="preserve">framework </w:t>
      </w:r>
      <w:r w:rsidR="00BF4991">
        <w:rPr>
          <w:rFonts w:asciiTheme="minorHAnsi" w:hAnsiTheme="minorHAnsi"/>
          <w:b/>
        </w:rPr>
        <w:t xml:space="preserve">of the implementation process from policy, evidence and practice perspectives </w:t>
      </w:r>
    </w:p>
    <w:p w14:paraId="7CDB801C" w14:textId="77777777" w:rsidR="00424D4C" w:rsidRPr="00424D4C" w:rsidRDefault="00424D4C" w:rsidP="00424D4C">
      <w:pPr>
        <w:jc w:val="center"/>
        <w:rPr>
          <w:rFonts w:asciiTheme="minorHAnsi" w:hAnsiTheme="minorHAnsi"/>
          <w:b/>
        </w:rPr>
      </w:pPr>
    </w:p>
    <w:p w14:paraId="0BCEABC9" w14:textId="77777777" w:rsidR="00424D4C" w:rsidRPr="00424D4C" w:rsidRDefault="00424D4C">
      <w:pPr>
        <w:rPr>
          <w:rFonts w:asciiTheme="minorHAnsi" w:hAnsiTheme="minorHAnsi"/>
          <w:i/>
        </w:rPr>
      </w:pPr>
      <w:r w:rsidRPr="00424D4C">
        <w:rPr>
          <w:rFonts w:asciiTheme="minorHAnsi" w:hAnsiTheme="minorHAnsi"/>
          <w:i/>
        </w:rPr>
        <w:t xml:space="preserve">Thesis title </w:t>
      </w:r>
    </w:p>
    <w:p w14:paraId="12A0EA01" w14:textId="77777777" w:rsidR="00424D4C" w:rsidRDefault="00424D4C">
      <w:pPr>
        <w:rPr>
          <w:rFonts w:asciiTheme="minorHAnsi" w:hAnsiTheme="minorHAnsi"/>
        </w:rPr>
      </w:pPr>
      <w:r>
        <w:rPr>
          <w:rFonts w:asciiTheme="minorHAnsi" w:hAnsiTheme="minorHAnsi"/>
        </w:rPr>
        <w:t>How mental health systems achieve their goals: the role of implementation in mental health systems improvement</w:t>
      </w:r>
    </w:p>
    <w:p w14:paraId="423DF3BE" w14:textId="77777777" w:rsidR="00424D4C" w:rsidRDefault="00424D4C">
      <w:pPr>
        <w:rPr>
          <w:rFonts w:asciiTheme="minorHAnsi" w:hAnsiTheme="minorHAnsi"/>
        </w:rPr>
      </w:pPr>
    </w:p>
    <w:p w14:paraId="5DBC8F85" w14:textId="77777777" w:rsidR="00424D4C" w:rsidRDefault="00424D4C">
      <w:pPr>
        <w:rPr>
          <w:rFonts w:asciiTheme="minorHAnsi" w:hAnsiTheme="minorHAnsi"/>
        </w:rPr>
      </w:pPr>
      <w:r w:rsidRPr="00424D4C">
        <w:rPr>
          <w:rFonts w:asciiTheme="minorHAnsi" w:hAnsiTheme="minorHAnsi"/>
          <w:i/>
        </w:rPr>
        <w:t>Provisional study title</w:t>
      </w:r>
    </w:p>
    <w:p w14:paraId="25DAD6CE" w14:textId="37FB2D1E" w:rsidR="00424D4C" w:rsidRDefault="00494298">
      <w:pPr>
        <w:rPr>
          <w:rFonts w:asciiTheme="minorHAnsi" w:hAnsiTheme="minorHAnsi"/>
        </w:rPr>
      </w:pPr>
      <w:r>
        <w:rPr>
          <w:rFonts w:asciiTheme="minorHAnsi" w:hAnsiTheme="minorHAnsi"/>
        </w:rPr>
        <w:t xml:space="preserve">When the outer context is the inner context: </w:t>
      </w:r>
      <w:r w:rsidR="00910DEC">
        <w:rPr>
          <w:rFonts w:asciiTheme="minorHAnsi" w:hAnsiTheme="minorHAnsi"/>
        </w:rPr>
        <w:t xml:space="preserve">An integrated </w:t>
      </w:r>
      <w:r w:rsidR="00F35872">
        <w:rPr>
          <w:rFonts w:asciiTheme="minorHAnsi" w:hAnsiTheme="minorHAnsi"/>
        </w:rPr>
        <w:t>theoretical framework</w:t>
      </w:r>
      <w:r w:rsidR="00910DEC">
        <w:rPr>
          <w:rFonts w:asciiTheme="minorHAnsi" w:hAnsiTheme="minorHAnsi"/>
        </w:rPr>
        <w:t xml:space="preserve"> of</w:t>
      </w:r>
      <w:r w:rsidR="009825AE">
        <w:rPr>
          <w:rFonts w:asciiTheme="minorHAnsi" w:hAnsiTheme="minorHAnsi"/>
        </w:rPr>
        <w:t xml:space="preserve"> the</w:t>
      </w:r>
      <w:r w:rsidR="00910DEC">
        <w:rPr>
          <w:rFonts w:asciiTheme="minorHAnsi" w:hAnsiTheme="minorHAnsi"/>
        </w:rPr>
        <w:t xml:space="preserve"> implementation</w:t>
      </w:r>
      <w:r w:rsidR="009825AE">
        <w:rPr>
          <w:rFonts w:asciiTheme="minorHAnsi" w:hAnsiTheme="minorHAnsi"/>
        </w:rPr>
        <w:t xml:space="preserve"> process</w:t>
      </w:r>
      <w:r w:rsidR="00910DEC">
        <w:rPr>
          <w:rFonts w:asciiTheme="minorHAnsi" w:hAnsiTheme="minorHAnsi"/>
        </w:rPr>
        <w:t xml:space="preserve"> from policy, evidence and practice perspectives</w:t>
      </w:r>
    </w:p>
    <w:p w14:paraId="576F6F7B" w14:textId="77777777" w:rsidR="0063123D" w:rsidRDefault="0063123D">
      <w:pPr>
        <w:rPr>
          <w:rFonts w:asciiTheme="minorHAnsi" w:hAnsiTheme="minorHAnsi"/>
        </w:rPr>
      </w:pPr>
    </w:p>
    <w:p w14:paraId="6914A8EF" w14:textId="77777777" w:rsidR="0063123D" w:rsidRPr="0063123D" w:rsidRDefault="0063123D">
      <w:pPr>
        <w:rPr>
          <w:rFonts w:asciiTheme="minorHAnsi" w:hAnsiTheme="minorHAnsi"/>
          <w:i/>
        </w:rPr>
      </w:pPr>
      <w:r w:rsidRPr="0063123D">
        <w:rPr>
          <w:rFonts w:asciiTheme="minorHAnsi" w:hAnsiTheme="minorHAnsi"/>
          <w:i/>
        </w:rPr>
        <w:t>Authorship (to be discussed and confirmed)</w:t>
      </w:r>
    </w:p>
    <w:p w14:paraId="58A1BE33" w14:textId="77777777" w:rsidR="0063123D" w:rsidRDefault="0063123D">
      <w:pPr>
        <w:rPr>
          <w:rFonts w:asciiTheme="minorHAnsi" w:hAnsiTheme="minorHAnsi"/>
        </w:rPr>
      </w:pPr>
      <w:r>
        <w:rPr>
          <w:rFonts w:asciiTheme="minorHAnsi" w:hAnsiTheme="minorHAnsi"/>
        </w:rPr>
        <w:t>Bullock, HL (lead author and will conduct majority of the synthesis)</w:t>
      </w:r>
    </w:p>
    <w:p w14:paraId="500AA183" w14:textId="77777777" w:rsidR="0063123D" w:rsidRDefault="0063123D">
      <w:pPr>
        <w:rPr>
          <w:rFonts w:asciiTheme="minorHAnsi" w:hAnsiTheme="minorHAnsi"/>
        </w:rPr>
      </w:pPr>
      <w:proofErr w:type="spellStart"/>
      <w:r>
        <w:rPr>
          <w:rFonts w:asciiTheme="minorHAnsi" w:hAnsiTheme="minorHAnsi"/>
        </w:rPr>
        <w:t>Miatello</w:t>
      </w:r>
      <w:proofErr w:type="spellEnd"/>
      <w:r>
        <w:rPr>
          <w:rFonts w:asciiTheme="minorHAnsi" w:hAnsiTheme="minorHAnsi"/>
        </w:rPr>
        <w:t>, A (second reviewer)</w:t>
      </w:r>
    </w:p>
    <w:p w14:paraId="42E30983" w14:textId="77777777" w:rsidR="0063123D" w:rsidRDefault="0063123D">
      <w:pPr>
        <w:rPr>
          <w:rFonts w:asciiTheme="minorHAnsi" w:hAnsiTheme="minorHAnsi"/>
        </w:rPr>
      </w:pPr>
      <w:proofErr w:type="spellStart"/>
      <w:r>
        <w:rPr>
          <w:rFonts w:asciiTheme="minorHAnsi" w:hAnsiTheme="minorHAnsi"/>
        </w:rPr>
        <w:t>Lavis</w:t>
      </w:r>
      <w:proofErr w:type="spellEnd"/>
      <w:r>
        <w:rPr>
          <w:rFonts w:asciiTheme="minorHAnsi" w:hAnsiTheme="minorHAnsi"/>
        </w:rPr>
        <w:t>, JN (supervisor)</w:t>
      </w:r>
    </w:p>
    <w:p w14:paraId="1AF0C826" w14:textId="77777777" w:rsidR="0063123D" w:rsidRDefault="0063123D">
      <w:pPr>
        <w:rPr>
          <w:rFonts w:asciiTheme="minorHAnsi" w:hAnsiTheme="minorHAnsi"/>
        </w:rPr>
      </w:pPr>
      <w:r>
        <w:rPr>
          <w:rFonts w:asciiTheme="minorHAnsi" w:hAnsiTheme="minorHAnsi"/>
        </w:rPr>
        <w:t>Wilson, M (committee member and experienced at leading a CIS)</w:t>
      </w:r>
    </w:p>
    <w:p w14:paraId="223B2050" w14:textId="77777777" w:rsidR="0063123D" w:rsidRDefault="0063123D">
      <w:pPr>
        <w:rPr>
          <w:rFonts w:asciiTheme="minorHAnsi" w:hAnsiTheme="minorHAnsi"/>
        </w:rPr>
      </w:pPr>
      <w:proofErr w:type="spellStart"/>
      <w:r>
        <w:rPr>
          <w:rFonts w:asciiTheme="minorHAnsi" w:hAnsiTheme="minorHAnsi"/>
        </w:rPr>
        <w:t>Mulvale</w:t>
      </w:r>
      <w:proofErr w:type="spellEnd"/>
      <w:r>
        <w:rPr>
          <w:rFonts w:asciiTheme="minorHAnsi" w:hAnsiTheme="minorHAnsi"/>
        </w:rPr>
        <w:t>, G (committee member)</w:t>
      </w:r>
    </w:p>
    <w:p w14:paraId="515373FB" w14:textId="39FEAB85" w:rsidR="00910DEC" w:rsidRDefault="00910DEC">
      <w:pPr>
        <w:rPr>
          <w:rFonts w:asciiTheme="minorHAnsi" w:hAnsiTheme="minorHAnsi"/>
        </w:rPr>
      </w:pPr>
    </w:p>
    <w:p w14:paraId="7913FCC1" w14:textId="77777777" w:rsidR="00494298" w:rsidRDefault="00494298">
      <w:pPr>
        <w:rPr>
          <w:rFonts w:asciiTheme="minorHAnsi" w:hAnsiTheme="minorHAnsi"/>
          <w:b/>
          <w:bCs/>
        </w:rPr>
      </w:pPr>
    </w:p>
    <w:p w14:paraId="3C0B5B9D" w14:textId="77777777" w:rsidR="00494298" w:rsidRDefault="00494298">
      <w:pPr>
        <w:rPr>
          <w:rFonts w:asciiTheme="minorHAnsi" w:hAnsiTheme="minorHAnsi"/>
        </w:rPr>
      </w:pPr>
    </w:p>
    <w:p w14:paraId="099532A3" w14:textId="77777777" w:rsidR="00910DEC" w:rsidRDefault="00910DEC">
      <w:pPr>
        <w:rPr>
          <w:rFonts w:asciiTheme="minorHAnsi" w:hAnsiTheme="minorHAnsi"/>
        </w:rPr>
      </w:pPr>
    </w:p>
    <w:p w14:paraId="3BC45182" w14:textId="77777777" w:rsidR="00D13329" w:rsidRPr="00D13329" w:rsidRDefault="00D13329" w:rsidP="00D13329">
      <w:pPr>
        <w:jc w:val="center"/>
        <w:rPr>
          <w:rFonts w:asciiTheme="minorHAnsi" w:hAnsiTheme="minorHAnsi"/>
          <w:b/>
        </w:rPr>
      </w:pPr>
      <w:r w:rsidRPr="00D13329">
        <w:rPr>
          <w:rFonts w:asciiTheme="minorHAnsi" w:hAnsiTheme="minorHAnsi"/>
          <w:b/>
        </w:rPr>
        <w:t>Introduction</w:t>
      </w:r>
    </w:p>
    <w:p w14:paraId="5B1ED309" w14:textId="77777777" w:rsidR="003A1CEF" w:rsidRDefault="003A1CEF" w:rsidP="003A1CEF">
      <w:pPr>
        <w:rPr>
          <w:rFonts w:asciiTheme="minorHAnsi" w:hAnsiTheme="minorHAnsi"/>
          <w:i/>
        </w:rPr>
      </w:pPr>
    </w:p>
    <w:p w14:paraId="6338B34B" w14:textId="77777777" w:rsidR="003A1CEF" w:rsidRDefault="00D13329" w:rsidP="003A1CEF">
      <w:pPr>
        <w:rPr>
          <w:rFonts w:asciiTheme="minorHAnsi" w:hAnsiTheme="minorHAnsi"/>
          <w:i/>
        </w:rPr>
      </w:pPr>
      <w:r w:rsidRPr="00D13329">
        <w:rPr>
          <w:rFonts w:asciiTheme="minorHAnsi" w:hAnsiTheme="minorHAnsi"/>
          <w:i/>
        </w:rPr>
        <w:t>Background</w:t>
      </w:r>
    </w:p>
    <w:p w14:paraId="4F6CCAB7" w14:textId="70DC574A" w:rsidR="00A72B16" w:rsidRPr="00A72B16" w:rsidRDefault="00F518AB" w:rsidP="00A72B16">
      <w:pPr>
        <w:rPr>
          <w:rFonts w:asciiTheme="minorHAnsi" w:hAnsiTheme="minorHAnsi"/>
        </w:rPr>
      </w:pPr>
      <w:r w:rsidRPr="00A72B16">
        <w:rPr>
          <w:rFonts w:ascii="Cambria" w:hAnsi="Cambria"/>
        </w:rPr>
        <w:t xml:space="preserve">There has been increasing attention on improving the use of research evidence to inform policy and practice and a specific focus on the implementation of evidence-informed practices, spurring the fields of knowledge translation </w:t>
      </w:r>
      <w:r w:rsidR="003152F1" w:rsidRPr="00A72B16">
        <w:rPr>
          <w:rFonts w:ascii="Cambria" w:hAnsi="Cambria"/>
        </w:rPr>
        <w:t xml:space="preserve">(KT) </w:t>
      </w:r>
      <w:r w:rsidRPr="00A72B16">
        <w:rPr>
          <w:rFonts w:ascii="Cambria" w:hAnsi="Cambria"/>
        </w:rPr>
        <w:t xml:space="preserve">and implementation science. </w:t>
      </w:r>
      <w:r w:rsidR="003A1CEF" w:rsidRPr="00A72B16">
        <w:rPr>
          <w:rFonts w:ascii="Cambria" w:hAnsi="Cambria"/>
        </w:rPr>
        <w:t xml:space="preserve">This attention has resulted in theoretical and empirical works that </w:t>
      </w:r>
      <w:r w:rsidR="00C558C9" w:rsidRPr="00A72B16">
        <w:rPr>
          <w:rFonts w:ascii="Cambria" w:hAnsi="Cambria"/>
        </w:rPr>
        <w:t xml:space="preserve">have furthered our understanding of the determinants of implementation, the process itself, and implementation outcomes. </w:t>
      </w:r>
      <w:r w:rsidRPr="00A72B16">
        <w:rPr>
          <w:rFonts w:ascii="Cambria" w:hAnsi="Cambria"/>
        </w:rPr>
        <w:t xml:space="preserve">Insights into </w:t>
      </w:r>
      <w:r w:rsidR="00A234B8" w:rsidRPr="00A72B16">
        <w:rPr>
          <w:rFonts w:ascii="Cambria" w:hAnsi="Cambria"/>
        </w:rPr>
        <w:t xml:space="preserve">the process of </w:t>
      </w:r>
      <w:r w:rsidRPr="00A72B16">
        <w:rPr>
          <w:rFonts w:ascii="Cambria" w:hAnsi="Cambria"/>
        </w:rPr>
        <w:t xml:space="preserve">implementation have also been developed in the field of </w:t>
      </w:r>
      <w:r w:rsidR="00A234B8" w:rsidRPr="00A72B16">
        <w:rPr>
          <w:rFonts w:ascii="Cambria" w:hAnsi="Cambria"/>
        </w:rPr>
        <w:t>political science and policy</w:t>
      </w:r>
      <w:r w:rsidRPr="00A72B16">
        <w:rPr>
          <w:rFonts w:ascii="Cambria" w:hAnsi="Cambria"/>
        </w:rPr>
        <w:t>, which has seen</w:t>
      </w:r>
      <w:r w:rsidR="00846270" w:rsidRPr="00A72B16">
        <w:rPr>
          <w:rFonts w:ascii="Cambria" w:hAnsi="Cambria"/>
        </w:rPr>
        <w:t xml:space="preserve"> at least 3 “eras” of</w:t>
      </w:r>
      <w:r w:rsidR="00A234B8" w:rsidRPr="00A72B16">
        <w:rPr>
          <w:rFonts w:ascii="Cambria" w:hAnsi="Cambria"/>
        </w:rPr>
        <w:t xml:space="preserve"> </w:t>
      </w:r>
      <w:r w:rsidR="003152F1" w:rsidRPr="00A72B16">
        <w:rPr>
          <w:rFonts w:ascii="Cambria" w:hAnsi="Cambria"/>
        </w:rPr>
        <w:t xml:space="preserve">model development: top-down, bottom-up and </w:t>
      </w:r>
      <w:r w:rsidR="00A72B16" w:rsidRPr="00A72B16">
        <w:rPr>
          <w:rFonts w:ascii="Cambria" w:hAnsi="Cambria"/>
        </w:rPr>
        <w:t xml:space="preserve">combined approaches (Goggin et al., 1990). However, </w:t>
      </w:r>
      <w:r w:rsidR="00A72B16">
        <w:rPr>
          <w:rFonts w:ascii="Cambria" w:hAnsi="Cambria"/>
        </w:rPr>
        <w:t>t</w:t>
      </w:r>
      <w:r w:rsidR="00D13329" w:rsidRPr="00A72B16">
        <w:rPr>
          <w:rFonts w:ascii="Cambria" w:hAnsi="Cambria"/>
        </w:rPr>
        <w:t>he fields of implementation</w:t>
      </w:r>
      <w:r w:rsidRPr="00A72B16">
        <w:rPr>
          <w:rFonts w:ascii="Cambria" w:hAnsi="Cambria"/>
        </w:rPr>
        <w:t xml:space="preserve"> science</w:t>
      </w:r>
      <w:r w:rsidR="00D13329" w:rsidRPr="00A72B16">
        <w:rPr>
          <w:rFonts w:ascii="Cambria" w:hAnsi="Cambria"/>
        </w:rPr>
        <w:t xml:space="preserve"> and KT have evolved somewhat independently from the field of policy implementation research, despite calls for better integration </w:t>
      </w:r>
      <w:r w:rsidR="00587EDD" w:rsidRPr="00A72B16">
        <w:rPr>
          <w:rFonts w:asciiTheme="minorHAnsi" w:hAnsiTheme="minorHAnsi"/>
        </w:rPr>
        <w:fldChar w:fldCharType="begin" w:fldLock="1"/>
      </w:r>
      <w:r w:rsidR="00587EDD" w:rsidRPr="00A72B16">
        <w:rPr>
          <w:rFonts w:asciiTheme="minorHAnsi" w:hAnsiTheme="minorHAnsi"/>
        </w:rPr>
        <w:instrText>ADDIN CSL_CITATION { "citationItems" : [ { "id" : "ITEM-1", "itemData" : { "DOI" : "10.1186/1748-5908-8-63", "ISSN" : "1748-5908", "PMID" : "23758952", "abstract" : "BACKGROUND Many of society's health problems require research-based knowledge acted on by healthcare practitioners together with implementation of political measures from governmental agencies. However, there has been limited knowledge exchange between implementation science and policy implementation research, which has been conducted since the early 1970s. Based on a narrative review of selective literature on implementation science and policy implementation research, the aim of this paper is to describe the characteristics of policy implementation research, analyze key similarities and differences between this field and implementation science, and discuss how knowledge assembled in policy implementation research could inform implementation science. DISCUSSION Following a brief overview of policy implementation research, several aspects of the two fields were described and compared: the purpose and origins of the research; the characteristics of the research; the development and use of theory; determinants of change (independent variables); and the impact of implementation (dependent variables). The comparative analysis showed that there are many similarities between the two fields, yet there are also profound differences. Still, important learning may be derived from several aspects of policy implementation research, including issues related to the influence of the context of implementation and the values and norms of the implementers (the healthcare practitioners) on implementation processes. Relevant research on various associated policy topics, including The Advocacy Coalition Framework, Governance Theory, and Institutional Theory, may also contribute to improved understanding of the difficulties of implementing evidence in healthcare. Implementation science is at a relatively early stage of development, and advancement of the field would benefit from accounting for knowledge beyond the parameters of the immediate implementation science literature. SUMMARY There are many common issues in policy implementation research and implementation science. Research in both fields deals with the challenges of translating intentions into desired changes. Important learning may be derived from several aspects of policy implementation research.", "author" : [ { "dropping-particle" : "", "family" : "Nilsen", "given" : "Per", "non-dropping-particle" : "", "parse-names" : false, "suffix" : "" }, { "dropping-particle" : "", "family" : "St\u00e5hl", "given" : "Christian", "non-dropping-particle" : "", "parse-names" : false, "suffix" : "" }, { "dropping-particle" : "", "family" : "Roback", "given" : "Kerstin", "non-dropping-particle" : "", "parse-names" : false, "suffix" : "" }, { "dropping-particle" : "", "family" : "Cairney", "given" : "Paul", "non-dropping-particle" : "", "parse-names" : false, "suffix" : "" } ], "container-title" : "Implementation science : IS", "id" : "ITEM-1", "issued" : { "date-parts" : [ [ "2013" ] ] }, "page" : "63", "title" : "Never the twain shall meet?--a comparison of implementation science and policy implementation research.", "type" : "article-journal", "volume" : "8" }, "uris" : [ "http://www.mendeley.com/documents/?uuid=d00c2d43-4cc7-32b9-8694-355a3eda1062" ] } ], "mendeley" : { "formattedCitation" : "(Nilsen, St\u00e5hl, Roback, &amp; Cairney, 2013)", "plainTextFormattedCitation" : "(Nilsen, St\u00e5hl, Roback, &amp; Cairney, 2013)", "previouslyFormattedCitation" : "(Nilsen, St\u00e5hl, Roback, &amp; Cairney, 2013)" }, "properties" : { "noteIndex" : 0 }, "schema" : "https://github.com/citation-style-language/schema/raw/master/csl-citation.json" }</w:instrText>
      </w:r>
      <w:r w:rsidR="00587EDD" w:rsidRPr="00A72B16">
        <w:rPr>
          <w:rFonts w:asciiTheme="minorHAnsi" w:hAnsiTheme="minorHAnsi"/>
        </w:rPr>
        <w:fldChar w:fldCharType="separate"/>
      </w:r>
      <w:r w:rsidR="00587EDD" w:rsidRPr="00A72B16">
        <w:rPr>
          <w:rFonts w:asciiTheme="minorHAnsi" w:hAnsiTheme="minorHAnsi"/>
          <w:noProof/>
        </w:rPr>
        <w:t>(Nilsen, Ståhl, Roback, &amp; Cairney, 2013)</w:t>
      </w:r>
      <w:r w:rsidR="00587EDD" w:rsidRPr="00A72B16">
        <w:rPr>
          <w:rFonts w:asciiTheme="minorHAnsi" w:hAnsiTheme="minorHAnsi"/>
        </w:rPr>
        <w:fldChar w:fldCharType="end"/>
      </w:r>
      <w:r w:rsidR="00A72B16" w:rsidRPr="00A72B16">
        <w:rPr>
          <w:rFonts w:asciiTheme="minorHAnsi" w:hAnsiTheme="minorHAnsi"/>
        </w:rPr>
        <w:t>.</w:t>
      </w:r>
      <w:r w:rsidR="00A72B16" w:rsidRPr="00A72B16">
        <w:rPr>
          <w:rFonts w:asciiTheme="minorHAnsi" w:hAnsiTheme="minorHAnsi" w:cs="Times New Roman"/>
        </w:rPr>
        <w:t xml:space="preserve"> As a result, implementation models and empirical work do not often reflect the implementation experience from a policy lens nor benefit from the scholarship in all three fields.</w:t>
      </w:r>
    </w:p>
    <w:p w14:paraId="4BEAD7EB" w14:textId="6490853D" w:rsidR="00A72B16" w:rsidRPr="00A72B16" w:rsidRDefault="00A72B16" w:rsidP="00A72B16">
      <w:pPr>
        <w:rPr>
          <w:rFonts w:asciiTheme="minorHAnsi" w:hAnsiTheme="minorHAnsi" w:cs="Times New Roman"/>
          <w:b/>
        </w:rPr>
      </w:pPr>
      <w:r w:rsidRPr="00A72B16">
        <w:rPr>
          <w:rFonts w:asciiTheme="minorHAnsi" w:hAnsiTheme="minorHAnsi"/>
        </w:rPr>
        <w:tab/>
        <w:t xml:space="preserve"> This study </w:t>
      </w:r>
      <w:r w:rsidRPr="00A72B16">
        <w:rPr>
          <w:rFonts w:asciiTheme="minorHAnsi" w:hAnsiTheme="minorHAnsi" w:cs="Times New Roman"/>
        </w:rPr>
        <w:t>begins to bridge the divide between disciplines and offers a new way of thinking about implementation processes at the systems level</w:t>
      </w:r>
      <w:r>
        <w:rPr>
          <w:rFonts w:asciiTheme="minorHAnsi" w:hAnsiTheme="minorHAnsi" w:cs="Times New Roman"/>
        </w:rPr>
        <w:t xml:space="preserve"> through the development of a novel integrated theoretical framework.  </w:t>
      </w:r>
    </w:p>
    <w:p w14:paraId="19037197" w14:textId="4C146B11" w:rsidR="00D13329" w:rsidRPr="00A72B16" w:rsidRDefault="00D13329" w:rsidP="00A72B16">
      <w:pPr>
        <w:rPr>
          <w:rFonts w:asciiTheme="minorHAnsi" w:hAnsiTheme="minorHAnsi"/>
        </w:rPr>
      </w:pPr>
    </w:p>
    <w:p w14:paraId="3311C558" w14:textId="77777777" w:rsidR="00D13329" w:rsidRDefault="00D13329">
      <w:pPr>
        <w:rPr>
          <w:rFonts w:asciiTheme="minorHAnsi" w:hAnsiTheme="minorHAnsi"/>
        </w:rPr>
      </w:pPr>
    </w:p>
    <w:p w14:paraId="4BCC945D" w14:textId="77777777" w:rsidR="00D13329" w:rsidRDefault="0048696D">
      <w:pPr>
        <w:rPr>
          <w:rFonts w:asciiTheme="minorHAnsi" w:hAnsiTheme="minorHAnsi"/>
          <w:i/>
        </w:rPr>
      </w:pPr>
      <w:r>
        <w:rPr>
          <w:rFonts w:asciiTheme="minorHAnsi" w:hAnsiTheme="minorHAnsi"/>
          <w:i/>
        </w:rPr>
        <w:t>Study objective</w:t>
      </w:r>
    </w:p>
    <w:p w14:paraId="026493FF" w14:textId="77777777" w:rsidR="00A234B8" w:rsidRPr="00A234B8" w:rsidRDefault="009825AE" w:rsidP="00A234B8">
      <w:pPr>
        <w:rPr>
          <w:rFonts w:asciiTheme="minorHAnsi" w:hAnsiTheme="minorHAnsi"/>
        </w:rPr>
      </w:pPr>
      <w:r>
        <w:rPr>
          <w:rFonts w:asciiTheme="minorHAnsi" w:hAnsiTheme="minorHAnsi"/>
        </w:rPr>
        <w:t xml:space="preserve">The objective of this study is to </w:t>
      </w:r>
      <w:r w:rsidR="00EC0F88">
        <w:rPr>
          <w:rFonts w:asciiTheme="minorHAnsi" w:hAnsiTheme="minorHAnsi"/>
        </w:rPr>
        <w:t>generate</w:t>
      </w:r>
      <w:r>
        <w:rPr>
          <w:rFonts w:asciiTheme="minorHAnsi" w:hAnsiTheme="minorHAnsi"/>
        </w:rPr>
        <w:t xml:space="preserve"> an in</w:t>
      </w:r>
      <w:r w:rsidR="00EC0F88">
        <w:rPr>
          <w:rFonts w:asciiTheme="minorHAnsi" w:hAnsiTheme="minorHAnsi"/>
        </w:rPr>
        <w:t xml:space="preserve">tegrated </w:t>
      </w:r>
      <w:r w:rsidR="00A234B8">
        <w:rPr>
          <w:rFonts w:asciiTheme="minorHAnsi" w:hAnsiTheme="minorHAnsi"/>
        </w:rPr>
        <w:t>theoretical framework</w:t>
      </w:r>
      <w:r w:rsidR="00EC0F88">
        <w:rPr>
          <w:rFonts w:asciiTheme="minorHAnsi" w:hAnsiTheme="minorHAnsi"/>
        </w:rPr>
        <w:t xml:space="preserve"> </w:t>
      </w:r>
      <w:r>
        <w:rPr>
          <w:rFonts w:asciiTheme="minorHAnsi" w:hAnsiTheme="minorHAnsi"/>
        </w:rPr>
        <w:t xml:space="preserve">of the implementation process from the perspective of a policy goal by integrating </w:t>
      </w:r>
      <w:r w:rsidR="00F518AB">
        <w:rPr>
          <w:rFonts w:asciiTheme="minorHAnsi" w:hAnsiTheme="minorHAnsi"/>
        </w:rPr>
        <w:t xml:space="preserve">findings from </w:t>
      </w:r>
      <w:r>
        <w:rPr>
          <w:rFonts w:asciiTheme="minorHAnsi" w:hAnsiTheme="minorHAnsi"/>
        </w:rPr>
        <w:lastRenderedPageBreak/>
        <w:t xml:space="preserve">the policy, </w:t>
      </w:r>
      <w:r w:rsidR="00EC0F88">
        <w:rPr>
          <w:rFonts w:asciiTheme="minorHAnsi" w:hAnsiTheme="minorHAnsi"/>
        </w:rPr>
        <w:t xml:space="preserve">public administration, </w:t>
      </w:r>
      <w:r>
        <w:rPr>
          <w:rFonts w:asciiTheme="minorHAnsi" w:hAnsiTheme="minorHAnsi"/>
        </w:rPr>
        <w:t xml:space="preserve">implementation science and knowledge translation </w:t>
      </w:r>
      <w:r w:rsidR="00F518AB">
        <w:rPr>
          <w:rFonts w:asciiTheme="minorHAnsi" w:hAnsiTheme="minorHAnsi"/>
        </w:rPr>
        <w:t>fields</w:t>
      </w:r>
      <w:r>
        <w:rPr>
          <w:rFonts w:asciiTheme="minorHAnsi" w:hAnsiTheme="minorHAnsi"/>
        </w:rPr>
        <w:t>.</w:t>
      </w:r>
      <w:r w:rsidR="00A234B8">
        <w:rPr>
          <w:rFonts w:asciiTheme="minorHAnsi" w:hAnsiTheme="minorHAnsi"/>
        </w:rPr>
        <w:t xml:space="preserve"> By integrating knowledge from these fields using a critical interpretive synthesis approach, we will specifically examine h</w:t>
      </w:r>
      <w:r w:rsidR="00A234B8" w:rsidRPr="00A234B8">
        <w:rPr>
          <w:rFonts w:asciiTheme="minorHAnsi" w:hAnsiTheme="minorHAnsi"/>
        </w:rPr>
        <w:t xml:space="preserve">ow policy </w:t>
      </w:r>
      <w:r w:rsidR="0048696D">
        <w:rPr>
          <w:rFonts w:asciiTheme="minorHAnsi" w:hAnsiTheme="minorHAnsi"/>
        </w:rPr>
        <w:t>considerations are</w:t>
      </w:r>
      <w:r w:rsidR="00A234B8" w:rsidRPr="00A234B8">
        <w:rPr>
          <w:rFonts w:asciiTheme="minorHAnsi" w:hAnsiTheme="minorHAnsi"/>
        </w:rPr>
        <w:t xml:space="preserve"> portrayed </w:t>
      </w:r>
      <w:r w:rsidR="0048696D">
        <w:rPr>
          <w:rFonts w:asciiTheme="minorHAnsi" w:hAnsiTheme="minorHAnsi"/>
        </w:rPr>
        <w:t xml:space="preserve">(described?) </w:t>
      </w:r>
      <w:r w:rsidR="00A234B8" w:rsidRPr="00A234B8">
        <w:rPr>
          <w:rFonts w:asciiTheme="minorHAnsi" w:hAnsiTheme="minorHAnsi"/>
        </w:rPr>
        <w:t>in implementation theories, frameworks and processes</w:t>
      </w:r>
      <w:r w:rsidR="00A234B8">
        <w:rPr>
          <w:rFonts w:asciiTheme="minorHAnsi" w:hAnsiTheme="minorHAnsi"/>
        </w:rPr>
        <w:t xml:space="preserve"> from existing published and grey literature. </w:t>
      </w:r>
      <w:r w:rsidR="0048696D">
        <w:rPr>
          <w:rFonts w:asciiTheme="minorHAnsi" w:hAnsiTheme="minorHAnsi"/>
        </w:rPr>
        <w:t xml:space="preserve">The goal is to generate theoretical framework that integrates knowledge from these previously discrete fields of scholarship that can be used in future studies to generate testable hypotheses about large-scale </w:t>
      </w:r>
      <w:r w:rsidR="00AF1182">
        <w:rPr>
          <w:rFonts w:asciiTheme="minorHAnsi" w:hAnsiTheme="minorHAnsi"/>
        </w:rPr>
        <w:t xml:space="preserve">system </w:t>
      </w:r>
      <w:r w:rsidR="0048696D">
        <w:rPr>
          <w:rFonts w:asciiTheme="minorHAnsi" w:hAnsiTheme="minorHAnsi"/>
        </w:rPr>
        <w:t>implementation efforts</w:t>
      </w:r>
      <w:r w:rsidR="00AF1182">
        <w:rPr>
          <w:rFonts w:asciiTheme="minorHAnsi" w:hAnsiTheme="minorHAnsi"/>
        </w:rPr>
        <w:t xml:space="preserve">. </w:t>
      </w:r>
    </w:p>
    <w:p w14:paraId="678E59CD" w14:textId="77777777" w:rsidR="00A234B8" w:rsidRDefault="00A234B8">
      <w:pPr>
        <w:rPr>
          <w:rFonts w:asciiTheme="minorHAnsi" w:hAnsiTheme="minorHAnsi"/>
        </w:rPr>
      </w:pPr>
    </w:p>
    <w:p w14:paraId="5B180835" w14:textId="77777777" w:rsidR="009825AE" w:rsidRDefault="009825AE">
      <w:pPr>
        <w:rPr>
          <w:rFonts w:asciiTheme="minorHAnsi" w:hAnsiTheme="minorHAnsi"/>
          <w:i/>
        </w:rPr>
      </w:pPr>
    </w:p>
    <w:p w14:paraId="43FFB7F7" w14:textId="77777777" w:rsidR="00D13329" w:rsidRPr="00D13329" w:rsidRDefault="00D13329">
      <w:pPr>
        <w:rPr>
          <w:rFonts w:asciiTheme="minorHAnsi" w:hAnsiTheme="minorHAnsi"/>
          <w:i/>
        </w:rPr>
      </w:pPr>
      <w:r>
        <w:rPr>
          <w:rFonts w:asciiTheme="minorHAnsi" w:hAnsiTheme="minorHAnsi"/>
          <w:i/>
        </w:rPr>
        <w:t>Compass Research Question</w:t>
      </w:r>
    </w:p>
    <w:p w14:paraId="444148FC" w14:textId="77777777" w:rsidR="00D13329" w:rsidRDefault="00D91475">
      <w:pPr>
        <w:rPr>
          <w:rFonts w:asciiTheme="minorHAnsi" w:hAnsiTheme="minorHAnsi"/>
        </w:rPr>
      </w:pPr>
      <w:r>
        <w:rPr>
          <w:rFonts w:asciiTheme="minorHAnsi" w:hAnsiTheme="minorHAnsi"/>
        </w:rPr>
        <w:t>How is policy</w:t>
      </w:r>
      <w:r w:rsidR="009825AE">
        <w:rPr>
          <w:rFonts w:asciiTheme="minorHAnsi" w:hAnsiTheme="minorHAnsi"/>
        </w:rPr>
        <w:t xml:space="preserve"> currently described/portrayed in implementation </w:t>
      </w:r>
      <w:r w:rsidR="00D74A24">
        <w:rPr>
          <w:rFonts w:asciiTheme="minorHAnsi" w:hAnsiTheme="minorHAnsi"/>
        </w:rPr>
        <w:t xml:space="preserve">theory and </w:t>
      </w:r>
      <w:r w:rsidR="009825AE">
        <w:rPr>
          <w:rFonts w:asciiTheme="minorHAnsi" w:hAnsiTheme="minorHAnsi"/>
        </w:rPr>
        <w:t>processes</w:t>
      </w:r>
      <w:r w:rsidR="0048696D">
        <w:rPr>
          <w:rFonts w:asciiTheme="minorHAnsi" w:hAnsiTheme="minorHAnsi"/>
        </w:rPr>
        <w:t xml:space="preserve"> </w:t>
      </w:r>
      <w:r w:rsidR="008B3CE6">
        <w:rPr>
          <w:rFonts w:asciiTheme="minorHAnsi" w:hAnsiTheme="minorHAnsi"/>
        </w:rPr>
        <w:t>and what aspects of policy are important fo</w:t>
      </w:r>
      <w:r w:rsidR="00D74A24">
        <w:rPr>
          <w:rFonts w:asciiTheme="minorHAnsi" w:hAnsiTheme="minorHAnsi"/>
        </w:rPr>
        <w:t>r implementation success</w:t>
      </w:r>
      <w:r w:rsidR="009825AE">
        <w:rPr>
          <w:rFonts w:asciiTheme="minorHAnsi" w:hAnsiTheme="minorHAnsi"/>
        </w:rPr>
        <w:t>?</w:t>
      </w:r>
    </w:p>
    <w:p w14:paraId="1799C59D" w14:textId="77777777" w:rsidR="009825AE" w:rsidRDefault="009825AE">
      <w:pPr>
        <w:rPr>
          <w:rFonts w:asciiTheme="minorHAnsi" w:hAnsiTheme="minorHAnsi"/>
        </w:rPr>
      </w:pPr>
    </w:p>
    <w:p w14:paraId="013ED841" w14:textId="77777777" w:rsidR="009825AE" w:rsidRDefault="009825AE">
      <w:pPr>
        <w:rPr>
          <w:rFonts w:asciiTheme="minorHAnsi" w:hAnsiTheme="minorHAnsi"/>
        </w:rPr>
      </w:pPr>
    </w:p>
    <w:p w14:paraId="62FADC46" w14:textId="77777777" w:rsidR="009825AE" w:rsidRPr="009825AE" w:rsidRDefault="009825AE" w:rsidP="009825AE">
      <w:pPr>
        <w:jc w:val="center"/>
        <w:rPr>
          <w:rFonts w:asciiTheme="minorHAnsi" w:hAnsiTheme="minorHAnsi"/>
          <w:b/>
        </w:rPr>
      </w:pPr>
      <w:r w:rsidRPr="009825AE">
        <w:rPr>
          <w:rFonts w:asciiTheme="minorHAnsi" w:hAnsiTheme="minorHAnsi"/>
          <w:b/>
        </w:rPr>
        <w:t>Methods</w:t>
      </w:r>
    </w:p>
    <w:p w14:paraId="4CE15F25" w14:textId="77777777" w:rsidR="009825AE" w:rsidRDefault="009825AE">
      <w:pPr>
        <w:rPr>
          <w:rFonts w:asciiTheme="minorHAnsi" w:hAnsiTheme="minorHAnsi"/>
          <w:i/>
        </w:rPr>
      </w:pPr>
    </w:p>
    <w:p w14:paraId="7D0BDB17" w14:textId="77777777" w:rsidR="0048696D" w:rsidRDefault="0048696D">
      <w:pPr>
        <w:rPr>
          <w:rFonts w:asciiTheme="minorHAnsi" w:hAnsiTheme="minorHAnsi"/>
          <w:i/>
        </w:rPr>
      </w:pPr>
      <w:r>
        <w:rPr>
          <w:rFonts w:asciiTheme="minorHAnsi" w:hAnsiTheme="minorHAnsi"/>
          <w:i/>
        </w:rPr>
        <w:t>Study Design</w:t>
      </w:r>
    </w:p>
    <w:p w14:paraId="4AE0FA97" w14:textId="77777777" w:rsidR="00BF22CE" w:rsidRDefault="00D74A24">
      <w:pPr>
        <w:rPr>
          <w:rFonts w:asciiTheme="minorHAnsi" w:hAnsiTheme="minorHAnsi"/>
        </w:rPr>
      </w:pPr>
      <w:r>
        <w:rPr>
          <w:rFonts w:asciiTheme="minorHAnsi" w:hAnsiTheme="minorHAnsi"/>
        </w:rPr>
        <w:t xml:space="preserve">Given the broad goal of this study, the </w:t>
      </w:r>
      <w:r w:rsidR="0048696D">
        <w:rPr>
          <w:rFonts w:asciiTheme="minorHAnsi" w:hAnsiTheme="minorHAnsi"/>
        </w:rPr>
        <w:t xml:space="preserve">question of interest and the scope of potentially applicable literature from discrete fields that could inform this work, we have selected a critical interpretive synthesis (CIS) approach. The CIS method was first described by Dixon-Woods and colleagues </w:t>
      </w:r>
      <w:r w:rsidR="005D3B08">
        <w:rPr>
          <w:rFonts w:asciiTheme="minorHAnsi" w:hAnsiTheme="minorHAnsi"/>
        </w:rPr>
        <w:t xml:space="preserve">in response to the need to synthesize multi-disciplinary and multi-method evidence based on a broad, policy-relevant question about access to healthcare by vulnerable groups </w:t>
      </w:r>
      <w:r w:rsidR="009700F4">
        <w:rPr>
          <w:rFonts w:asciiTheme="minorHAnsi" w:hAnsiTheme="minorHAnsi"/>
        </w:rPr>
        <w:fldChar w:fldCharType="begin" w:fldLock="1"/>
      </w:r>
      <w:r w:rsidR="009700F4">
        <w:rPr>
          <w:rFonts w:asciiTheme="minorHAnsi" w:hAnsiTheme="minorHAnsi"/>
        </w:rPr>
        <w:instrText>ADDIN CSL_CITATION { "citationItems" : [ { "id" : "ITEM-1", "itemData" : { "DOI" : "10.1186/1471-2288-6-35", "ISSN" : "1471-2288", "PMID" : "16872487", "abstract" : "BACKGROUND Conventional systematic review techniques have limitations when the aim of a review is to construct a critical analysis of a complex body of literature. This article offers a reflexive account of an attempt to conduct an interpretive review of the literature on access to healthcare by vulnerable groups in the UK METHODS: This project involved the development and use of the method of Critical Interpretive Synthesis (CIS). This approach is sensitised to the processes of conventional systematic review methodology and draws on recent advances in methods for interpretive synthesis. RESULTS Many analyses of equity of access have rested on measures of utilisation of health services, but these are problematic both methodologically and conceptually. A more useful means of understanding access is offered by the synthetic construct of candidacy. Candidacy describes how people's eligibility for healthcare is determined between themselves and health services. It is a continually negotiated property of individuals, subject to multiple influences arising both from people and their social contexts and from macro-level influences on allocation of resources and configuration of services. Health services are continually constituting and seeking to define the appropriate objects of medical attention and intervention, while at the same time people are engaged in constituting and defining what they understand to be the appropriate objects of medical attention and intervention. Access represents a dynamic interplay between these simultaneous, iterative and mutually reinforcing processes. By attending to how vulnerabilities arise in relation to candidacy, the phenomenon of access can be better understood, and more appropriate recommendations made for policy, practice and future research. DISCUSSION By innovating with existing methods for interpretive synthesis, it was possible to produce not only new methods for conducting what we have termed critical interpretive synthesis, but also a new theoretical conceptualisation of access to healthcare. This theoretical account of access is distinct from models already extant in the literature, and is the result of combining diverse constructs and evidence into a coherent whole. Both the method and the model should be evaluated in other contexts.", "author" : [ { "dropping-particle" : "", "family" : "Dixon-Woods", "given" : "Mary", "non-dropping-particle" : "", "parse-names" : false, "suffix" : "" }, { "dropping-particle" : "", "family" : "Cavers", "given" : "Debbie", "non-dropping-particle" : "", "parse-names" : false, "suffix" : "" }, { "dropping-particle" : "", "family" : "Agarwal", "given" : "Shona", "non-dropping-particle" : "", "parse-names" : false, "suffix" : "" }, { "dropping-particle" : "", "family" : "Annandale", "given" : "Ellen", "non-dropping-particle" : "", "parse-names" : false, "suffix" : "" }, { "dropping-particle" : "", "family" : "Arthur", "given" : "Antony", "non-dropping-particle" : "", "parse-names" : false, "suffix" : "" }, { "dropping-particle" : "", "family" : "Harvey", "given" : "Janet", "non-dropping-particle" : "", "parse-names" : false, "suffix" : "" }, { "dropping-particle" : "", "family" : "Hsu", "given" : "Ron", "non-dropping-particle" : "", "parse-names" : false, "suffix" : "" }, { "dropping-particle" : "", "family" : "Katbamna", "given" : "Savita", "non-dropping-particle" : "", "parse-names" : false, "suffix" : "" }, { "dropping-particle" : "", "family" : "Olsen", "given" : "Richard", "non-dropping-particle" : "", "parse-names" : false, "suffix" : "" }, { "dropping-particle" : "", "family" : "Smith", "given" : "Lucy", "non-dropping-particle" : "", "parse-names" : false, "suffix" : "" }, { "dropping-particle" : "", "family" : "Riley", "given" : "Richard", "non-dropping-particle" : "", "parse-names" : false, "suffix" : "" }, { "dropping-particle" : "", "family" : "Sutton", "given" : "Alex J", "non-dropping-particle" : "", "parse-names" : false, "suffix" : "" } ], "container-title" : "BMC medical research methodology", "id" : "ITEM-1", "issued" : { "date-parts" : [ [ "2006" ] ] }, "page" : "35", "title" : "Conducting a critical interpretive synthesis of the literature on access to healthcare by vulnerable groups.", "type" : "article-journal", "volume" : "6" }, "uris" : [ "http://www.mendeley.com/documents/?uuid=b46019b5-8289-3711-b851-3232c6332392" ] } ], "mendeley" : { "formattedCitation" : "(Dixon-Woods et al., 2006)", "plainTextFormattedCitation" : "(Dixon-Woods et al., 2006)", "previouslyFormattedCitation" : "(Dixon-Woods et al., 2006)" }, "properties" : { "noteIndex" : 0 }, "schema" : "https://github.com/citation-style-language/schema/raw/master/csl-citation.json" }</w:instrText>
      </w:r>
      <w:r w:rsidR="009700F4">
        <w:rPr>
          <w:rFonts w:asciiTheme="minorHAnsi" w:hAnsiTheme="minorHAnsi"/>
        </w:rPr>
        <w:fldChar w:fldCharType="separate"/>
      </w:r>
      <w:r w:rsidR="009700F4" w:rsidRPr="009700F4">
        <w:rPr>
          <w:rFonts w:asciiTheme="minorHAnsi" w:hAnsiTheme="minorHAnsi"/>
          <w:noProof/>
        </w:rPr>
        <w:t>(Dixon-Woods et al., 2006)</w:t>
      </w:r>
      <w:r w:rsidR="009700F4">
        <w:rPr>
          <w:rFonts w:asciiTheme="minorHAnsi" w:hAnsiTheme="minorHAnsi"/>
        </w:rPr>
        <w:fldChar w:fldCharType="end"/>
      </w:r>
      <w:r w:rsidR="005D3B08">
        <w:rPr>
          <w:rFonts w:asciiTheme="minorHAnsi" w:hAnsiTheme="minorHAnsi"/>
        </w:rPr>
        <w:t>. It is one of several more recent approaches developed by researchers in an attempt to synthesize qualitative research and to integrate qualitative and quantitative resea</w:t>
      </w:r>
      <w:r w:rsidR="00BF22CE">
        <w:rPr>
          <w:rFonts w:asciiTheme="minorHAnsi" w:hAnsiTheme="minorHAnsi"/>
        </w:rPr>
        <w:t xml:space="preserve">rch </w:t>
      </w:r>
      <w:r w:rsidR="009700F4">
        <w:rPr>
          <w:rFonts w:asciiTheme="minorHAnsi" w:hAnsiTheme="minorHAnsi"/>
        </w:rPr>
        <w:fldChar w:fldCharType="begin" w:fldLock="1"/>
      </w:r>
      <w:r w:rsidR="009700F4">
        <w:rPr>
          <w:rFonts w:asciiTheme="minorHAnsi" w:hAnsiTheme="minorHAnsi"/>
        </w:rPr>
        <w:instrText>ADDIN CSL_CITATION { "citationItems" : [ { "id" : "ITEM-1", "itemData" : { "DOI" : "10.1186/1471-2288-9-59", "ISSN" : "1471-2288", "PMID" : "19671152", "abstract" : "BACKGROUND In recent years, a growing number of methods for synthesising qualitative research have emerged, particularly in relation to health-related research. There is a need for both researchers and commissioners to be able to distinguish between these methods and to select which method is the most appropriate to their situation. DISCUSSION A number of methodological and conceptual links between these methods were identified and explored, while contrasting epistemological positions explained differences in approaches to issues such as quality assessment and extent of iteration. Methods broadly fall into 'realist' or 'idealist' epistemologies, which partly accounts for these differences. SUMMARY Methods for qualitative synthesis vary across a range of dimensions. Commissioners of qualitative syntheses might wish to consider the kind of product they want and select their method - or type of method - accordingly.", "author" : [ { "dropping-particle" : "", "family" : "Barnett-Page", "given" : "Elaine", "non-dropping-particle" : "", "parse-names" : false, "suffix" : "" }, { "dropping-particle" : "", "family" : "Thomas", "given" : "James", "non-dropping-particle" : "", "parse-names" : false, "suffix" : "" } ], "container-title" : "BMC medical research methodology", "id" : "ITEM-1", "issued" : { "date-parts" : [ [ "2009" ] ] }, "page" : "59", "title" : "Methods for the synthesis of qualitative research: a critical review.", "type" : "article-journal", "volume" : "9" }, "uris" : [ "http://www.mendeley.com/documents/?uuid=7942a2e9-2a64-329a-bd0f-dee8e58ae8a1" ] } ], "mendeley" : { "formattedCitation" : "(Barnett-Page &amp; Thomas, 2009)", "plainTextFormattedCitation" : "(Barnett-Page &amp; Thomas, 2009)", "previouslyFormattedCitation" : "(Barnett-Page &amp; Thomas, 2009)" }, "properties" : { "noteIndex" : 0 }, "schema" : "https://github.com/citation-style-language/schema/raw/master/csl-citation.json" }</w:instrText>
      </w:r>
      <w:r w:rsidR="009700F4">
        <w:rPr>
          <w:rFonts w:asciiTheme="minorHAnsi" w:hAnsiTheme="minorHAnsi"/>
        </w:rPr>
        <w:fldChar w:fldCharType="separate"/>
      </w:r>
      <w:r w:rsidR="009700F4" w:rsidRPr="009700F4">
        <w:rPr>
          <w:rFonts w:asciiTheme="minorHAnsi" w:hAnsiTheme="minorHAnsi"/>
          <w:noProof/>
        </w:rPr>
        <w:t>(Barnett-Page &amp; Thomas, 2009)</w:t>
      </w:r>
      <w:r w:rsidR="009700F4">
        <w:rPr>
          <w:rFonts w:asciiTheme="minorHAnsi" w:hAnsiTheme="minorHAnsi"/>
        </w:rPr>
        <w:fldChar w:fldCharType="end"/>
      </w:r>
      <w:r w:rsidR="005D3B08">
        <w:rPr>
          <w:rFonts w:asciiTheme="minorHAnsi" w:hAnsiTheme="minorHAnsi"/>
        </w:rPr>
        <w:t>. Drawing from the techniques of meta-ethnography combined with traditional systematic review processes, CIS employs an inductive</w:t>
      </w:r>
      <w:r w:rsidR="00E85D91">
        <w:rPr>
          <w:rFonts w:asciiTheme="minorHAnsi" w:hAnsiTheme="minorHAnsi"/>
        </w:rPr>
        <w:t xml:space="preserve"> and interpretive</w:t>
      </w:r>
      <w:r w:rsidR="005D3B08">
        <w:rPr>
          <w:rFonts w:asciiTheme="minorHAnsi" w:hAnsiTheme="minorHAnsi"/>
        </w:rPr>
        <w:t xml:space="preserve"> approach to critically inspect the literature</w:t>
      </w:r>
      <w:r w:rsidR="00E85D91">
        <w:rPr>
          <w:rFonts w:asciiTheme="minorHAnsi" w:hAnsiTheme="minorHAnsi"/>
        </w:rPr>
        <w:t xml:space="preserve"> and develop a new conceptualization of the phenomenon of interest. Unlike traditional systematic reviews which focus on answering a question of interest such as “what works?”, CIS is helpful in generating midrange theories with strong explanatory power </w:t>
      </w:r>
      <w:r w:rsidR="009700F4">
        <w:rPr>
          <w:rFonts w:asciiTheme="minorHAnsi" w:hAnsiTheme="minorHAnsi"/>
        </w:rPr>
        <w:fldChar w:fldCharType="begin" w:fldLock="1"/>
      </w:r>
      <w:r w:rsidR="00843865">
        <w:rPr>
          <w:rFonts w:asciiTheme="minorHAnsi" w:hAnsiTheme="minorHAnsi"/>
        </w:rPr>
        <w:instrText>ADDIN CSL_CITATION { "citationItems" : [ { "id" : "ITEM-1", "itemData" : { "DOI" : "10.1111/j.1365-2648.2009.05173.x", "ISSN" : "1365-2648", "PMID" : "20423445", "abstract" : "AIM This paper is a report of a Critical Interpretive Synthesis to synthesize quantitative research, in the form of an effectiveness review and a guideline, with qualitative research to examine the use of morphine to treat cancer-related pain. BACKGROUND Critical Interpretive Synthesis is a new method of reviewing, developed from meta-ethnography, which integrates systematic review methodology with a qualitative tradition of enquiry. It has not previously been used specifically to synthesize effectiveness and qualitative literature. Data sources. An existing systematic review of quantitative research and a guideline examining the effectiveness of oral morphine to treat cancer pain were identified. Electronic searches of Medline, CINAHL, Embase, PsychINFO, Health Management Information Consortium database and the Social Science Citation Index to identify qualitative research were carried out in May 2008. REVIEW METHODS Qualitative research papers reporting on the use of morphine to treat cancer pain were identified. The findings of the effectiveness research were used as a framework to guide the translation of findings from qualitative research using an integrative grid. A secondary translation of findings from the qualitative research, not specifically mapped to the effectiveness literature, was guided by the framework. RESULTS Nineteen qualitative papers were synthesized with the quantitative effectiveness literature, producing 14 synthetic constructs. These were developed into four synthesizing arguments which drew on patients', carers' and healthcare professionals' interpretations of the meaning and context of the use of morphine to treat cancer pain. CONCLUSION Critical Interpretive Synthesis can be adapted to synthesize reviews of quantitative research into effectiveness with qualitative research and fits into an existing typology of approaches to synthesizing qualitative and quantitative research.", "author" : [ { "dropping-particle" : "", "family" : "Flemming", "given" : "Kate", "non-dropping-particle" : "", "parse-names" : false, "suffix" : "" } ], "container-title" : "Journal of advanced nursing", "id" : "ITEM-1", "issue" : "1", "issued" : { "date-parts" : [ [ "2010", "1" ] ] }, "page" : "201-17", "title" : "Synthesis of quantitative and qualitative research: an example using Critical Interpretive Synthesis.", "type" : "article-journal", "volume" : "66" }, "uris" : [ "http://www.mendeley.com/documents/?uuid=553de58c-8dac-383d-94e7-10cec077e580" ] }, { "id" : "ITEM-2", "itemData" : { "DOI" : "10.1186/2046-4053-3-143", "ISSN" : "2046-4053", "PMID" : "25495034", "abstract" : "BACKGROUND Practical solutions are needed to support the appropriate use of available health system resources as countries are continually pressured to 'do more with less' in health care. Increasingly, health systems and organizations are exploring the reassessment of possibly obsolete, inefficient, or ineffective health system resources and potentially redirecting funds to those that are more effective and efficient. Such processes are often referred to as 'disinvestment'. Our objective is to gain further understanding about: 1) whether how and under what conditions health systems decide to pursue disinvestment; 2) how health systems have chosen to undertake disinvestment; and 3) how health systems have implemented their disinvestment approach. METHODS/DESIGN We will use a critical interpretive synthesis (CIS) approach, to develop a theoretical framework based on insights drawn from a range of relevant sources. We will conduct systematic searches of databases as well as purposive searches to identify literature to fill conceptual gaps that may emerge during our inductive process of synthesis and analysis. Two independent reviewers will assess search results for relevance and conceptually map included references. We will include all empirical and non-empirical articles that focus on disinvestment at a system level. We will then extract key findings from a purposive sample of articles using frameworks related to government agendas, policy development and implementation, and health system contextual factors and then synthesize and integrate the findings to develop a framework about our core areas of interest. Lastly, we will convene a stakeholder dialogue with Canadian and international policymakers and other stakeholders to solicit targeted feedback about the framework (e.g., by identifying any gaps in the literature that we may want to revisit before finalizing it) and deliberating about barriers for developing and implementing approaches to disinvestment, strategies to address these barriers and about next steps that could be taken by different constituencies. DISCUSSION Disinvestment is an emerging field and there is a need for evidence to inform the prioritization, development, and implementation of strategies in different contexts. Our CIS and the framework developed through it will support the actions of those involved in the prioritization, development, and implementation of disinvestment initiatives. SYSTEMATIC REVIEW REGISTRATION PROSPERO CRD420\u2026", "author" : [ { "dropping-particle" : "", "family" : "Wilson", "given" : "Michael G", "non-dropping-particle" : "", "parse-names" : false, "suffix" : "" }, { "dropping-particle" : "", "family" : "Ellen", "given" : "Moriah E", "non-dropping-particle" : "", "parse-names" : false, "suffix" : "" }, { "dropping-particle" : "", "family" : "Lavis", "given" : "John N", "non-dropping-particle" : "", "parse-names" : false, "suffix" : "" }, { "dropping-particle" : "", "family" : "Grimshaw", "given" : "Jeremy M", "non-dropping-particle" : "", "parse-names" : false, "suffix" : "" }, { "dropping-particle" : "", "family" : "Moat", "given" : "Kaelan A", "non-dropping-particle" : "", "parse-names" : false, "suffix" : "" }, { "dropping-particle" : "", "family" : "Shemer", "given" : "Joshua", "non-dropping-particle" : "", "parse-names" : false, "suffix" : "" }, { "dropping-particle" : "", "family" : "Sullivan", "given" : "Terry", "non-dropping-particle" : "", "parse-names" : false, "suffix" : "" }, { "dropping-particle" : "", "family" : "Garner", "given" : "Sarah", "non-dropping-particle" : "", "parse-names" : false, "suffix" : "" }, { "dropping-particle" : "", "family" : "Goeree", "given" : "Ron", "non-dropping-particle" : "", "parse-names" : false, "suffix" : "" }, { "dropping-particle" : "", "family" : "Grilli", "given" : "Roberto", "non-dropping-particle" : "", "parse-names" : false, "suffix" : "" }, { "dropping-particle" : "", "family" : "Peffer", "given" : "Justin", "non-dropping-particle" : "", "parse-names" : false, "suffix" : "" }, { "dropping-particle" : "", "family" : "Samra", "given" : "Kevin", "non-dropping-particle" : "", "parse-names" : false, "suffix" : "" } ], "container-title" : "Systematic reviews", "id" : "ITEM-2", "issued" : { "date-parts" : [ [ "2014" ] ] }, "page" : "143", "title" : "Processes, contexts, and rationale for disinvestment: a protocol for a critical interpretive synthesis.", "type" : "article-journal", "volume" : "3" }, "uris" : [ "http://www.mendeley.com/documents/?uuid=1b3e526f-92c4-320c-b412-2c8b68c84367" ] } ], "mendeley" : { "formattedCitation" : "(Flemming, 2010; Wilson et al., 2014)", "plainTextFormattedCitation" : "(Flemming, 2010; Wilson et al., 2014)", "previouslyFormattedCitation" : "(Flemming, 2010; Wilson et al., 2014)" }, "properties" : { "noteIndex" : 0 }, "schema" : "https://github.com/citation-style-language/schema/raw/master/csl-citation.json" }</w:instrText>
      </w:r>
      <w:r w:rsidR="009700F4">
        <w:rPr>
          <w:rFonts w:asciiTheme="minorHAnsi" w:hAnsiTheme="minorHAnsi"/>
        </w:rPr>
        <w:fldChar w:fldCharType="separate"/>
      </w:r>
      <w:r w:rsidR="009700F4" w:rsidRPr="009700F4">
        <w:rPr>
          <w:rFonts w:asciiTheme="minorHAnsi" w:hAnsiTheme="minorHAnsi"/>
          <w:noProof/>
        </w:rPr>
        <w:t>(Flemming, 2010; Wilson et al., 2014)</w:t>
      </w:r>
      <w:r w:rsidR="009700F4">
        <w:rPr>
          <w:rFonts w:asciiTheme="minorHAnsi" w:hAnsiTheme="minorHAnsi"/>
        </w:rPr>
        <w:fldChar w:fldCharType="end"/>
      </w:r>
      <w:r w:rsidR="009700F4">
        <w:rPr>
          <w:rFonts w:asciiTheme="minorHAnsi" w:hAnsiTheme="minorHAnsi"/>
        </w:rPr>
        <w:t xml:space="preserve"> </w:t>
      </w:r>
      <w:r w:rsidR="00E85D91">
        <w:rPr>
          <w:rFonts w:asciiTheme="minorHAnsi" w:hAnsiTheme="minorHAnsi"/>
        </w:rPr>
        <w:t xml:space="preserve">and begins with a compass question, which evolves throughout the course of the review in response to the </w:t>
      </w:r>
      <w:r w:rsidR="00DF6912">
        <w:rPr>
          <w:rFonts w:asciiTheme="minorHAnsi" w:hAnsiTheme="minorHAnsi"/>
        </w:rPr>
        <w:t>multidisciplinary range of perspectives uncovered</w:t>
      </w:r>
      <w:r w:rsidR="00E85D91">
        <w:rPr>
          <w:rFonts w:asciiTheme="minorHAnsi" w:hAnsiTheme="minorHAnsi"/>
        </w:rPr>
        <w:t xml:space="preserve"> in the process </w:t>
      </w:r>
      <w:r w:rsidR="00843865">
        <w:rPr>
          <w:rFonts w:asciiTheme="minorHAnsi" w:hAnsiTheme="minorHAnsi"/>
        </w:rPr>
        <w:fldChar w:fldCharType="begin" w:fldLock="1"/>
      </w:r>
      <w:r w:rsidR="00D817E1">
        <w:rPr>
          <w:rFonts w:asciiTheme="minorHAnsi" w:hAnsiTheme="minorHAnsi"/>
        </w:rPr>
        <w:instrText>ADDIN CSL_CITATION { "citationItems" : [ { "id" : "ITEM-1", "itemData" : { "DOI" : "10.1186/1471-2288-6-35", "ISSN" : "1471-2288", "PMID" : "16872487", "abstract" : "BACKGROUND Conventional systematic review techniques have limitations when the aim of a review is to construct a critical analysis of a complex body of literature. This article offers a reflexive account of an attempt to conduct an interpretive review of the literature on access to healthcare by vulnerable groups in the UK METHODS: This project involved the development and use of the method of Critical Interpretive Synthesis (CIS). This approach is sensitised to the processes of conventional systematic review methodology and draws on recent advances in methods for interpretive synthesis. RESULTS Many analyses of equity of access have rested on measures of utilisation of health services, but these are problematic both methodologically and conceptually. A more useful means of understanding access is offered by the synthetic construct of candidacy. Candidacy describes how people's eligibility for healthcare is determined between themselves and health services. It is a continually negotiated property of individuals, subject to multiple influences arising both from people and their social contexts and from macro-level influences on allocation of resources and configuration of services. Health services are continually constituting and seeking to define the appropriate objects of medical attention and intervention, while at the same time people are engaged in constituting and defining what they understand to be the appropriate objects of medical attention and intervention. Access represents a dynamic interplay between these simultaneous, iterative and mutually reinforcing processes. By attending to how vulnerabilities arise in relation to candidacy, the phenomenon of access can be better understood, and more appropriate recommendations made for policy, practice and future research. DISCUSSION By innovating with existing methods for interpretive synthesis, it was possible to produce not only new methods for conducting what we have termed critical interpretive synthesis, but also a new theoretical conceptualisation of access to healthcare. This theoretical account of access is distinct from models already extant in the literature, and is the result of combining diverse constructs and evidence into a coherent whole. Both the method and the model should be evaluated in other contexts.", "author" : [ { "dropping-particle" : "", "family" : "Dixon-Woods", "given" : "Mary", "non-dropping-particle" : "", "parse-names" : false, "suffix" : "" }, { "dropping-particle" : "", "family" : "Cavers", "given" : "Debbie", "non-dropping-particle" : "", "parse-names" : false, "suffix" : "" }, { "dropping-particle" : "", "family" : "Agarwal", "given" : "Shona", "non-dropping-particle" : "", "parse-names" : false, "suffix" : "" }, { "dropping-particle" : "", "family" : "Annandale", "given" : "Ellen", "non-dropping-particle" : "", "parse-names" : false, "suffix" : "" }, { "dropping-particle" : "", "family" : "Arthur", "given" : "Antony", "non-dropping-particle" : "", "parse-names" : false, "suffix" : "" }, { "dropping-particle" : "", "family" : "Harvey", "given" : "Janet", "non-dropping-particle" : "", "parse-names" : false, "suffix" : "" }, { "dropping-particle" : "", "family" : "Hsu", "given" : "Ron", "non-dropping-particle" : "", "parse-names" : false, "suffix" : "" }, { "dropping-particle" : "", "family" : "Katbamna", "given" : "Savita", "non-dropping-particle" : "", "parse-names" : false, "suffix" : "" }, { "dropping-particle" : "", "family" : "Olsen", "given" : "Richard", "non-dropping-particle" : "", "parse-names" : false, "suffix" : "" }, { "dropping-particle" : "", "family" : "Smith", "given" : "Lucy", "non-dropping-particle" : "", "parse-names" : false, "suffix" : "" }, { "dropping-particle" : "", "family" : "Riley", "given" : "Richard", "non-dropping-particle" : "", "parse-names" : false, "suffix" : "" }, { "dropping-particle" : "", "family" : "Sutton", "given" : "Alex J", "non-dropping-particle" : "", "parse-names" : false, "suffix" : "" } ], "container-title" : "BMC medical research methodology", "id" : "ITEM-1", "issued" : { "date-parts" : [ [ "2006" ] ] }, "page" : "35", "title" : "Conducting a critical interpretive synthesis of the literature on access to healthcare by vulnerable groups.", "type" : "article-journal", "volume" : "6" }, "uris" : [ "http://www.mendeley.com/documents/?uuid=b46019b5-8289-3711-b851-3232c6332392" ] }, { "id" : "ITEM-2", "itemData" : { "DOI" : "10.1258/jhsrp.2011.011029", "ISSN" : "1758-1060", "PMID" : "21967821", "abstract" : "OBJECTIVE Patients' experiences are often treated as health care quality indicators. Our aim was to identify the range of experiences of health care delivery that matter to patients and to produce a conceptual map to facilitate consideration of why they matter. METHODS Broad-based review and critical interpretive synthesis of research literature on patients' perspectives of health care delivery. We recorded experiences reported by a diverse range of patients on 'concept cards', considered why they were important, and explored various ways of organizing them, including internationally recognized health care quality frameworks. We developed a conceptual map that we refined with feedback from stakeholders. RESULTS Patients identify many health care experiences as important. Existing health care quality frameworks do not cover them all. Our conceptual map presents a rich array of experiences, including health care relationships (beyond communication) and their implications for people's valued capabilities (e.g. to feel respected, contribute to their care, experience reciprocity). It is organized to reflect our synthesis argument, which links health care delivery to what people are enabled (or not) to feel, be and do. The map highlights the broad implications of the social dynamics of health care delivery. Experiences are labelled from a patient's perspective, rendering the importance of responsiveness to individuals axiomatic. CONCLUSIONS Our conceptual map identifies and helps explain the importance of diverse experiences of health care delivery. It challenges and helps policy-makers, service providers and researchers to attend to the range of experiences that matter, and to take seriously the need for responsiveness to individuals.", "author" : [ { "dropping-particle" : "", "family" : "Entwistle", "given" : "Vikki", "non-dropping-particle" : "", "parse-names" : false, "suffix" : "" }, { "dropping-particle" : "", "family" : "Firnigl", "given" : "Danielle", "non-dropping-particle" : "", "parse-names" : false, "suffix" : "" }, { "dropping-particle" : "", "family" : "Ryan", "given" : "Mandy", "non-dropping-particle" : "", "parse-names" : false, "suffix" : "" }, { "dropping-particle" : "", "family" : "Francis", "given" : "Jillian", "non-dropping-particle" : "", "parse-names" : false, "suffix" : "" }, { "dropping-particle" : "", "family" : "Kinghorn", "given" : "Philip", "non-dropping-particle" : "", "parse-names" : false, "suffix" : "" } ], "container-title" : "Journal of health services research &amp; policy", "id" : "ITEM-2", "issue" : "2", "issued" : { "date-parts" : [ [ "2012", "4" ] ] }, "page" : "70-8", "title" : "Which experiences of health care delivery matter to service users and why? A critical interpretive synthesis and conceptual map.", "type" : "article-journal", "volume" : "17" }, "uris" : [ "http://www.mendeley.com/documents/?uuid=8de95fb5-59a5-35da-aaf2-981b276915be" ] } ], "mendeley" : { "formattedCitation" : "(Dixon-Woods et al., 2006; Entwistle, Firnigl, Ryan, Francis, &amp; Kinghorn, 2012)", "plainTextFormattedCitation" : "(Dixon-Woods et al., 2006; Entwistle, Firnigl, Ryan, Francis, &amp; Kinghorn, 2012)", "previouslyFormattedCitation" : "(Dixon-Woods et al., 2006; Entwistle, Firnigl, Ryan, Francis, &amp; Kinghorn, 2012)" }, "properties" : { "noteIndex" : 0 }, "schema" : "https://github.com/citation-style-language/schema/raw/master/csl-citation.json" }</w:instrText>
      </w:r>
      <w:r w:rsidR="00843865">
        <w:rPr>
          <w:rFonts w:asciiTheme="minorHAnsi" w:hAnsiTheme="minorHAnsi"/>
        </w:rPr>
        <w:fldChar w:fldCharType="separate"/>
      </w:r>
      <w:r w:rsidR="00843865" w:rsidRPr="00843865">
        <w:rPr>
          <w:rFonts w:asciiTheme="minorHAnsi" w:hAnsiTheme="minorHAnsi"/>
          <w:noProof/>
        </w:rPr>
        <w:t>(Dixon-Woods et al., 2006; Entwistle, Firnigl, Ryan, Francis, &amp; Kinghorn, 2012)</w:t>
      </w:r>
      <w:r w:rsidR="00843865">
        <w:rPr>
          <w:rFonts w:asciiTheme="minorHAnsi" w:hAnsiTheme="minorHAnsi"/>
        </w:rPr>
        <w:fldChar w:fldCharType="end"/>
      </w:r>
      <w:r w:rsidR="00843865">
        <w:rPr>
          <w:rFonts w:asciiTheme="minorHAnsi" w:hAnsiTheme="minorHAnsi"/>
        </w:rPr>
        <w:t>.</w:t>
      </w:r>
      <w:r w:rsidR="005D3B08">
        <w:rPr>
          <w:rFonts w:asciiTheme="minorHAnsi" w:hAnsiTheme="minorHAnsi"/>
        </w:rPr>
        <w:t xml:space="preserve"> </w:t>
      </w:r>
    </w:p>
    <w:p w14:paraId="33FA48CD" w14:textId="77777777" w:rsidR="009825AE" w:rsidRPr="004E0DE8" w:rsidRDefault="00DF6912" w:rsidP="0013324E">
      <w:pPr>
        <w:widowControl w:val="0"/>
        <w:autoSpaceDE w:val="0"/>
        <w:autoSpaceDN w:val="0"/>
        <w:adjustRightInd w:val="0"/>
        <w:ind w:firstLine="720"/>
        <w:rPr>
          <w:rFonts w:asciiTheme="minorHAnsi" w:hAnsiTheme="minorHAnsi"/>
        </w:rPr>
      </w:pPr>
      <w:r>
        <w:rPr>
          <w:rFonts w:asciiTheme="minorHAnsi" w:hAnsiTheme="minorHAnsi"/>
        </w:rPr>
        <w:t xml:space="preserve">To date, the CIS approach has been successfully used to generate theory about diverse topics such as: </w:t>
      </w:r>
      <w:r w:rsidR="00BD1BF2">
        <w:rPr>
          <w:rFonts w:asciiTheme="minorHAnsi" w:hAnsiTheme="minorHAnsi"/>
        </w:rPr>
        <w:t>what influence</w:t>
      </w:r>
      <w:r w:rsidR="00D74A24">
        <w:rPr>
          <w:rFonts w:asciiTheme="minorHAnsi" w:hAnsiTheme="minorHAnsi"/>
        </w:rPr>
        <w:t>s</w:t>
      </w:r>
      <w:r w:rsidR="00BD1BF2">
        <w:rPr>
          <w:rFonts w:asciiTheme="minorHAnsi" w:hAnsiTheme="minorHAnsi"/>
        </w:rPr>
        <w:t xml:space="preserve"> the use of </w:t>
      </w:r>
      <w:r w:rsidR="00BF22CE">
        <w:rPr>
          <w:rFonts w:asciiTheme="minorHAnsi" w:hAnsiTheme="minorHAnsi"/>
        </w:rPr>
        <w:t xml:space="preserve">knowledge translation tools and approaches (e.g. </w:t>
      </w:r>
      <w:r w:rsidR="00D817E1">
        <w:rPr>
          <w:rFonts w:asciiTheme="minorHAnsi" w:hAnsiTheme="minorHAnsi"/>
        </w:rPr>
        <w:fldChar w:fldCharType="begin" w:fldLock="1"/>
      </w:r>
      <w:r w:rsidR="00D817E1">
        <w:rPr>
          <w:rFonts w:asciiTheme="minorHAnsi" w:hAnsiTheme="minorHAnsi"/>
        </w:rPr>
        <w:instrText>ADDIN CSL_CITATION { "citationItems" : [ { "id" : "ITEM-1", "itemData" : { "abstract" : "CONTEXT: Evidence briefs have emerged as a promising approach to synthesizing the best available research evidence for health system policymakers and stakeholders. An evidence brief may draw on systematic reviews and many other types of policy-relevant information, including local data and studies, to describe a problem, options for addressing it, and key implementation considerations. We conducted a systematic review to examine the ways in which context- and issue-related factors influence the perceived usefulness of evidence briefs among their intended users.\\n\\nMETHODS: We used a critical interpretive synthesis approach to review both empirical and nonempirical literature and to develop a model that explains how context and issues influence policymakers' and stakeholders' views of the utility of evidence briefs prepared for priority policy issues. We used a \"compass\" question to create a detailed search strategy and conducted electronic searches in CINAHL, EMBASE, HealthSTAR, IPSA, MEDLINE, OAIster (gray literature), ProQuest A&amp;I Theses, ProQuest (Sociological Abstracts, Applied Social Sciences Index and Abstracts, Worldwide Political Science Abstracts, International Bibliography of Social Sciences, PAIS, Political Science), PsychInfo, Web of Science, and WilsonWeb (Social Science Abstracts). Finally, we used a grounded and interpretive analytic approach to synthesize the results.\\n\\nFINDINGS: Of the 4,461 papers retrieved, 3,908 were excluded and 553 were assessed for \"relevance,\" with 137 included in the initial sample of papers to be analyzed and an additional 23 purposively sampled to fill conceptual gaps. Several themes emerged: (1) many established types of \"evidence\" are viewed as useful content in an evidence brief, along with several promising formatting features; (2) contextual factors, particularly the institutions, interests, and values of a given context, can influence views of evidence briefs; (3) whether an issue is polarizing and whether it is salient (or not) and familiar (or not) to actors in the policy arena can influence views of evidence briefs prepared for that issue; (4) influential factors can emerge in several ways (as context driven, issue driven, or a result of issue-context resonance); (5) these factors work through two primary pathways, affecting either the users or the producers of briefs; and (6) these factors influence views of evidence briefs through a variety of mechanisms.\\n\\nCONCLUSIONS: Those persons funding and p\u2026", "author" : [ { "dropping-particle" : "", "family" : "Moat", "given" : "Kaelan a.", "non-dropping-particle" : "", "parse-names" : false, "suffix" : "" }, { "dropping-particle" : "", "family" : "Lavis", "given" : "John N.", "non-dropping-particle" : "", "parse-names" : false, "suffix" : "" }, { "dropping-particle" : "", "family" : "Abelson", "given" : "Julia", "non-dropping-particle" : "", "parse-names" : false, "suffix" : "" } ], "container-title" : "Milbank Quarterly", "id" : "ITEM-1", "issue" : "3", "issued" : { "date-parts" : [ [ "2013" ] ] }, "page" : "604-648", "title" : "How contexts and issues influence the use of policy-relevant research syntheses: A critical interpretive synthesis", "type" : "article-journal", "volume" : "91" }, "uris" : [ "http://www.mendeley.com/documents/?uuid=d115bbd4-bfa6-417f-bf8f-7f0e3b44849e" ] }, { "id" : "ITEM-2", "itemData" : { "DOI" : "10.1016/j.socscimed.2012.06.016", "ISSN" : "1873-5347", "PMID" : "22938912", "abstract" : "Models that describe the key features and intended effects of specific knowledge translation and exchange (KTE) interventions are much less prominent than models that provide a more general understanding of KTE. Our aim was to develop a model in order to describe the key features and intended effects of deliberative dialogues used as a KTE strategy and to understand how deliberative dialogues can support evidence-informed policymaking. By using critical interpretive synthesis, we identified 17 papers representing four fields of enquiry and integrated our findings into a model. The key features described in the model are: 1) an appropriate (i.e., conducive to the particular dialogue) meeting environment; 2) an appropriate mix of participants; and, 3) an appropriate use of research evidence. These features combine to create three types of intended effects: 1) short-term individual-level; 3) medium-term community/organizational-level; and, 3) long-term system-level. The concept of capacity building helps to explain the relationship between features and effects. The model is a useful contribution to the KTE field because it is a practical tool that could be used to guide the development and evaluation of deliberative dialogues in order to understand more about achieving particular outcomes in relation to specific issues or contexts. ?? 2012 Elsevier Ltd.", "author" : [ { "dropping-particle" : "", "family" : "Boyko", "given" : "Jennifer a.", "non-dropping-particle" : "", "parse-names" : false, "suffix" : "" }, { "dropping-particle" : "", "family" : "Lavis", "given" : "John N.", "non-dropping-particle" : "", "parse-names" : false, "suffix" : "" }, { "dropping-particle" : "", "family" : "Abelson", "given" : "Julia", "non-dropping-particle" : "", "parse-names" : false, "suffix" : "" }, { "dropping-particle" : "", "family" : "Dobbins", "given" : "Maureen", "non-dropping-particle" : "", "parse-names" : false, "suffix" : "" }, { "dropping-particle" : "", "family" : "Carter", "given" : "Nancy", "non-dropping-particle" : "", "parse-names" : false, "suffix" : "" } ], "container-title" : "Social Science and Medicine", "id" : "ITEM-2", "issue" : "11", "issued" : { "date-parts" : [ [ "2012", "12" ] ] }, "page" : "1938-1945", "publisher" : "Elsevier Ltd", "title" : "Deliberative dialogues as a mechanism for knowledge translation and exchange in health systems decision-making", "type" : "article-journal", "volume" : "75" }, "uris" : [ "http://www.mendeley.com/documents/?uuid=bb93ff38-21c6-4b4d-bc63-b867a157968e" ] } ], "mendeley" : { "formattedCitation" : "(Boyko, Lavis, Abelson, Dobbins, &amp; Carter, 2012; Moat, Lavis, &amp; Abelson, 2013)", "plainTextFormattedCitation" : "(Boyko, Lavis, Abelson, Dobbins, &amp; Carter, 2012; Moat, Lavis, &amp; Abelson, 2013)", "previouslyFormattedCitation" : "(Boyko, Lavis, Abelson, Dobbins, &amp; Carter, 2012; Moat, Lavis, &amp; Abelson, 2013)" }, "properties" : { "noteIndex" : 0 }, "schema" : "https://github.com/citation-style-language/schema/raw/master/csl-citation.json" }</w:instrText>
      </w:r>
      <w:r w:rsidR="00D817E1">
        <w:rPr>
          <w:rFonts w:asciiTheme="minorHAnsi" w:hAnsiTheme="minorHAnsi"/>
        </w:rPr>
        <w:fldChar w:fldCharType="separate"/>
      </w:r>
      <w:r w:rsidR="00D817E1" w:rsidRPr="00D817E1">
        <w:rPr>
          <w:rFonts w:asciiTheme="minorHAnsi" w:hAnsiTheme="minorHAnsi"/>
          <w:noProof/>
        </w:rPr>
        <w:t>(Boyko, Lavis, Abelson, Dobbins, &amp; Carter, 2012; Moat, Lavis, &amp; Abelson, 2013)</w:t>
      </w:r>
      <w:r w:rsidR="00D817E1">
        <w:rPr>
          <w:rFonts w:asciiTheme="minorHAnsi" w:hAnsiTheme="minorHAnsi"/>
        </w:rPr>
        <w:fldChar w:fldCharType="end"/>
      </w:r>
      <w:r w:rsidR="00BF22CE">
        <w:rPr>
          <w:rFonts w:asciiTheme="minorHAnsi" w:hAnsiTheme="minorHAnsi"/>
        </w:rPr>
        <w:t xml:space="preserve">, the design of e-health interventions  </w:t>
      </w:r>
      <w:r w:rsidR="00D817E1">
        <w:rPr>
          <w:rFonts w:asciiTheme="minorHAnsi" w:hAnsiTheme="minorHAnsi"/>
        </w:rPr>
        <w:fldChar w:fldCharType="begin" w:fldLock="1"/>
      </w:r>
      <w:r w:rsidR="00D817E1">
        <w:rPr>
          <w:rFonts w:asciiTheme="minorHAnsi" w:hAnsiTheme="minorHAnsi"/>
        </w:rPr>
        <w:instrText>ADDIN CSL_CITATION { "citationItems" : [ { "id" : "ITEM-1", "itemData" : { "DOI" : "10.1089/tmj.2011.0062", "ISSN" : "1556-3669", "PMID" : "22381060", "abstract" : "The effectiveness of e-health interventions varies greatly. Despite this, there has been relatively little formal consideration of how differences in the design of an intervention (i.e., how the content is delivered) may explain why some interventions are more effective than others. This review primarily examines the use of the Internet to provide educational and self-management interventions to promote health. The article develops hypotheses about how the design of these interventions may be associated with outcomes. In total, 52 published reports from both a diversity sample and a representative sample were reviewed using techniques from Critical Interpretive Synthesis. Four core interactive design features were identified that may mediate the effects of intervention design on outcomes: Social context and support, contacts with intervention, tailoring, and self-management. A conceptual framework to summarize the design of e-health interventions delivered using the Internet is proposed. The framework provides a guide for systematic research to identify the effects of specific design features on intervention outcomes and to identify the mechanisms underlying any effects. To optimize the design of e-health interventions more work is needed to understand how and why these design features may affect intervention outcomes and to investigate the optimal implementation and dosage of each design feature.", "author" : [ { "dropping-particle" : "", "family" : "Morrison", "given" : "Leanne G", "non-dropping-particle" : "", "parse-names" : false, "suffix" : "" }, { "dropping-particle" : "", "family" : "Yardley", "given" : "Lucy", "non-dropping-particle" : "", "parse-names" : false, "suffix" : "" }, { "dropping-particle" : "", "family" : "Powell", "given" : "John", "non-dropping-particle" : "", "parse-names" : false, "suffix" : "" }, { "dropping-particle" : "", "family" : "Michie", "given" : "Susan", "non-dropping-particle" : "", "parse-names" : false, "suffix" : "" } ], "container-title" : "Telemedicine journal and e-health : the official journal of the American Telemedicine Association", "id" : "ITEM-1", "issue" : "2", "issued" : { "date-parts" : [ [ "2012", "3" ] ] }, "page" : "137-44", "title" : "What design features are used in effective e-health interventions? A review using techniques from Critical Interpretive Synthesis.", "type" : "article-journal", "volume" : "18" }, "uris" : [ "http://www.mendeley.com/documents/?uuid=962d04ff-5e04-3e99-ae49-216ac14841b5" ] } ], "mendeley" : { "formattedCitation" : "(Morrison, Yardley, Powell, &amp; Michie, 2012)", "plainTextFormattedCitation" : "(Morrison, Yardley, Powell, &amp; Michie, 2012)", "previouslyFormattedCitation" : "(Morrison, Yardley, Powell, &amp; Michie, 2012)" }, "properties" : { "noteIndex" : 0 }, "schema" : "https://github.com/citation-style-language/schema/raw/master/csl-citation.json" }</w:instrText>
      </w:r>
      <w:r w:rsidR="00D817E1">
        <w:rPr>
          <w:rFonts w:asciiTheme="minorHAnsi" w:hAnsiTheme="minorHAnsi"/>
        </w:rPr>
        <w:fldChar w:fldCharType="separate"/>
      </w:r>
      <w:r w:rsidR="00D817E1" w:rsidRPr="00D817E1">
        <w:rPr>
          <w:rFonts w:asciiTheme="minorHAnsi" w:hAnsiTheme="minorHAnsi"/>
          <w:noProof/>
        </w:rPr>
        <w:t>(Morrison, Yardley, Powell, &amp; Michie, 2012)</w:t>
      </w:r>
      <w:r w:rsidR="00D817E1">
        <w:rPr>
          <w:rFonts w:asciiTheme="minorHAnsi" w:hAnsiTheme="minorHAnsi"/>
        </w:rPr>
        <w:fldChar w:fldCharType="end"/>
      </w:r>
      <w:r w:rsidR="00BF22CE">
        <w:rPr>
          <w:rFonts w:asciiTheme="minorHAnsi" w:hAnsiTheme="minorHAnsi"/>
        </w:rPr>
        <w:t xml:space="preserve">, cancer pain </w:t>
      </w:r>
      <w:r w:rsidR="00D817E1">
        <w:rPr>
          <w:rFonts w:asciiTheme="minorHAnsi" w:hAnsiTheme="minorHAnsi"/>
        </w:rPr>
        <w:fldChar w:fldCharType="begin" w:fldLock="1"/>
      </w:r>
      <w:r w:rsidR="00F510BF">
        <w:rPr>
          <w:rFonts w:asciiTheme="minorHAnsi" w:hAnsiTheme="minorHAnsi"/>
        </w:rPr>
        <w:instrText>ADDIN CSL_CITATION { "citationItems" : [ { "id" : "ITEM-1", "itemData" : { "DOI" : "10.1111/j.1365-2648.2009.05173.x", "ISSN" : "1365-2648", "PMID" : "20423445", "abstract" : "AIM This paper is a report of a Critical Interpretive Synthesis to synthesize quantitative research, in the form of an effectiveness review and a guideline, with qualitative research to examine the use of morphine to treat cancer-related pain. BACKGROUND Critical Interpretive Synthesis is a new method of reviewing, developed from meta-ethnography, which integrates systematic review methodology with a qualitative tradition of enquiry. It has not previously been used specifically to synthesize effectiveness and qualitative literature. Data sources. An existing systematic review of quantitative research and a guideline examining the effectiveness of oral morphine to treat cancer pain were identified. Electronic searches of Medline, CINAHL, Embase, PsychINFO, Health Management Information Consortium database and the Social Science Citation Index to identify qualitative research were carried out in May 2008. REVIEW METHODS Qualitative research papers reporting on the use of morphine to treat cancer pain were identified. The findings of the effectiveness research were used as a framework to guide the translation of findings from qualitative research using an integrative grid. A secondary translation of findings from the qualitative research, not specifically mapped to the effectiveness literature, was guided by the framework. RESULTS Nineteen qualitative papers were synthesized with the quantitative effectiveness literature, producing 14 synthetic constructs. These were developed into four synthesizing arguments which drew on patients', carers' and healthcare professionals' interpretations of the meaning and context of the use of morphine to treat cancer pain. CONCLUSION Critical Interpretive Synthesis can be adapted to synthesize reviews of quantitative research into effectiveness with qualitative research and fits into an existing typology of approaches to synthesizing qualitative and quantitative research.", "author" : [ { "dropping-particle" : "", "family" : "Flemming", "given" : "Kate", "non-dropping-particle" : "", "parse-names" : false, "suffix" : "" } ], "container-title" : "Journal of advanced nursing", "id" : "ITEM-1", "issue" : "1", "issued" : { "date-parts" : [ [ "2010", "1" ] ] }, "page" : "201-17", "title" : "Synthesis of quantitative and qualitative research: an example using Critical Interpretive Synthesis.", "type" : "article-journal", "volume" : "66" }, "uris" : [ "http://www.mendeley.com/documents/?uuid=553de58c-8dac-383d-94e7-10cec077e580" ] } ], "mendeley" : { "formattedCitation" : "(Flemming, 2010)", "plainTextFormattedCitation" : "(Flemming, 2010)", "previouslyFormattedCitation" : "(Flemming, 2010)" }, "properties" : { "noteIndex" : 0 }, "schema" : "https://github.com/citation-style-language/schema/raw/master/csl-citation.json" }</w:instrText>
      </w:r>
      <w:r w:rsidR="00D817E1">
        <w:rPr>
          <w:rFonts w:asciiTheme="minorHAnsi" w:hAnsiTheme="minorHAnsi"/>
        </w:rPr>
        <w:fldChar w:fldCharType="separate"/>
      </w:r>
      <w:r w:rsidR="00D817E1" w:rsidRPr="00D817E1">
        <w:rPr>
          <w:rFonts w:asciiTheme="minorHAnsi" w:hAnsiTheme="minorHAnsi"/>
          <w:noProof/>
        </w:rPr>
        <w:t>(Flemming, 2010)</w:t>
      </w:r>
      <w:r w:rsidR="00D817E1">
        <w:rPr>
          <w:rFonts w:asciiTheme="minorHAnsi" w:hAnsiTheme="minorHAnsi"/>
        </w:rPr>
        <w:fldChar w:fldCharType="end"/>
      </w:r>
      <w:r w:rsidR="00BF22CE">
        <w:rPr>
          <w:rFonts w:asciiTheme="minorHAnsi" w:hAnsiTheme="minorHAnsi"/>
        </w:rPr>
        <w:t>, service user experiences of the healt</w:t>
      </w:r>
      <w:r w:rsidR="007E183F">
        <w:rPr>
          <w:rFonts w:asciiTheme="minorHAnsi" w:hAnsiTheme="minorHAnsi"/>
        </w:rPr>
        <w:t xml:space="preserve">h system </w:t>
      </w:r>
      <w:r w:rsidR="00F510BF">
        <w:rPr>
          <w:rFonts w:asciiTheme="minorHAnsi" w:hAnsiTheme="minorHAnsi"/>
        </w:rPr>
        <w:fldChar w:fldCharType="begin" w:fldLock="1"/>
      </w:r>
      <w:r w:rsidR="001B2DE6">
        <w:rPr>
          <w:rFonts w:asciiTheme="minorHAnsi" w:hAnsiTheme="minorHAnsi"/>
        </w:rPr>
        <w:instrText>ADDIN CSL_CITATION { "citationItems" : [ { "id" : "ITEM-1", "itemData" : { "DOI" : "10.1258/jhsrp.2011.011029", "ISSN" : "1758-1060", "PMID" : "21967821", "abstract" : "OBJECTIVE Patients' experiences are often treated as health care quality indicators. Our aim was to identify the range of experiences of health care delivery that matter to patients and to produce a conceptual map to facilitate consideration of why they matter. METHODS Broad-based review and critical interpretive synthesis of research literature on patients' perspectives of health care delivery. We recorded experiences reported by a diverse range of patients on 'concept cards', considered why they were important, and explored various ways of organizing them, including internationally recognized health care quality frameworks. We developed a conceptual map that we refined with feedback from stakeholders. RESULTS Patients identify many health care experiences as important. Existing health care quality frameworks do not cover them all. Our conceptual map presents a rich array of experiences, including health care relationships (beyond communication) and their implications for people's valued capabilities (e.g. to feel respected, contribute to their care, experience reciprocity). It is organized to reflect our synthesis argument, which links health care delivery to what people are enabled (or not) to feel, be and do. The map highlights the broad implications of the social dynamics of health care delivery. Experiences are labelled from a patient's perspective, rendering the importance of responsiveness to individuals axiomatic. CONCLUSIONS Our conceptual map identifies and helps explain the importance of diverse experiences of health care delivery. It challenges and helps policy-makers, service providers and researchers to attend to the range of experiences that matter, and to take seriously the need for responsiveness to individuals.", "author" : [ { "dropping-particle" : "", "family" : "Entwistle", "given" : "Vikki", "non-dropping-particle" : "", "parse-names" : false, "suffix" : "" }, { "dropping-particle" : "", "family" : "Firnigl", "given" : "Danielle", "non-dropping-particle" : "", "parse-names" : false, "suffix" : "" }, { "dropping-particle" : "", "family" : "Ryan", "given" : "Mandy", "non-dropping-particle" : "", "parse-names" : false, "suffix" : "" }, { "dropping-particle" : "", "family" : "Francis", "given" : "Jillian", "non-dropping-particle" : "", "parse-names" : false, "suffix" : "" }, { "dropping-particle" : "", "family" : "Kinghorn", "given" : "Philip", "non-dropping-particle" : "", "parse-names" : false, "suffix" : "" } ], "container-title" : "Journal of health services research &amp; policy", "id" : "ITEM-1", "issue" : "2", "issued" : { "date-parts" : [ [ "2012", "4" ] ] }, "page" : "70-8", "title" : "Which experiences of health care delivery matter to service users and why? A critical interpretive synthesis and conceptual map.", "type" : "article-journal", "volume" : "17" }, "uris" : [ "http://www.mendeley.com/documents/?uuid=8de95fb5-59a5-35da-aaf2-981b276915be" ] } ], "mendeley" : { "formattedCitation" : "(Entwistle et al., 2012)", "plainTextFormattedCitation" : "(Entwistle et al., 2012)", "previouslyFormattedCitation" : "(Entwistle et al., 2012)" }, "properties" : { "noteIndex" : 0 }, "schema" : "https://github.com/citation-style-language/schema/raw/master/csl-citation.json" }</w:instrText>
      </w:r>
      <w:r w:rsidR="00F510BF">
        <w:rPr>
          <w:rFonts w:asciiTheme="minorHAnsi" w:hAnsiTheme="minorHAnsi"/>
        </w:rPr>
        <w:fldChar w:fldCharType="separate"/>
      </w:r>
      <w:r w:rsidR="00F510BF" w:rsidRPr="00F510BF">
        <w:rPr>
          <w:rFonts w:asciiTheme="minorHAnsi" w:hAnsiTheme="minorHAnsi"/>
          <w:noProof/>
        </w:rPr>
        <w:t>(Entwistle et al., 2012)</w:t>
      </w:r>
      <w:r w:rsidR="00F510BF">
        <w:rPr>
          <w:rFonts w:asciiTheme="minorHAnsi" w:hAnsiTheme="minorHAnsi"/>
        </w:rPr>
        <w:fldChar w:fldCharType="end"/>
      </w:r>
      <w:r w:rsidR="007E183F">
        <w:rPr>
          <w:rFonts w:asciiTheme="minorHAnsi" w:hAnsiTheme="minorHAnsi"/>
        </w:rPr>
        <w:t xml:space="preserve">, continuity of care </w:t>
      </w:r>
      <w:r w:rsidR="001B2DE6">
        <w:rPr>
          <w:rFonts w:asciiTheme="minorHAnsi" w:hAnsiTheme="minorHAnsi"/>
        </w:rPr>
        <w:fldChar w:fldCharType="begin" w:fldLock="1"/>
      </w:r>
      <w:r w:rsidR="0013200E">
        <w:rPr>
          <w:rFonts w:asciiTheme="minorHAnsi" w:hAnsiTheme="minorHAnsi"/>
        </w:rPr>
        <w:instrText>ADDIN CSL_CITATION { "citationItems" : [ { "id" : "ITEM-1", "itemData" : { "ISSN" : "1568-4156", "PMID" : "22977421", "abstract" : "INTRODUCTION A Continuity of Care Research Programme was undertaken in England in 2000-9. The Programme was informed by a conceptual framework proposed by Freeman and colleagues in an earlier scoping study. At the end of the Programme, a conceptual synthesis was carried out in order to confirm or refine the 'Freeman model' of continuity of care. METHODS A conceptual synthesis of the outputs of the Programme, using Critical Interpretive Synthesis. RESULTS The conceptual framework underpinning the Freeman model of continuity of care, which prioritises the perspectives of service users and carers, was variously utilised in the Programme. Analysis revealed indications of an emerging shift from the patient and carer 'perspectivist' paradigm of the Freeman model towards a new 'partnership' paradigm where continuity is recognised to be co-constructed by patients, families and professionals, all of whom have an active part to play in its accomplishment. CONCLUSIONS The projects in the Programme have advanced understanding of patients' perspectives on continuity of care and on the complex nature of this concept. At the same time, they have raised issues and reported findings which may be indicative of an emergent paradigm shift in this area of research, towards a more dynamic partnership model.", "author" : [ { "dropping-particle" : "", "family" : "Heaton", "given" : "Janet", "non-dropping-particle" : "", "parse-names" : false, "suffix" : "" }, { "dropping-particle" : "", "family" : "Corden", "given" : "Anne", "non-dropping-particle" : "", "parse-names" : false, "suffix" : "" }, { "dropping-particle" : "", "family" : "Parker", "given" : "Gillian", "non-dropping-particle" : "", "parse-names" : false, "suffix" : "" } ], "container-title" : "International journal of integrated care", "id" : "ITEM-1", "issued" : { "date-parts" : [ [ "2012" ] ] }, "page" : "e12", "title" : "'Continuity of care': a critical interpretive synthesis of how the concept was elaborated by a national research programme.", "type" : "article-journal", "volume" : "12" }, "uris" : [ "http://www.mendeley.com/documents/?uuid=158a9705-79b3-3a29-ad9c-ff305d6e8343" ] } ], "mendeley" : { "formattedCitation" : "(Heaton, Corden, &amp; Parker, 2012)", "plainTextFormattedCitation" : "(Heaton, Corden, &amp; Parker, 2012)", "previouslyFormattedCitation" : "(Heaton, Corden, &amp; Parker, 2012)" }, "properties" : { "noteIndex" : 0 }, "schema" : "https://github.com/citation-style-language/schema/raw/master/csl-citation.json" }</w:instrText>
      </w:r>
      <w:r w:rsidR="001B2DE6">
        <w:rPr>
          <w:rFonts w:asciiTheme="minorHAnsi" w:hAnsiTheme="minorHAnsi"/>
        </w:rPr>
        <w:fldChar w:fldCharType="separate"/>
      </w:r>
      <w:r w:rsidR="001B2DE6" w:rsidRPr="001B2DE6">
        <w:rPr>
          <w:rFonts w:asciiTheme="minorHAnsi" w:hAnsiTheme="minorHAnsi"/>
          <w:noProof/>
        </w:rPr>
        <w:t>(Heaton, Corden, &amp; Parker, 2012)</w:t>
      </w:r>
      <w:r w:rsidR="001B2DE6">
        <w:rPr>
          <w:rFonts w:asciiTheme="minorHAnsi" w:hAnsiTheme="minorHAnsi"/>
        </w:rPr>
        <w:fldChar w:fldCharType="end"/>
      </w:r>
      <w:r w:rsidR="002E2E63">
        <w:rPr>
          <w:rFonts w:asciiTheme="minorHAnsi" w:hAnsiTheme="minorHAnsi"/>
        </w:rPr>
        <w:t xml:space="preserve"> </w:t>
      </w:r>
      <w:r w:rsidR="00544332">
        <w:rPr>
          <w:rFonts w:asciiTheme="minorHAnsi" w:hAnsiTheme="minorHAnsi"/>
        </w:rPr>
        <w:t xml:space="preserve">among many others. </w:t>
      </w:r>
      <w:r w:rsidR="00E85D91">
        <w:rPr>
          <w:rFonts w:asciiTheme="minorHAnsi" w:hAnsiTheme="minorHAnsi"/>
        </w:rPr>
        <w:t>This is suitable for our goal of developing a conceptual framework that better integrates findings from diverse fields</w:t>
      </w:r>
      <w:r w:rsidR="00BD1BF2">
        <w:rPr>
          <w:rFonts w:asciiTheme="minorHAnsi" w:hAnsiTheme="minorHAnsi"/>
        </w:rPr>
        <w:t xml:space="preserve"> and </w:t>
      </w:r>
      <w:r w:rsidR="004E0DE8">
        <w:rPr>
          <w:rFonts w:asciiTheme="minorHAnsi" w:hAnsiTheme="minorHAnsi"/>
        </w:rPr>
        <w:t>affords the opportunity</w:t>
      </w:r>
      <w:r w:rsidR="00BD1BF2">
        <w:rPr>
          <w:rFonts w:asciiTheme="minorHAnsi" w:hAnsiTheme="minorHAnsi"/>
        </w:rPr>
        <w:t xml:space="preserve"> to crit</w:t>
      </w:r>
      <w:r w:rsidR="004E0DE8">
        <w:rPr>
          <w:rFonts w:asciiTheme="minorHAnsi" w:hAnsiTheme="minorHAnsi"/>
        </w:rPr>
        <w:t>ically inspect both individual studies and the literature</w:t>
      </w:r>
      <w:r w:rsidR="00BD1BF2">
        <w:rPr>
          <w:rFonts w:asciiTheme="minorHAnsi" w:hAnsiTheme="minorHAnsi"/>
        </w:rPr>
        <w:t xml:space="preserve"> </w:t>
      </w:r>
      <w:r w:rsidR="004E0DE8">
        <w:rPr>
          <w:rFonts w:asciiTheme="minorHAnsi" w:hAnsiTheme="minorHAnsi"/>
        </w:rPr>
        <w:t xml:space="preserve">from each field </w:t>
      </w:r>
      <w:r w:rsidR="00BD1BF2">
        <w:rPr>
          <w:rFonts w:asciiTheme="minorHAnsi" w:hAnsiTheme="minorHAnsi"/>
        </w:rPr>
        <w:t xml:space="preserve">as a whole </w:t>
      </w:r>
      <w:r w:rsidR="004E0DE8">
        <w:rPr>
          <w:rFonts w:asciiTheme="minorHAnsi" w:hAnsiTheme="minorHAnsi"/>
        </w:rPr>
        <w:t>in terms of the nature of the assumptions underlying each field, and what has influenced their proposed solutions</w:t>
      </w:r>
      <w:r w:rsidR="005D3B08">
        <w:rPr>
          <w:rFonts w:asciiTheme="minorHAnsi" w:hAnsiTheme="minorHAnsi"/>
        </w:rPr>
        <w:t xml:space="preserve"> </w:t>
      </w:r>
      <w:r w:rsidR="004E0DE8">
        <w:rPr>
          <w:rFonts w:asciiTheme="minorHAnsi" w:hAnsiTheme="minorHAnsi"/>
        </w:rPr>
        <w:t>(Dixon-Woods et al 2006).</w:t>
      </w:r>
    </w:p>
    <w:p w14:paraId="23C7A110" w14:textId="77777777" w:rsidR="00B51C65" w:rsidRPr="002F299F" w:rsidRDefault="00B51C65" w:rsidP="008E1AFC">
      <w:pPr>
        <w:pStyle w:val="ListParagraph"/>
        <w:ind w:left="360"/>
        <w:rPr>
          <w:rFonts w:asciiTheme="minorHAnsi" w:hAnsiTheme="minorHAnsi"/>
        </w:rPr>
      </w:pPr>
    </w:p>
    <w:p w14:paraId="67DC5F32" w14:textId="77777777" w:rsidR="0092354C" w:rsidRDefault="0092354C">
      <w:pPr>
        <w:rPr>
          <w:rFonts w:asciiTheme="minorHAnsi" w:hAnsiTheme="minorHAnsi"/>
          <w:i/>
        </w:rPr>
      </w:pPr>
    </w:p>
    <w:p w14:paraId="0C3D00D8" w14:textId="77777777" w:rsidR="0092354C" w:rsidRDefault="0092354C">
      <w:pPr>
        <w:rPr>
          <w:rFonts w:asciiTheme="minorHAnsi" w:hAnsiTheme="minorHAnsi"/>
          <w:i/>
        </w:rPr>
      </w:pPr>
    </w:p>
    <w:p w14:paraId="3C7AAC51" w14:textId="77777777" w:rsidR="009825AE" w:rsidRDefault="009825AE">
      <w:pPr>
        <w:rPr>
          <w:rFonts w:asciiTheme="minorHAnsi" w:hAnsiTheme="minorHAnsi"/>
          <w:i/>
        </w:rPr>
      </w:pPr>
      <w:r>
        <w:rPr>
          <w:rFonts w:asciiTheme="minorHAnsi" w:hAnsiTheme="minorHAnsi"/>
          <w:i/>
        </w:rPr>
        <w:t>Review scope</w:t>
      </w:r>
    </w:p>
    <w:p w14:paraId="49318088" w14:textId="77777777" w:rsidR="00EC0F88" w:rsidRDefault="008E1AFC" w:rsidP="00F35872">
      <w:pPr>
        <w:rPr>
          <w:rFonts w:asciiTheme="minorHAnsi" w:hAnsiTheme="minorHAnsi"/>
        </w:rPr>
      </w:pPr>
      <w:r>
        <w:rPr>
          <w:rFonts w:asciiTheme="minorHAnsi" w:hAnsiTheme="minorHAnsi"/>
        </w:rPr>
        <w:t xml:space="preserve">Our review will cast a very broad net in terms of implementation processes and theories. While </w:t>
      </w:r>
      <w:r w:rsidR="00492857">
        <w:rPr>
          <w:rFonts w:asciiTheme="minorHAnsi" w:hAnsiTheme="minorHAnsi"/>
        </w:rPr>
        <w:t>our</w:t>
      </w:r>
      <w:r>
        <w:rPr>
          <w:rFonts w:asciiTheme="minorHAnsi" w:hAnsiTheme="minorHAnsi"/>
        </w:rPr>
        <w:t xml:space="preserve"> main focus is on large-scale implementation efforts in h</w:t>
      </w:r>
      <w:r w:rsidR="009825AE" w:rsidRPr="008E1AFC">
        <w:rPr>
          <w:rFonts w:asciiTheme="minorHAnsi" w:hAnsiTheme="minorHAnsi"/>
        </w:rPr>
        <w:t xml:space="preserve">ealth, </w:t>
      </w:r>
      <w:proofErr w:type="spellStart"/>
      <w:r w:rsidR="009825AE" w:rsidRPr="008E1AFC">
        <w:rPr>
          <w:rFonts w:asciiTheme="minorHAnsi" w:hAnsiTheme="minorHAnsi"/>
        </w:rPr>
        <w:t>behavio</w:t>
      </w:r>
      <w:r w:rsidR="00F35872">
        <w:rPr>
          <w:rFonts w:asciiTheme="minorHAnsi" w:hAnsiTheme="minorHAnsi"/>
        </w:rPr>
        <w:t>ural</w:t>
      </w:r>
      <w:proofErr w:type="spellEnd"/>
      <w:r w:rsidR="00F35872">
        <w:rPr>
          <w:rFonts w:asciiTheme="minorHAnsi" w:hAnsiTheme="minorHAnsi"/>
        </w:rPr>
        <w:t xml:space="preserve"> health and human services</w:t>
      </w:r>
      <w:r w:rsidR="00D46305">
        <w:rPr>
          <w:rFonts w:asciiTheme="minorHAnsi" w:hAnsiTheme="minorHAnsi"/>
        </w:rPr>
        <w:t xml:space="preserve"> areas that is </w:t>
      </w:r>
      <w:r w:rsidR="00F35872">
        <w:rPr>
          <w:rFonts w:asciiTheme="minorHAnsi" w:hAnsiTheme="minorHAnsi"/>
        </w:rPr>
        <w:t xml:space="preserve">not specific to a particular </w:t>
      </w:r>
      <w:r w:rsidR="00D46305">
        <w:rPr>
          <w:rFonts w:asciiTheme="minorHAnsi" w:hAnsiTheme="minorHAnsi"/>
        </w:rPr>
        <w:t>condition</w:t>
      </w:r>
      <w:r>
        <w:rPr>
          <w:rFonts w:asciiTheme="minorHAnsi" w:hAnsiTheme="minorHAnsi"/>
        </w:rPr>
        <w:t>, we will also draw from other large-scale implementation theories and empirical work, such as from the field of environmental science that may yield important insight</w:t>
      </w:r>
      <w:r w:rsidR="00F35872">
        <w:rPr>
          <w:rFonts w:asciiTheme="minorHAnsi" w:hAnsiTheme="minorHAnsi"/>
        </w:rPr>
        <w:t>s toward a more integrated framework of implementation.</w:t>
      </w:r>
      <w:r>
        <w:rPr>
          <w:rFonts w:asciiTheme="minorHAnsi" w:hAnsiTheme="minorHAnsi"/>
        </w:rPr>
        <w:t xml:space="preserve"> We will draw from </w:t>
      </w:r>
      <w:r w:rsidR="00F35872">
        <w:rPr>
          <w:rFonts w:asciiTheme="minorHAnsi" w:hAnsiTheme="minorHAnsi"/>
        </w:rPr>
        <w:t>three</w:t>
      </w:r>
      <w:r>
        <w:rPr>
          <w:rFonts w:asciiTheme="minorHAnsi" w:hAnsiTheme="minorHAnsi"/>
        </w:rPr>
        <w:t xml:space="preserve"> key sources of literature</w:t>
      </w:r>
      <w:r w:rsidR="00D46305">
        <w:rPr>
          <w:rFonts w:asciiTheme="minorHAnsi" w:hAnsiTheme="minorHAnsi"/>
        </w:rPr>
        <w:t>:</w:t>
      </w:r>
      <w:r>
        <w:rPr>
          <w:rFonts w:asciiTheme="minorHAnsi" w:hAnsiTheme="minorHAnsi"/>
        </w:rPr>
        <w:t xml:space="preserve"> (1) </w:t>
      </w:r>
      <w:r w:rsidR="008B3CE6">
        <w:rPr>
          <w:rFonts w:asciiTheme="minorHAnsi" w:hAnsiTheme="minorHAnsi"/>
        </w:rPr>
        <w:t>e</w:t>
      </w:r>
      <w:r w:rsidR="009825AE">
        <w:rPr>
          <w:rFonts w:asciiTheme="minorHAnsi" w:hAnsiTheme="minorHAnsi"/>
        </w:rPr>
        <w:t>xisting models, theories and frameworks (political science, policy and public management and implementation/KT literature)</w:t>
      </w:r>
      <w:r w:rsidR="008B3CE6">
        <w:rPr>
          <w:rFonts w:asciiTheme="minorHAnsi" w:hAnsiTheme="minorHAnsi"/>
        </w:rPr>
        <w:t>; (2) e</w:t>
      </w:r>
      <w:r>
        <w:rPr>
          <w:rFonts w:asciiTheme="minorHAnsi" w:hAnsiTheme="minorHAnsi"/>
        </w:rPr>
        <w:t xml:space="preserve">mpirical </w:t>
      </w:r>
      <w:r w:rsidR="00F35872">
        <w:rPr>
          <w:rFonts w:asciiTheme="minorHAnsi" w:hAnsiTheme="minorHAnsi"/>
        </w:rPr>
        <w:t>studies</w:t>
      </w:r>
      <w:r>
        <w:rPr>
          <w:rFonts w:asciiTheme="minorHAnsi" w:hAnsiTheme="minorHAnsi"/>
        </w:rPr>
        <w:t xml:space="preserve"> that report on specific implementation processes </w:t>
      </w:r>
      <w:r w:rsidR="00F35872">
        <w:rPr>
          <w:rFonts w:asciiTheme="minorHAnsi" w:hAnsiTheme="minorHAnsi"/>
        </w:rPr>
        <w:t>across systems from those literature so</w:t>
      </w:r>
      <w:r w:rsidR="008B3CE6">
        <w:rPr>
          <w:rFonts w:asciiTheme="minorHAnsi" w:hAnsiTheme="minorHAnsi"/>
        </w:rPr>
        <w:t>urces mentions above; and (3) p</w:t>
      </w:r>
      <w:r w:rsidR="00F35872">
        <w:rPr>
          <w:rFonts w:asciiTheme="minorHAnsi" w:hAnsiTheme="minorHAnsi"/>
        </w:rPr>
        <w:t xml:space="preserve">olicy documents and other grey literature that describe large-scale implementation efforts. </w:t>
      </w:r>
    </w:p>
    <w:p w14:paraId="0B1CCAD5" w14:textId="77777777" w:rsidR="00C32EC8" w:rsidRDefault="00492857" w:rsidP="0013324E">
      <w:pPr>
        <w:ind w:firstLine="720"/>
        <w:rPr>
          <w:rFonts w:asciiTheme="minorHAnsi" w:hAnsiTheme="minorHAnsi"/>
        </w:rPr>
      </w:pPr>
      <w:r>
        <w:rPr>
          <w:rFonts w:asciiTheme="minorHAnsi" w:hAnsiTheme="minorHAnsi"/>
        </w:rPr>
        <w:t xml:space="preserve">Given our interest in implementation processes from a policy lens, we will limit our review to implementation models, theories, frameworks and empirical reports that describe implementation efforts at a community or systems level (for example, city, province/state or country) where policy considerations are most likely to be an important factor. Implementation of a single evidence-based practice </w:t>
      </w:r>
      <w:r w:rsidR="008B3CE6">
        <w:rPr>
          <w:rFonts w:asciiTheme="minorHAnsi" w:hAnsiTheme="minorHAnsi"/>
        </w:rPr>
        <w:t xml:space="preserve">(unless across a large scale) </w:t>
      </w:r>
      <w:r>
        <w:rPr>
          <w:rFonts w:asciiTheme="minorHAnsi" w:hAnsiTheme="minorHAnsi"/>
        </w:rPr>
        <w:t>or implementation in a single organization or program will be excluded</w:t>
      </w:r>
      <w:r w:rsidR="00D46305">
        <w:rPr>
          <w:rFonts w:asciiTheme="minorHAnsi" w:hAnsiTheme="minorHAnsi"/>
        </w:rPr>
        <w:t xml:space="preserve">. </w:t>
      </w:r>
      <w:r w:rsidR="00CC3D2D">
        <w:rPr>
          <w:rFonts w:asciiTheme="minorHAnsi" w:hAnsiTheme="minorHAnsi"/>
        </w:rPr>
        <w:t xml:space="preserve">We will also exclude research that focuses on the individual behavior change level. </w:t>
      </w:r>
      <w:r w:rsidR="004451A8">
        <w:rPr>
          <w:rFonts w:asciiTheme="minorHAnsi" w:hAnsiTheme="minorHAnsi"/>
        </w:rPr>
        <w:t>Additionally, w</w:t>
      </w:r>
      <w:r w:rsidR="00D46305">
        <w:rPr>
          <w:rFonts w:asciiTheme="minorHAnsi" w:hAnsiTheme="minorHAnsi"/>
        </w:rPr>
        <w:t xml:space="preserve">e will exclude theories or studies that focus on other parts of the policy process (agenda setting, policy </w:t>
      </w:r>
      <w:r w:rsidR="008B3CE6">
        <w:rPr>
          <w:rFonts w:asciiTheme="minorHAnsi" w:hAnsiTheme="minorHAnsi"/>
        </w:rPr>
        <w:t>formulation</w:t>
      </w:r>
      <w:r w:rsidR="00D46305">
        <w:rPr>
          <w:rFonts w:asciiTheme="minorHAnsi" w:hAnsiTheme="minorHAnsi"/>
        </w:rPr>
        <w:t>, and evaluation)</w:t>
      </w:r>
      <w:r w:rsidR="008B3CE6">
        <w:rPr>
          <w:rFonts w:asciiTheme="minorHAnsi" w:hAnsiTheme="minorHAnsi"/>
        </w:rPr>
        <w:t>.</w:t>
      </w:r>
    </w:p>
    <w:p w14:paraId="6A9E16A8" w14:textId="77777777" w:rsidR="00492857" w:rsidRPr="009825AE" w:rsidRDefault="00492857" w:rsidP="00F35872">
      <w:pPr>
        <w:rPr>
          <w:rFonts w:asciiTheme="minorHAnsi" w:hAnsiTheme="minorHAnsi"/>
        </w:rPr>
      </w:pPr>
    </w:p>
    <w:p w14:paraId="4DD81D99" w14:textId="77777777" w:rsidR="009825AE" w:rsidRDefault="00824E45">
      <w:pPr>
        <w:rPr>
          <w:rFonts w:asciiTheme="minorHAnsi" w:hAnsiTheme="minorHAnsi"/>
          <w:i/>
        </w:rPr>
      </w:pPr>
      <w:r>
        <w:rPr>
          <w:rFonts w:asciiTheme="minorHAnsi" w:hAnsiTheme="minorHAnsi"/>
          <w:i/>
        </w:rPr>
        <w:t>R</w:t>
      </w:r>
      <w:r w:rsidR="009C4A94">
        <w:rPr>
          <w:rFonts w:asciiTheme="minorHAnsi" w:hAnsiTheme="minorHAnsi"/>
          <w:i/>
        </w:rPr>
        <w:t>eview s</w:t>
      </w:r>
      <w:r>
        <w:rPr>
          <w:rFonts w:asciiTheme="minorHAnsi" w:hAnsiTheme="minorHAnsi"/>
          <w:i/>
        </w:rPr>
        <w:t>ources</w:t>
      </w:r>
      <w:r w:rsidR="00834705">
        <w:rPr>
          <w:rFonts w:asciiTheme="minorHAnsi" w:hAnsiTheme="minorHAnsi"/>
          <w:i/>
        </w:rPr>
        <w:t xml:space="preserve"> </w:t>
      </w:r>
    </w:p>
    <w:p w14:paraId="76F44601" w14:textId="77777777" w:rsidR="001F06B4" w:rsidRDefault="00824E45">
      <w:pPr>
        <w:rPr>
          <w:rFonts w:asciiTheme="minorHAnsi" w:hAnsiTheme="minorHAnsi"/>
        </w:rPr>
      </w:pPr>
      <w:r>
        <w:rPr>
          <w:rFonts w:asciiTheme="minorHAnsi" w:hAnsiTheme="minorHAnsi"/>
        </w:rPr>
        <w:t xml:space="preserve">The initial search will be </w:t>
      </w:r>
      <w:r w:rsidR="00A51ADB">
        <w:rPr>
          <w:rFonts w:asciiTheme="minorHAnsi" w:hAnsiTheme="minorHAnsi"/>
        </w:rPr>
        <w:t>conducted using the following 9</w:t>
      </w:r>
      <w:r>
        <w:rPr>
          <w:rFonts w:asciiTheme="minorHAnsi" w:hAnsiTheme="minorHAnsi"/>
        </w:rPr>
        <w:t xml:space="preserve"> databases: Canadian Public Policy Collection (grey literature), CINAHL</w:t>
      </w:r>
      <w:r w:rsidR="00A51ADB">
        <w:rPr>
          <w:rFonts w:asciiTheme="minorHAnsi" w:hAnsiTheme="minorHAnsi"/>
        </w:rPr>
        <w:t xml:space="preserve"> (via EBSCO)</w:t>
      </w:r>
      <w:r>
        <w:rPr>
          <w:rFonts w:asciiTheme="minorHAnsi" w:hAnsiTheme="minorHAnsi"/>
        </w:rPr>
        <w:t>, EMBASE</w:t>
      </w:r>
      <w:r w:rsidR="00A51ADB">
        <w:rPr>
          <w:rFonts w:asciiTheme="minorHAnsi" w:hAnsiTheme="minorHAnsi"/>
        </w:rPr>
        <w:t xml:space="preserve"> (via Ovid)</w:t>
      </w:r>
      <w:r>
        <w:rPr>
          <w:rFonts w:asciiTheme="minorHAnsi" w:hAnsiTheme="minorHAnsi"/>
        </w:rPr>
        <w:t xml:space="preserve">, </w:t>
      </w:r>
      <w:r w:rsidR="00574576">
        <w:rPr>
          <w:rFonts w:asciiTheme="minorHAnsi" w:hAnsiTheme="minorHAnsi"/>
        </w:rPr>
        <w:t xml:space="preserve">Health Star (via Ovid) </w:t>
      </w:r>
      <w:r>
        <w:rPr>
          <w:rFonts w:asciiTheme="minorHAnsi" w:hAnsiTheme="minorHAnsi"/>
        </w:rPr>
        <w:t>Hea</w:t>
      </w:r>
      <w:r w:rsidR="00574576">
        <w:rPr>
          <w:rFonts w:asciiTheme="minorHAnsi" w:hAnsiTheme="minorHAnsi"/>
        </w:rPr>
        <w:t>l</w:t>
      </w:r>
      <w:r>
        <w:rPr>
          <w:rFonts w:asciiTheme="minorHAnsi" w:hAnsiTheme="minorHAnsi"/>
        </w:rPr>
        <w:t>th Systems Evidence, MEDLINE</w:t>
      </w:r>
      <w:r w:rsidR="00574576">
        <w:rPr>
          <w:rFonts w:asciiTheme="minorHAnsi" w:hAnsiTheme="minorHAnsi"/>
        </w:rPr>
        <w:t xml:space="preserve"> (via Ovid)</w:t>
      </w:r>
      <w:r>
        <w:rPr>
          <w:rFonts w:asciiTheme="minorHAnsi" w:hAnsiTheme="minorHAnsi"/>
        </w:rPr>
        <w:t xml:space="preserve">, </w:t>
      </w:r>
      <w:proofErr w:type="spellStart"/>
      <w:r>
        <w:rPr>
          <w:rFonts w:asciiTheme="minorHAnsi" w:hAnsiTheme="minorHAnsi"/>
        </w:rPr>
        <w:t>OAIster</w:t>
      </w:r>
      <w:proofErr w:type="spellEnd"/>
      <w:r>
        <w:rPr>
          <w:rFonts w:asciiTheme="minorHAnsi" w:hAnsiTheme="minorHAnsi"/>
        </w:rPr>
        <w:t xml:space="preserve"> (grey literature), </w:t>
      </w:r>
      <w:proofErr w:type="spellStart"/>
      <w:r>
        <w:rPr>
          <w:rFonts w:asciiTheme="minorHAnsi" w:hAnsiTheme="minorHAnsi"/>
        </w:rPr>
        <w:t>PsychINFO</w:t>
      </w:r>
      <w:proofErr w:type="spellEnd"/>
      <w:r>
        <w:rPr>
          <w:rFonts w:asciiTheme="minorHAnsi" w:hAnsiTheme="minorHAnsi"/>
        </w:rPr>
        <w:t>, Social Sciences Abstract</w:t>
      </w:r>
      <w:r w:rsidR="004451A8">
        <w:rPr>
          <w:rFonts w:asciiTheme="minorHAnsi" w:hAnsiTheme="minorHAnsi"/>
        </w:rPr>
        <w:t>s</w:t>
      </w:r>
      <w:r>
        <w:rPr>
          <w:rFonts w:asciiTheme="minorHAnsi" w:hAnsiTheme="minorHAnsi"/>
        </w:rPr>
        <w:t xml:space="preserve"> and Web of Science</w:t>
      </w:r>
      <w:r w:rsidR="00936EC4">
        <w:rPr>
          <w:rFonts w:asciiTheme="minorHAnsi" w:hAnsiTheme="minorHAnsi"/>
        </w:rPr>
        <w:t>. The search will be carried out in consultation with an information specialist who will provide guidance on the search strategy and make recommendations for refinement as required. Table 1 identifies our initial key words and search strategy.</w:t>
      </w:r>
      <w:r w:rsidR="00621792">
        <w:rPr>
          <w:rFonts w:asciiTheme="minorHAnsi" w:hAnsiTheme="minorHAnsi"/>
        </w:rPr>
        <w:t xml:space="preserve"> Search terms will be modified according to the specific requirements of each database. We will conduct an initial “test” search of two databases to ensure the search terms are yielding appropriate results. </w:t>
      </w:r>
      <w:r w:rsidR="00CF6813">
        <w:rPr>
          <w:rFonts w:asciiTheme="minorHAnsi" w:hAnsiTheme="minorHAnsi"/>
        </w:rPr>
        <w:t xml:space="preserve">Should the search terms not yield appropriate articles, the team will discuss and refine the terms as required. </w:t>
      </w:r>
      <w:r w:rsidR="00621792">
        <w:rPr>
          <w:rFonts w:asciiTheme="minorHAnsi" w:hAnsiTheme="minorHAnsi"/>
        </w:rPr>
        <w:t xml:space="preserve">Once any needed adjustments are made, we will conduct the full search. We will prioritize sensitivity (comprehensiveness) over specificity (precision). </w:t>
      </w:r>
      <w:r w:rsidR="00546391">
        <w:rPr>
          <w:rFonts w:asciiTheme="minorHAnsi" w:hAnsiTheme="minorHAnsi"/>
        </w:rPr>
        <w:t>Complementary to the formal searc</w:t>
      </w:r>
      <w:r w:rsidR="00427D3F">
        <w:rPr>
          <w:rFonts w:asciiTheme="minorHAnsi" w:hAnsiTheme="minorHAnsi"/>
        </w:rPr>
        <w:t>h, we will conduct hand searche</w:t>
      </w:r>
      <w:r w:rsidR="00546391">
        <w:rPr>
          <w:rFonts w:asciiTheme="minorHAnsi" w:hAnsiTheme="minorHAnsi"/>
        </w:rPr>
        <w:t>s of the reference lists</w:t>
      </w:r>
      <w:r w:rsidR="00621792">
        <w:rPr>
          <w:rFonts w:asciiTheme="minorHAnsi" w:hAnsiTheme="minorHAnsi"/>
        </w:rPr>
        <w:t xml:space="preserve"> </w:t>
      </w:r>
      <w:r w:rsidR="00546391">
        <w:rPr>
          <w:rFonts w:asciiTheme="minorHAnsi" w:hAnsiTheme="minorHAnsi"/>
        </w:rPr>
        <w:t xml:space="preserve">of relevant </w:t>
      </w:r>
      <w:r w:rsidR="00427D3F">
        <w:rPr>
          <w:rFonts w:asciiTheme="minorHAnsi" w:hAnsiTheme="minorHAnsi"/>
        </w:rPr>
        <w:t>publications to identify further articles. We will also check our findings against reviews of existing implementation models, theories and frameworks from each field to ensure we have captured all of the relevant publications. Finally, we will supplement the findings with additional publications from our own libraries as needed</w:t>
      </w:r>
      <w:r w:rsidR="00020284">
        <w:rPr>
          <w:rFonts w:asciiTheme="minorHAnsi" w:hAnsiTheme="minorHAnsi"/>
        </w:rPr>
        <w:t xml:space="preserve"> and seek out advice from other experts (such as leading implementation scholars) if we feel our search has not missed some areas of interest</w:t>
      </w:r>
      <w:r w:rsidR="00427D3F">
        <w:rPr>
          <w:rFonts w:asciiTheme="minorHAnsi" w:hAnsiTheme="minorHAnsi"/>
        </w:rPr>
        <w:t>.</w:t>
      </w:r>
      <w:r w:rsidR="00B25FEA">
        <w:rPr>
          <w:rFonts w:asciiTheme="minorHAnsi" w:hAnsiTheme="minorHAnsi"/>
        </w:rPr>
        <w:t xml:space="preserve"> </w:t>
      </w:r>
      <w:r w:rsidR="004D520A">
        <w:rPr>
          <w:rFonts w:asciiTheme="minorHAnsi" w:hAnsiTheme="minorHAnsi"/>
        </w:rPr>
        <w:t>This process will result in a sampling frame of potentially relevant papers.</w:t>
      </w:r>
    </w:p>
    <w:p w14:paraId="142E82E3" w14:textId="77777777" w:rsidR="00B25FEA" w:rsidRDefault="00B25FEA">
      <w:pPr>
        <w:rPr>
          <w:rFonts w:asciiTheme="minorHAnsi" w:hAnsiTheme="minorHAnsi"/>
        </w:rPr>
      </w:pPr>
      <w:r>
        <w:rPr>
          <w:rFonts w:asciiTheme="minorHAnsi" w:hAnsiTheme="minorHAnsi"/>
        </w:rPr>
        <w:tab/>
      </w:r>
      <w:r w:rsidR="00C33650">
        <w:rPr>
          <w:rFonts w:asciiTheme="minorHAnsi" w:hAnsiTheme="minorHAnsi"/>
        </w:rPr>
        <w:t xml:space="preserve"> </w:t>
      </w:r>
    </w:p>
    <w:p w14:paraId="575FEEF1" w14:textId="77777777" w:rsidR="00834705" w:rsidRDefault="00834705">
      <w:pPr>
        <w:rPr>
          <w:rFonts w:asciiTheme="minorHAnsi" w:hAnsiTheme="minorHAnsi"/>
        </w:rPr>
      </w:pPr>
    </w:p>
    <w:p w14:paraId="1B5625BA" w14:textId="77777777" w:rsidR="0092354C" w:rsidRDefault="0092354C">
      <w:pPr>
        <w:rPr>
          <w:rFonts w:asciiTheme="majorHAnsi" w:hAnsiTheme="majorHAnsi"/>
          <w:b/>
        </w:rPr>
      </w:pPr>
    </w:p>
    <w:p w14:paraId="165E8166" w14:textId="77777777" w:rsidR="00F94869" w:rsidRPr="00F94869" w:rsidRDefault="00F94869">
      <w:pPr>
        <w:rPr>
          <w:rFonts w:asciiTheme="majorHAnsi" w:hAnsiTheme="majorHAnsi"/>
          <w:b/>
        </w:rPr>
      </w:pPr>
      <w:r w:rsidRPr="00F94869">
        <w:rPr>
          <w:rFonts w:asciiTheme="majorHAnsi" w:hAnsiTheme="majorHAnsi"/>
          <w:b/>
        </w:rPr>
        <w:t>Table 1 – Keywords and search strategy</w:t>
      </w:r>
    </w:p>
    <w:p w14:paraId="4296E478" w14:textId="77777777" w:rsidR="00F94869" w:rsidRDefault="00F94869">
      <w:pPr>
        <w:rPr>
          <w:rFonts w:asciiTheme="minorHAnsi" w:hAnsiTheme="minorHAnsi"/>
        </w:rPr>
      </w:pPr>
    </w:p>
    <w:tbl>
      <w:tblPr>
        <w:tblStyle w:val="TableGrid"/>
        <w:tblW w:w="8849" w:type="dxa"/>
        <w:tblLayout w:type="fixed"/>
        <w:tblLook w:val="04A0" w:firstRow="1" w:lastRow="0" w:firstColumn="1" w:lastColumn="0" w:noHBand="0" w:noVBand="1"/>
      </w:tblPr>
      <w:tblGrid>
        <w:gridCol w:w="1668"/>
        <w:gridCol w:w="567"/>
        <w:gridCol w:w="1280"/>
        <w:gridCol w:w="421"/>
        <w:gridCol w:w="1559"/>
        <w:gridCol w:w="445"/>
        <w:gridCol w:w="1085"/>
        <w:gridCol w:w="616"/>
        <w:gridCol w:w="1208"/>
      </w:tblGrid>
      <w:tr w:rsidR="002D6FB5" w:rsidRPr="0021661D" w14:paraId="516293B2" w14:textId="77777777" w:rsidTr="00C558C9">
        <w:tc>
          <w:tcPr>
            <w:tcW w:w="1668" w:type="dxa"/>
          </w:tcPr>
          <w:p w14:paraId="31C7B533" w14:textId="77777777" w:rsidR="002D6FB5" w:rsidRPr="0021661D" w:rsidRDefault="002D6FB5" w:rsidP="00C558C9">
            <w:pPr>
              <w:rPr>
                <w:rFonts w:asciiTheme="majorHAnsi" w:hAnsiTheme="majorHAnsi"/>
                <w:b/>
                <w:sz w:val="20"/>
                <w:szCs w:val="20"/>
              </w:rPr>
            </w:pPr>
            <w:r w:rsidRPr="0021661D">
              <w:rPr>
                <w:rFonts w:asciiTheme="majorHAnsi" w:hAnsiTheme="majorHAnsi"/>
                <w:b/>
                <w:sz w:val="20"/>
                <w:szCs w:val="20"/>
              </w:rPr>
              <w:t>Implementation Terms</w:t>
            </w:r>
          </w:p>
        </w:tc>
        <w:tc>
          <w:tcPr>
            <w:tcW w:w="567" w:type="dxa"/>
          </w:tcPr>
          <w:p w14:paraId="557F24B1" w14:textId="77777777" w:rsidR="002D6FB5" w:rsidRPr="0021661D" w:rsidRDefault="002D6FB5" w:rsidP="00C558C9">
            <w:pPr>
              <w:rPr>
                <w:rFonts w:asciiTheme="majorHAnsi" w:hAnsiTheme="majorHAnsi"/>
                <w:b/>
                <w:sz w:val="20"/>
                <w:szCs w:val="20"/>
              </w:rPr>
            </w:pPr>
          </w:p>
        </w:tc>
        <w:tc>
          <w:tcPr>
            <w:tcW w:w="1280" w:type="dxa"/>
          </w:tcPr>
          <w:p w14:paraId="09AF78DD" w14:textId="77777777" w:rsidR="002D6FB5" w:rsidRPr="0021661D" w:rsidRDefault="002D6FB5" w:rsidP="00C558C9">
            <w:pPr>
              <w:rPr>
                <w:rFonts w:asciiTheme="majorHAnsi" w:hAnsiTheme="majorHAnsi"/>
                <w:b/>
                <w:sz w:val="20"/>
                <w:szCs w:val="20"/>
              </w:rPr>
            </w:pPr>
            <w:r w:rsidRPr="0021661D">
              <w:rPr>
                <w:rFonts w:asciiTheme="majorHAnsi" w:hAnsiTheme="majorHAnsi"/>
                <w:b/>
                <w:sz w:val="20"/>
                <w:szCs w:val="20"/>
              </w:rPr>
              <w:t>Government Level</w:t>
            </w:r>
          </w:p>
        </w:tc>
        <w:tc>
          <w:tcPr>
            <w:tcW w:w="421" w:type="dxa"/>
          </w:tcPr>
          <w:p w14:paraId="2BBC729B" w14:textId="77777777" w:rsidR="002D6FB5" w:rsidRPr="0021661D" w:rsidRDefault="002D6FB5" w:rsidP="00C558C9">
            <w:pPr>
              <w:rPr>
                <w:rFonts w:asciiTheme="majorHAnsi" w:hAnsiTheme="majorHAnsi"/>
                <w:b/>
                <w:sz w:val="20"/>
                <w:szCs w:val="20"/>
              </w:rPr>
            </w:pPr>
          </w:p>
        </w:tc>
        <w:tc>
          <w:tcPr>
            <w:tcW w:w="1559" w:type="dxa"/>
          </w:tcPr>
          <w:p w14:paraId="77856040" w14:textId="77777777" w:rsidR="002D6FB5" w:rsidRPr="0021661D" w:rsidRDefault="002D6FB5" w:rsidP="00C558C9">
            <w:pPr>
              <w:rPr>
                <w:rFonts w:asciiTheme="majorHAnsi" w:hAnsiTheme="majorHAnsi"/>
                <w:b/>
                <w:sz w:val="20"/>
                <w:szCs w:val="20"/>
              </w:rPr>
            </w:pPr>
            <w:r w:rsidRPr="0021661D">
              <w:rPr>
                <w:rFonts w:asciiTheme="majorHAnsi" w:hAnsiTheme="majorHAnsi"/>
                <w:b/>
                <w:sz w:val="20"/>
                <w:szCs w:val="20"/>
              </w:rPr>
              <w:t>Organizational Level</w:t>
            </w:r>
          </w:p>
        </w:tc>
        <w:tc>
          <w:tcPr>
            <w:tcW w:w="445" w:type="dxa"/>
          </w:tcPr>
          <w:p w14:paraId="52CA5D14" w14:textId="77777777" w:rsidR="002D6FB5" w:rsidRPr="0021661D" w:rsidRDefault="002D6FB5" w:rsidP="00C558C9">
            <w:pPr>
              <w:rPr>
                <w:rFonts w:asciiTheme="majorHAnsi" w:hAnsiTheme="majorHAnsi"/>
                <w:b/>
                <w:sz w:val="20"/>
                <w:szCs w:val="20"/>
              </w:rPr>
            </w:pPr>
          </w:p>
        </w:tc>
        <w:tc>
          <w:tcPr>
            <w:tcW w:w="1085" w:type="dxa"/>
          </w:tcPr>
          <w:p w14:paraId="38619C69" w14:textId="77777777" w:rsidR="002D6FB5" w:rsidRPr="0021661D" w:rsidRDefault="002D6FB5" w:rsidP="00C558C9">
            <w:pPr>
              <w:rPr>
                <w:rFonts w:asciiTheme="majorHAnsi" w:hAnsiTheme="majorHAnsi"/>
                <w:b/>
                <w:sz w:val="20"/>
                <w:szCs w:val="20"/>
              </w:rPr>
            </w:pPr>
            <w:r w:rsidRPr="0021661D">
              <w:rPr>
                <w:rFonts w:asciiTheme="majorHAnsi" w:hAnsiTheme="majorHAnsi"/>
                <w:b/>
                <w:sz w:val="20"/>
                <w:szCs w:val="20"/>
              </w:rPr>
              <w:t>Practice Level</w:t>
            </w:r>
          </w:p>
        </w:tc>
        <w:tc>
          <w:tcPr>
            <w:tcW w:w="616" w:type="dxa"/>
          </w:tcPr>
          <w:p w14:paraId="13BA4150" w14:textId="77777777" w:rsidR="002D6FB5" w:rsidRPr="0021661D" w:rsidRDefault="002D6FB5" w:rsidP="00C558C9">
            <w:pPr>
              <w:rPr>
                <w:rFonts w:asciiTheme="majorHAnsi" w:hAnsiTheme="majorHAnsi"/>
                <w:b/>
                <w:sz w:val="20"/>
                <w:szCs w:val="20"/>
              </w:rPr>
            </w:pPr>
          </w:p>
        </w:tc>
        <w:tc>
          <w:tcPr>
            <w:tcW w:w="1208" w:type="dxa"/>
          </w:tcPr>
          <w:p w14:paraId="6B685361" w14:textId="77777777" w:rsidR="002D6FB5" w:rsidRDefault="002D6FB5" w:rsidP="00C558C9">
            <w:pPr>
              <w:rPr>
                <w:rFonts w:asciiTheme="majorHAnsi" w:hAnsiTheme="majorHAnsi"/>
                <w:b/>
                <w:sz w:val="20"/>
                <w:szCs w:val="20"/>
              </w:rPr>
            </w:pPr>
            <w:r w:rsidRPr="0021661D">
              <w:rPr>
                <w:rFonts w:asciiTheme="majorHAnsi" w:hAnsiTheme="majorHAnsi"/>
                <w:b/>
                <w:sz w:val="20"/>
                <w:szCs w:val="20"/>
              </w:rPr>
              <w:t>Evidence Terms</w:t>
            </w:r>
          </w:p>
          <w:p w14:paraId="1C53AEB8" w14:textId="77777777" w:rsidR="002D6FB5" w:rsidRPr="00C93A18" w:rsidRDefault="002D6FB5" w:rsidP="00C558C9">
            <w:pPr>
              <w:rPr>
                <w:rFonts w:asciiTheme="majorHAnsi" w:hAnsiTheme="majorHAnsi"/>
                <w:sz w:val="20"/>
                <w:szCs w:val="20"/>
              </w:rPr>
            </w:pPr>
            <w:r w:rsidRPr="00C93A18">
              <w:rPr>
                <w:rFonts w:asciiTheme="majorHAnsi" w:hAnsiTheme="majorHAnsi"/>
                <w:sz w:val="20"/>
                <w:szCs w:val="20"/>
              </w:rPr>
              <w:t>(with and without dashes)</w:t>
            </w:r>
          </w:p>
        </w:tc>
      </w:tr>
      <w:tr w:rsidR="002D6FB5" w:rsidRPr="0021661D" w14:paraId="1A4AEBD6" w14:textId="77777777" w:rsidTr="00C558C9">
        <w:tc>
          <w:tcPr>
            <w:tcW w:w="1668" w:type="dxa"/>
          </w:tcPr>
          <w:p w14:paraId="4DC8FF1C" w14:textId="77777777" w:rsidR="002D6FB5" w:rsidRPr="0021661D" w:rsidRDefault="002D6FB5" w:rsidP="00C558C9">
            <w:pPr>
              <w:rPr>
                <w:rFonts w:asciiTheme="majorHAnsi" w:hAnsiTheme="majorHAnsi"/>
                <w:sz w:val="20"/>
                <w:szCs w:val="20"/>
              </w:rPr>
            </w:pPr>
            <w:r w:rsidRPr="0021661D">
              <w:rPr>
                <w:rFonts w:asciiTheme="majorHAnsi" w:hAnsiTheme="majorHAnsi"/>
                <w:sz w:val="20"/>
                <w:szCs w:val="20"/>
              </w:rPr>
              <w:t>Implement*</w:t>
            </w:r>
          </w:p>
        </w:tc>
        <w:tc>
          <w:tcPr>
            <w:tcW w:w="567" w:type="dxa"/>
            <w:vMerge w:val="restart"/>
          </w:tcPr>
          <w:p w14:paraId="32EFC125" w14:textId="77777777" w:rsidR="002D6FB5" w:rsidRPr="0021661D" w:rsidRDefault="002D6FB5" w:rsidP="00C558C9">
            <w:pPr>
              <w:rPr>
                <w:rFonts w:asciiTheme="majorHAnsi" w:hAnsiTheme="majorHAnsi"/>
                <w:sz w:val="20"/>
                <w:szCs w:val="20"/>
              </w:rPr>
            </w:pPr>
          </w:p>
          <w:p w14:paraId="32D17877" w14:textId="77777777" w:rsidR="002D6FB5" w:rsidRPr="0021661D" w:rsidRDefault="002D6FB5" w:rsidP="00C558C9">
            <w:pPr>
              <w:rPr>
                <w:rFonts w:asciiTheme="majorHAnsi" w:hAnsiTheme="majorHAnsi"/>
                <w:sz w:val="20"/>
                <w:szCs w:val="20"/>
              </w:rPr>
            </w:pPr>
          </w:p>
          <w:p w14:paraId="290746C6" w14:textId="77777777" w:rsidR="002D6FB5" w:rsidRPr="0021661D" w:rsidRDefault="002D6FB5" w:rsidP="00C558C9">
            <w:pPr>
              <w:rPr>
                <w:rFonts w:asciiTheme="majorHAnsi" w:hAnsiTheme="majorHAnsi"/>
                <w:sz w:val="20"/>
                <w:szCs w:val="20"/>
              </w:rPr>
            </w:pPr>
          </w:p>
          <w:p w14:paraId="1732CFBB" w14:textId="77777777" w:rsidR="002D6FB5" w:rsidRPr="00FB1556" w:rsidRDefault="002D6FB5" w:rsidP="00C558C9">
            <w:pPr>
              <w:rPr>
                <w:rFonts w:asciiTheme="majorHAnsi" w:hAnsiTheme="majorHAnsi"/>
                <w:b/>
                <w:sz w:val="16"/>
                <w:szCs w:val="16"/>
              </w:rPr>
            </w:pPr>
            <w:r w:rsidRPr="00FB1556">
              <w:rPr>
                <w:rFonts w:asciiTheme="majorHAnsi" w:hAnsiTheme="majorHAnsi"/>
                <w:b/>
                <w:sz w:val="16"/>
                <w:szCs w:val="16"/>
              </w:rPr>
              <w:t>AND</w:t>
            </w:r>
          </w:p>
        </w:tc>
        <w:tc>
          <w:tcPr>
            <w:tcW w:w="1280" w:type="dxa"/>
          </w:tcPr>
          <w:p w14:paraId="1357FC72" w14:textId="77777777" w:rsidR="002D6FB5" w:rsidRPr="0021661D" w:rsidRDefault="002D6FB5" w:rsidP="00C558C9">
            <w:pPr>
              <w:rPr>
                <w:rFonts w:asciiTheme="majorHAnsi" w:hAnsiTheme="majorHAnsi"/>
                <w:sz w:val="20"/>
                <w:szCs w:val="20"/>
              </w:rPr>
            </w:pPr>
            <w:r w:rsidRPr="0021661D">
              <w:rPr>
                <w:rFonts w:asciiTheme="majorHAnsi" w:hAnsiTheme="majorHAnsi"/>
                <w:sz w:val="20"/>
                <w:szCs w:val="20"/>
              </w:rPr>
              <w:t>Policy</w:t>
            </w:r>
          </w:p>
        </w:tc>
        <w:tc>
          <w:tcPr>
            <w:tcW w:w="421" w:type="dxa"/>
            <w:vMerge w:val="restart"/>
          </w:tcPr>
          <w:p w14:paraId="317C6E24" w14:textId="77777777" w:rsidR="002D6FB5" w:rsidRPr="0021661D" w:rsidRDefault="002D6FB5" w:rsidP="00C558C9">
            <w:pPr>
              <w:rPr>
                <w:rFonts w:asciiTheme="majorHAnsi" w:hAnsiTheme="majorHAnsi"/>
                <w:b/>
                <w:sz w:val="20"/>
                <w:szCs w:val="20"/>
              </w:rPr>
            </w:pPr>
          </w:p>
          <w:p w14:paraId="0D9A34EC" w14:textId="77777777" w:rsidR="002D6FB5" w:rsidRPr="0021661D" w:rsidRDefault="002D6FB5" w:rsidP="00C558C9">
            <w:pPr>
              <w:rPr>
                <w:rFonts w:asciiTheme="majorHAnsi" w:hAnsiTheme="majorHAnsi"/>
                <w:b/>
                <w:sz w:val="20"/>
                <w:szCs w:val="20"/>
              </w:rPr>
            </w:pPr>
          </w:p>
          <w:p w14:paraId="6FECED0A" w14:textId="77777777" w:rsidR="002D6FB5" w:rsidRPr="0021661D" w:rsidRDefault="002D6FB5" w:rsidP="00C558C9">
            <w:pPr>
              <w:rPr>
                <w:rFonts w:asciiTheme="majorHAnsi" w:hAnsiTheme="majorHAnsi"/>
                <w:b/>
                <w:sz w:val="20"/>
                <w:szCs w:val="20"/>
              </w:rPr>
            </w:pPr>
          </w:p>
          <w:p w14:paraId="6F4E9862" w14:textId="77777777" w:rsidR="002D6FB5" w:rsidRPr="00FB1556" w:rsidRDefault="002D6FB5" w:rsidP="00C558C9">
            <w:pPr>
              <w:rPr>
                <w:rFonts w:asciiTheme="majorHAnsi" w:hAnsiTheme="majorHAnsi"/>
                <w:sz w:val="16"/>
                <w:szCs w:val="16"/>
              </w:rPr>
            </w:pPr>
            <w:r w:rsidRPr="00FB1556">
              <w:rPr>
                <w:rFonts w:asciiTheme="majorHAnsi" w:hAnsiTheme="majorHAnsi"/>
                <w:b/>
                <w:sz w:val="16"/>
                <w:szCs w:val="16"/>
              </w:rPr>
              <w:t>OR</w:t>
            </w:r>
          </w:p>
        </w:tc>
        <w:tc>
          <w:tcPr>
            <w:tcW w:w="1559" w:type="dxa"/>
          </w:tcPr>
          <w:p w14:paraId="3538DC44" w14:textId="77777777" w:rsidR="002D6FB5" w:rsidRPr="0021661D" w:rsidRDefault="002D6FB5" w:rsidP="00C558C9">
            <w:pPr>
              <w:rPr>
                <w:rFonts w:asciiTheme="majorHAnsi" w:hAnsiTheme="majorHAnsi"/>
                <w:sz w:val="20"/>
                <w:szCs w:val="20"/>
              </w:rPr>
            </w:pPr>
            <w:r w:rsidRPr="0021661D">
              <w:rPr>
                <w:rFonts w:asciiTheme="majorHAnsi" w:hAnsiTheme="majorHAnsi"/>
                <w:sz w:val="20"/>
                <w:szCs w:val="20"/>
              </w:rPr>
              <w:t xml:space="preserve">Organizational </w:t>
            </w:r>
            <w:proofErr w:type="spellStart"/>
            <w:r w:rsidRPr="0021661D">
              <w:rPr>
                <w:rFonts w:asciiTheme="majorHAnsi" w:hAnsiTheme="majorHAnsi"/>
                <w:sz w:val="20"/>
                <w:szCs w:val="20"/>
              </w:rPr>
              <w:t>polic</w:t>
            </w:r>
            <w:proofErr w:type="spellEnd"/>
            <w:r w:rsidRPr="0021661D">
              <w:rPr>
                <w:rFonts w:asciiTheme="majorHAnsi" w:hAnsiTheme="majorHAnsi"/>
                <w:sz w:val="20"/>
                <w:szCs w:val="20"/>
              </w:rPr>
              <w:t>*</w:t>
            </w:r>
          </w:p>
        </w:tc>
        <w:tc>
          <w:tcPr>
            <w:tcW w:w="445" w:type="dxa"/>
            <w:vMerge w:val="restart"/>
          </w:tcPr>
          <w:p w14:paraId="6166EF7F" w14:textId="77777777" w:rsidR="002D6FB5" w:rsidRPr="0021661D" w:rsidRDefault="002D6FB5" w:rsidP="00C558C9">
            <w:pPr>
              <w:rPr>
                <w:rFonts w:asciiTheme="majorHAnsi" w:hAnsiTheme="majorHAnsi"/>
                <w:sz w:val="20"/>
                <w:szCs w:val="20"/>
              </w:rPr>
            </w:pPr>
          </w:p>
          <w:p w14:paraId="44FED053" w14:textId="77777777" w:rsidR="002D6FB5" w:rsidRPr="0021661D" w:rsidRDefault="002D6FB5" w:rsidP="00C558C9">
            <w:pPr>
              <w:rPr>
                <w:rFonts w:asciiTheme="majorHAnsi" w:hAnsiTheme="majorHAnsi"/>
                <w:sz w:val="20"/>
                <w:szCs w:val="20"/>
              </w:rPr>
            </w:pPr>
          </w:p>
          <w:p w14:paraId="7E8ADD49" w14:textId="77777777" w:rsidR="002D6FB5" w:rsidRPr="0021661D" w:rsidRDefault="002D6FB5" w:rsidP="00C558C9">
            <w:pPr>
              <w:rPr>
                <w:rFonts w:asciiTheme="majorHAnsi" w:hAnsiTheme="majorHAnsi"/>
                <w:sz w:val="20"/>
                <w:szCs w:val="20"/>
              </w:rPr>
            </w:pPr>
          </w:p>
          <w:p w14:paraId="30583142" w14:textId="77777777" w:rsidR="002D6FB5" w:rsidRPr="00FB1556" w:rsidRDefault="002D6FB5" w:rsidP="00C558C9">
            <w:pPr>
              <w:rPr>
                <w:rFonts w:asciiTheme="majorHAnsi" w:hAnsiTheme="majorHAnsi"/>
                <w:b/>
                <w:sz w:val="16"/>
                <w:szCs w:val="16"/>
              </w:rPr>
            </w:pPr>
            <w:r w:rsidRPr="00FB1556">
              <w:rPr>
                <w:rFonts w:asciiTheme="majorHAnsi" w:hAnsiTheme="majorHAnsi"/>
                <w:b/>
                <w:sz w:val="16"/>
                <w:szCs w:val="16"/>
              </w:rPr>
              <w:t>OR</w:t>
            </w:r>
          </w:p>
        </w:tc>
        <w:tc>
          <w:tcPr>
            <w:tcW w:w="1085" w:type="dxa"/>
          </w:tcPr>
          <w:p w14:paraId="42666EA5" w14:textId="77777777" w:rsidR="002D6FB5" w:rsidRPr="0021661D" w:rsidRDefault="002D6FB5" w:rsidP="00C558C9">
            <w:pPr>
              <w:rPr>
                <w:rFonts w:asciiTheme="majorHAnsi" w:hAnsiTheme="majorHAnsi"/>
                <w:sz w:val="20"/>
                <w:szCs w:val="20"/>
              </w:rPr>
            </w:pPr>
            <w:r>
              <w:rPr>
                <w:rFonts w:asciiTheme="majorHAnsi" w:hAnsiTheme="majorHAnsi"/>
                <w:sz w:val="20"/>
                <w:szCs w:val="20"/>
              </w:rPr>
              <w:t>“c</w:t>
            </w:r>
            <w:r w:rsidRPr="0021661D">
              <w:rPr>
                <w:rFonts w:asciiTheme="majorHAnsi" w:hAnsiTheme="majorHAnsi"/>
                <w:sz w:val="20"/>
                <w:szCs w:val="20"/>
              </w:rPr>
              <w:t xml:space="preserve">linical </w:t>
            </w:r>
            <w:r>
              <w:rPr>
                <w:rFonts w:asciiTheme="majorHAnsi" w:hAnsiTheme="majorHAnsi"/>
                <w:sz w:val="20"/>
                <w:szCs w:val="20"/>
              </w:rPr>
              <w:t xml:space="preserve">guideline” </w:t>
            </w:r>
          </w:p>
        </w:tc>
        <w:tc>
          <w:tcPr>
            <w:tcW w:w="616" w:type="dxa"/>
            <w:vMerge w:val="restart"/>
          </w:tcPr>
          <w:p w14:paraId="6EAF7639" w14:textId="77777777" w:rsidR="002D6FB5" w:rsidRDefault="002D6FB5" w:rsidP="00C558C9">
            <w:pPr>
              <w:rPr>
                <w:rFonts w:asciiTheme="majorHAnsi" w:hAnsiTheme="majorHAnsi"/>
                <w:b/>
                <w:sz w:val="20"/>
                <w:szCs w:val="20"/>
              </w:rPr>
            </w:pPr>
          </w:p>
          <w:p w14:paraId="5C575115" w14:textId="77777777" w:rsidR="002D6FB5" w:rsidRDefault="002D6FB5" w:rsidP="00C558C9">
            <w:pPr>
              <w:rPr>
                <w:rFonts w:asciiTheme="majorHAnsi" w:hAnsiTheme="majorHAnsi"/>
                <w:b/>
                <w:sz w:val="20"/>
                <w:szCs w:val="20"/>
              </w:rPr>
            </w:pPr>
          </w:p>
          <w:p w14:paraId="1CCE6D85" w14:textId="77777777" w:rsidR="002D6FB5" w:rsidRDefault="002D6FB5" w:rsidP="00C558C9">
            <w:pPr>
              <w:rPr>
                <w:rFonts w:asciiTheme="majorHAnsi" w:hAnsiTheme="majorHAnsi"/>
                <w:b/>
                <w:sz w:val="20"/>
                <w:szCs w:val="20"/>
              </w:rPr>
            </w:pPr>
          </w:p>
          <w:p w14:paraId="364C4775" w14:textId="77777777" w:rsidR="002D6FB5" w:rsidRPr="00FB1556" w:rsidRDefault="002D6FB5" w:rsidP="00C558C9">
            <w:pPr>
              <w:rPr>
                <w:rFonts w:asciiTheme="majorHAnsi" w:hAnsiTheme="majorHAnsi"/>
                <w:sz w:val="16"/>
                <w:szCs w:val="16"/>
              </w:rPr>
            </w:pPr>
            <w:r w:rsidRPr="00FB1556">
              <w:rPr>
                <w:rFonts w:asciiTheme="majorHAnsi" w:hAnsiTheme="majorHAnsi"/>
                <w:b/>
                <w:sz w:val="16"/>
                <w:szCs w:val="16"/>
              </w:rPr>
              <w:t>AND</w:t>
            </w:r>
          </w:p>
        </w:tc>
        <w:tc>
          <w:tcPr>
            <w:tcW w:w="1208" w:type="dxa"/>
          </w:tcPr>
          <w:p w14:paraId="275E1990" w14:textId="77777777" w:rsidR="002D6FB5" w:rsidRDefault="002D6FB5" w:rsidP="00C558C9">
            <w:pPr>
              <w:rPr>
                <w:rFonts w:asciiTheme="majorHAnsi" w:hAnsiTheme="majorHAnsi"/>
                <w:sz w:val="20"/>
                <w:szCs w:val="20"/>
              </w:rPr>
            </w:pPr>
            <w:r>
              <w:rPr>
                <w:rFonts w:asciiTheme="majorHAnsi" w:hAnsiTheme="majorHAnsi"/>
                <w:sz w:val="20"/>
                <w:szCs w:val="20"/>
              </w:rPr>
              <w:t>“</w:t>
            </w:r>
            <w:r w:rsidRPr="0021661D">
              <w:rPr>
                <w:rFonts w:asciiTheme="majorHAnsi" w:hAnsiTheme="majorHAnsi"/>
                <w:sz w:val="20"/>
                <w:szCs w:val="20"/>
              </w:rPr>
              <w:t>Evidence-based practice*</w:t>
            </w:r>
            <w:r>
              <w:rPr>
                <w:rFonts w:asciiTheme="majorHAnsi" w:hAnsiTheme="majorHAnsi"/>
                <w:sz w:val="20"/>
                <w:szCs w:val="20"/>
              </w:rPr>
              <w:t>”</w:t>
            </w:r>
          </w:p>
          <w:p w14:paraId="60077CC8" w14:textId="77777777" w:rsidR="002D6FB5" w:rsidRPr="0021661D" w:rsidRDefault="002D6FB5" w:rsidP="00C558C9">
            <w:pPr>
              <w:rPr>
                <w:rFonts w:asciiTheme="majorHAnsi" w:hAnsiTheme="majorHAnsi"/>
                <w:sz w:val="20"/>
                <w:szCs w:val="20"/>
              </w:rPr>
            </w:pPr>
          </w:p>
        </w:tc>
      </w:tr>
      <w:tr w:rsidR="002D6FB5" w:rsidRPr="0021661D" w14:paraId="69AF5CFA" w14:textId="77777777" w:rsidTr="00C558C9">
        <w:tc>
          <w:tcPr>
            <w:tcW w:w="1668" w:type="dxa"/>
          </w:tcPr>
          <w:p w14:paraId="474628CA" w14:textId="77777777" w:rsidR="002D6FB5" w:rsidRPr="0021661D" w:rsidRDefault="002D6FB5" w:rsidP="00C558C9">
            <w:pPr>
              <w:rPr>
                <w:rFonts w:asciiTheme="majorHAnsi" w:hAnsiTheme="majorHAnsi"/>
                <w:sz w:val="20"/>
                <w:szCs w:val="20"/>
              </w:rPr>
            </w:pPr>
            <w:r>
              <w:rPr>
                <w:rFonts w:asciiTheme="majorHAnsi" w:hAnsiTheme="majorHAnsi"/>
                <w:sz w:val="20"/>
                <w:szCs w:val="20"/>
              </w:rPr>
              <w:t>“k</w:t>
            </w:r>
            <w:r w:rsidRPr="0021661D">
              <w:rPr>
                <w:rFonts w:asciiTheme="majorHAnsi" w:hAnsiTheme="majorHAnsi"/>
                <w:sz w:val="20"/>
                <w:szCs w:val="20"/>
              </w:rPr>
              <w:t>nowledge translation</w:t>
            </w:r>
            <w:r>
              <w:rPr>
                <w:rFonts w:asciiTheme="majorHAnsi" w:hAnsiTheme="majorHAnsi"/>
                <w:sz w:val="20"/>
                <w:szCs w:val="20"/>
              </w:rPr>
              <w:t>”</w:t>
            </w:r>
          </w:p>
        </w:tc>
        <w:tc>
          <w:tcPr>
            <w:tcW w:w="567" w:type="dxa"/>
            <w:vMerge/>
          </w:tcPr>
          <w:p w14:paraId="6997A220" w14:textId="77777777" w:rsidR="002D6FB5" w:rsidRPr="0021661D" w:rsidRDefault="002D6FB5" w:rsidP="00C558C9">
            <w:pPr>
              <w:rPr>
                <w:rFonts w:asciiTheme="majorHAnsi" w:hAnsiTheme="majorHAnsi"/>
                <w:sz w:val="20"/>
                <w:szCs w:val="20"/>
              </w:rPr>
            </w:pPr>
          </w:p>
        </w:tc>
        <w:tc>
          <w:tcPr>
            <w:tcW w:w="1280" w:type="dxa"/>
          </w:tcPr>
          <w:p w14:paraId="7933902B" w14:textId="77777777" w:rsidR="002D6FB5" w:rsidRPr="0021661D" w:rsidRDefault="002D6FB5" w:rsidP="00C558C9">
            <w:pPr>
              <w:rPr>
                <w:rFonts w:asciiTheme="majorHAnsi" w:hAnsiTheme="majorHAnsi"/>
                <w:sz w:val="20"/>
                <w:szCs w:val="20"/>
              </w:rPr>
            </w:pPr>
            <w:r w:rsidRPr="0021661D">
              <w:rPr>
                <w:rFonts w:asciiTheme="majorHAnsi" w:hAnsiTheme="majorHAnsi"/>
                <w:sz w:val="20"/>
                <w:szCs w:val="20"/>
              </w:rPr>
              <w:t>Strategy</w:t>
            </w:r>
          </w:p>
        </w:tc>
        <w:tc>
          <w:tcPr>
            <w:tcW w:w="421" w:type="dxa"/>
            <w:vMerge/>
          </w:tcPr>
          <w:p w14:paraId="4A2ECD10" w14:textId="77777777" w:rsidR="002D6FB5" w:rsidRPr="0021661D" w:rsidRDefault="002D6FB5" w:rsidP="00C558C9">
            <w:pPr>
              <w:rPr>
                <w:rFonts w:asciiTheme="majorHAnsi" w:hAnsiTheme="majorHAnsi"/>
                <w:b/>
                <w:sz w:val="20"/>
                <w:szCs w:val="20"/>
              </w:rPr>
            </w:pPr>
          </w:p>
        </w:tc>
        <w:tc>
          <w:tcPr>
            <w:tcW w:w="1559" w:type="dxa"/>
          </w:tcPr>
          <w:p w14:paraId="007DBA01" w14:textId="77777777" w:rsidR="002D6FB5" w:rsidRPr="0021661D" w:rsidRDefault="002D6FB5" w:rsidP="00C558C9">
            <w:pPr>
              <w:rPr>
                <w:rFonts w:asciiTheme="majorHAnsi" w:hAnsiTheme="majorHAnsi"/>
                <w:sz w:val="20"/>
                <w:szCs w:val="20"/>
              </w:rPr>
            </w:pPr>
            <w:r w:rsidRPr="0021661D">
              <w:rPr>
                <w:rFonts w:asciiTheme="majorHAnsi" w:hAnsiTheme="majorHAnsi"/>
                <w:sz w:val="20"/>
                <w:szCs w:val="20"/>
              </w:rPr>
              <w:t>Policy and procedures manual</w:t>
            </w:r>
          </w:p>
        </w:tc>
        <w:tc>
          <w:tcPr>
            <w:tcW w:w="445" w:type="dxa"/>
            <w:vMerge/>
          </w:tcPr>
          <w:p w14:paraId="72556E02" w14:textId="77777777" w:rsidR="002D6FB5" w:rsidRPr="0021661D" w:rsidRDefault="002D6FB5" w:rsidP="00C558C9">
            <w:pPr>
              <w:rPr>
                <w:rFonts w:asciiTheme="majorHAnsi" w:hAnsiTheme="majorHAnsi"/>
                <w:sz w:val="20"/>
                <w:szCs w:val="20"/>
              </w:rPr>
            </w:pPr>
          </w:p>
        </w:tc>
        <w:tc>
          <w:tcPr>
            <w:tcW w:w="1085" w:type="dxa"/>
          </w:tcPr>
          <w:p w14:paraId="526A4507" w14:textId="77777777" w:rsidR="002D6FB5" w:rsidRPr="0021661D" w:rsidRDefault="002D6FB5" w:rsidP="00C558C9">
            <w:pPr>
              <w:rPr>
                <w:rFonts w:asciiTheme="majorHAnsi" w:hAnsiTheme="majorHAnsi"/>
                <w:sz w:val="20"/>
                <w:szCs w:val="20"/>
              </w:rPr>
            </w:pPr>
            <w:r>
              <w:rPr>
                <w:rFonts w:asciiTheme="majorHAnsi" w:hAnsiTheme="majorHAnsi"/>
                <w:sz w:val="20"/>
                <w:szCs w:val="20"/>
              </w:rPr>
              <w:t>“</w:t>
            </w:r>
            <w:r w:rsidRPr="0021661D">
              <w:rPr>
                <w:rFonts w:asciiTheme="majorHAnsi" w:hAnsiTheme="majorHAnsi"/>
                <w:sz w:val="20"/>
                <w:szCs w:val="20"/>
              </w:rPr>
              <w:t>practice guideline</w:t>
            </w:r>
            <w:r>
              <w:rPr>
                <w:rFonts w:asciiTheme="majorHAnsi" w:hAnsiTheme="majorHAnsi"/>
                <w:sz w:val="20"/>
                <w:szCs w:val="20"/>
              </w:rPr>
              <w:t>”</w:t>
            </w:r>
          </w:p>
        </w:tc>
        <w:tc>
          <w:tcPr>
            <w:tcW w:w="616" w:type="dxa"/>
            <w:vMerge/>
          </w:tcPr>
          <w:p w14:paraId="51E6FE20" w14:textId="77777777" w:rsidR="002D6FB5" w:rsidRPr="0021661D" w:rsidRDefault="002D6FB5" w:rsidP="00C558C9">
            <w:pPr>
              <w:rPr>
                <w:rFonts w:asciiTheme="majorHAnsi" w:hAnsiTheme="majorHAnsi"/>
                <w:b/>
                <w:sz w:val="20"/>
                <w:szCs w:val="20"/>
              </w:rPr>
            </w:pPr>
          </w:p>
        </w:tc>
        <w:tc>
          <w:tcPr>
            <w:tcW w:w="1208" w:type="dxa"/>
          </w:tcPr>
          <w:p w14:paraId="25AFF0A3" w14:textId="77777777" w:rsidR="002D6FB5" w:rsidRPr="0021661D" w:rsidRDefault="002D6FB5" w:rsidP="00C558C9">
            <w:pPr>
              <w:rPr>
                <w:rFonts w:asciiTheme="majorHAnsi" w:hAnsiTheme="majorHAnsi"/>
                <w:sz w:val="20"/>
                <w:szCs w:val="20"/>
              </w:rPr>
            </w:pPr>
            <w:r>
              <w:rPr>
                <w:rFonts w:asciiTheme="majorHAnsi" w:hAnsiTheme="majorHAnsi"/>
                <w:sz w:val="20"/>
                <w:szCs w:val="20"/>
              </w:rPr>
              <w:t>“</w:t>
            </w:r>
            <w:r w:rsidRPr="0021661D">
              <w:rPr>
                <w:rFonts w:asciiTheme="majorHAnsi" w:hAnsiTheme="majorHAnsi"/>
                <w:sz w:val="20"/>
                <w:szCs w:val="20"/>
              </w:rPr>
              <w:t>Evidence-informed practice*</w:t>
            </w:r>
            <w:r>
              <w:rPr>
                <w:rFonts w:asciiTheme="majorHAnsi" w:hAnsiTheme="majorHAnsi"/>
                <w:sz w:val="20"/>
                <w:szCs w:val="20"/>
              </w:rPr>
              <w:t>”</w:t>
            </w:r>
          </w:p>
        </w:tc>
      </w:tr>
      <w:tr w:rsidR="002D6FB5" w:rsidRPr="0021661D" w14:paraId="2C206B71" w14:textId="77777777" w:rsidTr="00C558C9">
        <w:tc>
          <w:tcPr>
            <w:tcW w:w="1668" w:type="dxa"/>
          </w:tcPr>
          <w:p w14:paraId="078ED2C4" w14:textId="77777777" w:rsidR="002D6FB5" w:rsidRPr="0021661D" w:rsidRDefault="002D6FB5" w:rsidP="00C558C9">
            <w:pPr>
              <w:rPr>
                <w:rFonts w:asciiTheme="majorHAnsi" w:hAnsiTheme="majorHAnsi"/>
                <w:sz w:val="20"/>
                <w:szCs w:val="20"/>
              </w:rPr>
            </w:pPr>
            <w:r>
              <w:rPr>
                <w:rFonts w:asciiTheme="majorHAnsi" w:hAnsiTheme="majorHAnsi"/>
                <w:sz w:val="20"/>
                <w:szCs w:val="20"/>
              </w:rPr>
              <w:t>“k</w:t>
            </w:r>
            <w:r w:rsidRPr="0021661D">
              <w:rPr>
                <w:rFonts w:asciiTheme="majorHAnsi" w:hAnsiTheme="majorHAnsi"/>
                <w:sz w:val="20"/>
                <w:szCs w:val="20"/>
              </w:rPr>
              <w:t xml:space="preserve">nowledge </w:t>
            </w:r>
            <w:proofErr w:type="spellStart"/>
            <w:r>
              <w:rPr>
                <w:rFonts w:asciiTheme="majorHAnsi" w:hAnsiTheme="majorHAnsi"/>
                <w:sz w:val="20"/>
                <w:szCs w:val="20"/>
              </w:rPr>
              <w:t>mobili</w:t>
            </w:r>
            <w:proofErr w:type="spellEnd"/>
            <w:r>
              <w:rPr>
                <w:rFonts w:asciiTheme="majorHAnsi" w:hAnsiTheme="majorHAnsi"/>
                <w:sz w:val="20"/>
                <w:szCs w:val="20"/>
              </w:rPr>
              <w:t>*”</w:t>
            </w:r>
          </w:p>
        </w:tc>
        <w:tc>
          <w:tcPr>
            <w:tcW w:w="567" w:type="dxa"/>
            <w:vMerge/>
          </w:tcPr>
          <w:p w14:paraId="0D386AEB" w14:textId="77777777" w:rsidR="002D6FB5" w:rsidRPr="0021661D" w:rsidRDefault="002D6FB5" w:rsidP="00C558C9">
            <w:pPr>
              <w:rPr>
                <w:rFonts w:asciiTheme="majorHAnsi" w:hAnsiTheme="majorHAnsi"/>
                <w:sz w:val="20"/>
                <w:szCs w:val="20"/>
              </w:rPr>
            </w:pPr>
          </w:p>
        </w:tc>
        <w:tc>
          <w:tcPr>
            <w:tcW w:w="1280" w:type="dxa"/>
          </w:tcPr>
          <w:p w14:paraId="486A7850" w14:textId="77777777" w:rsidR="002D6FB5" w:rsidRPr="0021661D" w:rsidRDefault="002D6FB5" w:rsidP="00C558C9">
            <w:pPr>
              <w:rPr>
                <w:rFonts w:asciiTheme="majorHAnsi" w:hAnsiTheme="majorHAnsi"/>
                <w:sz w:val="20"/>
                <w:szCs w:val="20"/>
              </w:rPr>
            </w:pPr>
            <w:r>
              <w:rPr>
                <w:rFonts w:asciiTheme="majorHAnsi" w:hAnsiTheme="majorHAnsi"/>
                <w:sz w:val="20"/>
                <w:szCs w:val="20"/>
              </w:rPr>
              <w:t>“</w:t>
            </w:r>
            <w:r w:rsidRPr="0021661D">
              <w:rPr>
                <w:rFonts w:asciiTheme="majorHAnsi" w:hAnsiTheme="majorHAnsi"/>
                <w:sz w:val="20"/>
                <w:szCs w:val="20"/>
              </w:rPr>
              <w:t>Action plan</w:t>
            </w:r>
            <w:r>
              <w:rPr>
                <w:rFonts w:asciiTheme="majorHAnsi" w:hAnsiTheme="majorHAnsi"/>
                <w:sz w:val="20"/>
                <w:szCs w:val="20"/>
              </w:rPr>
              <w:t>”</w:t>
            </w:r>
          </w:p>
        </w:tc>
        <w:tc>
          <w:tcPr>
            <w:tcW w:w="421" w:type="dxa"/>
            <w:vMerge/>
          </w:tcPr>
          <w:p w14:paraId="37965EB8" w14:textId="77777777" w:rsidR="002D6FB5" w:rsidRPr="0021661D" w:rsidRDefault="002D6FB5" w:rsidP="00C558C9">
            <w:pPr>
              <w:rPr>
                <w:rFonts w:asciiTheme="majorHAnsi" w:hAnsiTheme="majorHAnsi"/>
                <w:sz w:val="20"/>
                <w:szCs w:val="20"/>
              </w:rPr>
            </w:pPr>
          </w:p>
        </w:tc>
        <w:tc>
          <w:tcPr>
            <w:tcW w:w="1559" w:type="dxa"/>
          </w:tcPr>
          <w:p w14:paraId="1EBC8187" w14:textId="77777777" w:rsidR="002D6FB5" w:rsidRPr="0021661D" w:rsidRDefault="002D6FB5" w:rsidP="00C558C9">
            <w:pPr>
              <w:rPr>
                <w:rFonts w:asciiTheme="majorHAnsi" w:hAnsiTheme="majorHAnsi"/>
                <w:sz w:val="20"/>
                <w:szCs w:val="20"/>
              </w:rPr>
            </w:pPr>
            <w:r w:rsidRPr="0021661D">
              <w:rPr>
                <w:rFonts w:asciiTheme="majorHAnsi" w:hAnsiTheme="majorHAnsi"/>
                <w:sz w:val="20"/>
                <w:szCs w:val="20"/>
              </w:rPr>
              <w:t>Procedures manual</w:t>
            </w:r>
          </w:p>
        </w:tc>
        <w:tc>
          <w:tcPr>
            <w:tcW w:w="445" w:type="dxa"/>
            <w:vMerge/>
          </w:tcPr>
          <w:p w14:paraId="40C1D2DD" w14:textId="77777777" w:rsidR="002D6FB5" w:rsidRPr="0021661D" w:rsidRDefault="002D6FB5" w:rsidP="00C558C9">
            <w:pPr>
              <w:rPr>
                <w:rFonts w:asciiTheme="majorHAnsi" w:hAnsiTheme="majorHAnsi"/>
                <w:sz w:val="20"/>
                <w:szCs w:val="20"/>
              </w:rPr>
            </w:pPr>
          </w:p>
        </w:tc>
        <w:tc>
          <w:tcPr>
            <w:tcW w:w="1085" w:type="dxa"/>
          </w:tcPr>
          <w:p w14:paraId="66C33250" w14:textId="77777777" w:rsidR="002D6FB5" w:rsidRPr="0021661D" w:rsidRDefault="002D6FB5" w:rsidP="00C558C9">
            <w:pPr>
              <w:rPr>
                <w:rFonts w:asciiTheme="majorHAnsi" w:hAnsiTheme="majorHAnsi"/>
                <w:sz w:val="20"/>
                <w:szCs w:val="20"/>
              </w:rPr>
            </w:pPr>
            <w:r w:rsidRPr="0021661D">
              <w:rPr>
                <w:rFonts w:asciiTheme="majorHAnsi" w:hAnsiTheme="majorHAnsi"/>
                <w:sz w:val="20"/>
                <w:szCs w:val="20"/>
              </w:rPr>
              <w:t>Scope of practice</w:t>
            </w:r>
          </w:p>
        </w:tc>
        <w:tc>
          <w:tcPr>
            <w:tcW w:w="616" w:type="dxa"/>
            <w:vMerge/>
          </w:tcPr>
          <w:p w14:paraId="696E1295" w14:textId="77777777" w:rsidR="002D6FB5" w:rsidRPr="0021661D" w:rsidRDefault="002D6FB5" w:rsidP="00C558C9">
            <w:pPr>
              <w:rPr>
                <w:rFonts w:asciiTheme="majorHAnsi" w:hAnsiTheme="majorHAnsi"/>
                <w:sz w:val="20"/>
                <w:szCs w:val="20"/>
              </w:rPr>
            </w:pPr>
          </w:p>
        </w:tc>
        <w:tc>
          <w:tcPr>
            <w:tcW w:w="1208" w:type="dxa"/>
          </w:tcPr>
          <w:p w14:paraId="3ECBD112" w14:textId="77777777" w:rsidR="002D6FB5" w:rsidRPr="0021661D" w:rsidRDefault="002D6FB5" w:rsidP="00C558C9">
            <w:pPr>
              <w:rPr>
                <w:rFonts w:asciiTheme="majorHAnsi" w:hAnsiTheme="majorHAnsi"/>
                <w:sz w:val="20"/>
                <w:szCs w:val="20"/>
              </w:rPr>
            </w:pPr>
            <w:r>
              <w:rPr>
                <w:rFonts w:asciiTheme="majorHAnsi" w:hAnsiTheme="majorHAnsi"/>
                <w:sz w:val="20"/>
                <w:szCs w:val="20"/>
              </w:rPr>
              <w:t>“</w:t>
            </w:r>
            <w:r w:rsidRPr="0021661D">
              <w:rPr>
                <w:rFonts w:asciiTheme="majorHAnsi" w:hAnsiTheme="majorHAnsi"/>
                <w:sz w:val="20"/>
                <w:szCs w:val="20"/>
              </w:rPr>
              <w:t>Evidence- informed policy</w:t>
            </w:r>
            <w:r>
              <w:rPr>
                <w:rFonts w:asciiTheme="majorHAnsi" w:hAnsiTheme="majorHAnsi"/>
                <w:sz w:val="20"/>
                <w:szCs w:val="20"/>
              </w:rPr>
              <w:t>”</w:t>
            </w:r>
          </w:p>
        </w:tc>
      </w:tr>
      <w:tr w:rsidR="002D6FB5" w:rsidRPr="0021661D" w14:paraId="01852868" w14:textId="77777777" w:rsidTr="00C558C9">
        <w:tc>
          <w:tcPr>
            <w:tcW w:w="1668" w:type="dxa"/>
          </w:tcPr>
          <w:p w14:paraId="72C6A7F6" w14:textId="77777777" w:rsidR="002D6FB5" w:rsidRDefault="002D6FB5" w:rsidP="00C558C9">
            <w:pPr>
              <w:rPr>
                <w:rFonts w:asciiTheme="majorHAnsi" w:hAnsiTheme="majorHAnsi"/>
                <w:sz w:val="20"/>
                <w:szCs w:val="20"/>
              </w:rPr>
            </w:pPr>
          </w:p>
        </w:tc>
        <w:tc>
          <w:tcPr>
            <w:tcW w:w="567" w:type="dxa"/>
          </w:tcPr>
          <w:p w14:paraId="4A26875F" w14:textId="77777777" w:rsidR="002D6FB5" w:rsidRPr="0021661D" w:rsidRDefault="002D6FB5" w:rsidP="00C558C9">
            <w:pPr>
              <w:rPr>
                <w:rFonts w:asciiTheme="majorHAnsi" w:hAnsiTheme="majorHAnsi"/>
                <w:sz w:val="20"/>
                <w:szCs w:val="20"/>
              </w:rPr>
            </w:pPr>
          </w:p>
        </w:tc>
        <w:tc>
          <w:tcPr>
            <w:tcW w:w="1280" w:type="dxa"/>
          </w:tcPr>
          <w:p w14:paraId="43241CDB" w14:textId="77777777" w:rsidR="002D6FB5" w:rsidRDefault="002D6FB5" w:rsidP="00C558C9">
            <w:pPr>
              <w:rPr>
                <w:rFonts w:asciiTheme="majorHAnsi" w:hAnsiTheme="majorHAnsi"/>
                <w:sz w:val="20"/>
                <w:szCs w:val="20"/>
              </w:rPr>
            </w:pPr>
          </w:p>
        </w:tc>
        <w:tc>
          <w:tcPr>
            <w:tcW w:w="421" w:type="dxa"/>
          </w:tcPr>
          <w:p w14:paraId="5B73D320" w14:textId="77777777" w:rsidR="002D6FB5" w:rsidRPr="0021661D" w:rsidRDefault="002D6FB5" w:rsidP="00C558C9">
            <w:pPr>
              <w:rPr>
                <w:rFonts w:asciiTheme="majorHAnsi" w:hAnsiTheme="majorHAnsi"/>
                <w:sz w:val="20"/>
                <w:szCs w:val="20"/>
              </w:rPr>
            </w:pPr>
          </w:p>
        </w:tc>
        <w:tc>
          <w:tcPr>
            <w:tcW w:w="1559" w:type="dxa"/>
          </w:tcPr>
          <w:p w14:paraId="05775D1A" w14:textId="77777777" w:rsidR="002D6FB5" w:rsidRPr="0021661D" w:rsidRDefault="002D6FB5" w:rsidP="00C558C9">
            <w:pPr>
              <w:rPr>
                <w:rFonts w:asciiTheme="majorHAnsi" w:hAnsiTheme="majorHAnsi"/>
                <w:sz w:val="20"/>
                <w:szCs w:val="20"/>
              </w:rPr>
            </w:pPr>
          </w:p>
        </w:tc>
        <w:tc>
          <w:tcPr>
            <w:tcW w:w="445" w:type="dxa"/>
          </w:tcPr>
          <w:p w14:paraId="4F3B6631" w14:textId="77777777" w:rsidR="002D6FB5" w:rsidRPr="0021661D" w:rsidRDefault="002D6FB5" w:rsidP="00C558C9">
            <w:pPr>
              <w:rPr>
                <w:rFonts w:asciiTheme="majorHAnsi" w:hAnsiTheme="majorHAnsi"/>
                <w:sz w:val="20"/>
                <w:szCs w:val="20"/>
              </w:rPr>
            </w:pPr>
          </w:p>
        </w:tc>
        <w:tc>
          <w:tcPr>
            <w:tcW w:w="1085" w:type="dxa"/>
          </w:tcPr>
          <w:p w14:paraId="34CC4509" w14:textId="77777777" w:rsidR="002D6FB5" w:rsidRPr="0021661D" w:rsidRDefault="002D6FB5" w:rsidP="00C558C9">
            <w:pPr>
              <w:rPr>
                <w:rFonts w:asciiTheme="majorHAnsi" w:hAnsiTheme="majorHAnsi"/>
                <w:sz w:val="20"/>
                <w:szCs w:val="20"/>
              </w:rPr>
            </w:pPr>
          </w:p>
        </w:tc>
        <w:tc>
          <w:tcPr>
            <w:tcW w:w="616" w:type="dxa"/>
          </w:tcPr>
          <w:p w14:paraId="1B813EF1" w14:textId="77777777" w:rsidR="002D6FB5" w:rsidRPr="0021661D" w:rsidRDefault="002D6FB5" w:rsidP="00C558C9">
            <w:pPr>
              <w:rPr>
                <w:rFonts w:asciiTheme="majorHAnsi" w:hAnsiTheme="majorHAnsi"/>
                <w:sz w:val="20"/>
                <w:szCs w:val="20"/>
              </w:rPr>
            </w:pPr>
          </w:p>
        </w:tc>
        <w:tc>
          <w:tcPr>
            <w:tcW w:w="1208" w:type="dxa"/>
          </w:tcPr>
          <w:p w14:paraId="485860C4" w14:textId="77777777" w:rsidR="002D6FB5" w:rsidRPr="0021661D" w:rsidRDefault="002D6FB5" w:rsidP="00C558C9">
            <w:pPr>
              <w:rPr>
                <w:rFonts w:asciiTheme="majorHAnsi" w:hAnsiTheme="majorHAnsi"/>
                <w:sz w:val="20"/>
                <w:szCs w:val="20"/>
              </w:rPr>
            </w:pPr>
            <w:r>
              <w:rPr>
                <w:rFonts w:asciiTheme="majorHAnsi" w:hAnsiTheme="majorHAnsi"/>
                <w:sz w:val="20"/>
                <w:szCs w:val="20"/>
              </w:rPr>
              <w:t>“Evidence-based policy”</w:t>
            </w:r>
          </w:p>
        </w:tc>
      </w:tr>
    </w:tbl>
    <w:p w14:paraId="6C6BD227" w14:textId="77777777" w:rsidR="00834705" w:rsidRDefault="00834705">
      <w:pPr>
        <w:rPr>
          <w:rFonts w:asciiTheme="majorHAnsi" w:hAnsiTheme="majorHAnsi"/>
        </w:rPr>
      </w:pPr>
    </w:p>
    <w:p w14:paraId="7F6A2118" w14:textId="77777777" w:rsidR="00C32EC8" w:rsidRPr="00643A22" w:rsidRDefault="009C4A94">
      <w:pPr>
        <w:rPr>
          <w:rFonts w:asciiTheme="minorHAnsi" w:hAnsiTheme="minorHAnsi"/>
          <w:i/>
        </w:rPr>
      </w:pPr>
      <w:r>
        <w:rPr>
          <w:rFonts w:asciiTheme="minorHAnsi" w:hAnsiTheme="minorHAnsi"/>
          <w:i/>
        </w:rPr>
        <w:t>Inclusion/exclusion c</w:t>
      </w:r>
      <w:r w:rsidR="00C32EC8" w:rsidRPr="00643A22">
        <w:rPr>
          <w:rFonts w:asciiTheme="minorHAnsi" w:hAnsiTheme="minorHAnsi"/>
          <w:i/>
        </w:rPr>
        <w:t>riteria</w:t>
      </w:r>
    </w:p>
    <w:p w14:paraId="258495EC" w14:textId="77777777" w:rsidR="00472A34" w:rsidRPr="00DF189D" w:rsidRDefault="00C32EC8" w:rsidP="00472A34">
      <w:pPr>
        <w:rPr>
          <w:rFonts w:asciiTheme="minorHAnsi" w:hAnsiTheme="minorHAnsi"/>
        </w:rPr>
      </w:pPr>
      <w:r>
        <w:rPr>
          <w:rFonts w:asciiTheme="minorHAnsi" w:hAnsiTheme="minorHAnsi"/>
        </w:rPr>
        <w:t xml:space="preserve">In order to be included in this review, all publications must be available in full text in English. Our search will include </w:t>
      </w:r>
      <w:r w:rsidR="009D0647">
        <w:rPr>
          <w:rFonts w:asciiTheme="minorHAnsi" w:hAnsiTheme="minorHAnsi"/>
        </w:rPr>
        <w:t>empirical article</w:t>
      </w:r>
      <w:r w:rsidR="002124F0">
        <w:rPr>
          <w:rFonts w:asciiTheme="minorHAnsi" w:hAnsiTheme="minorHAnsi"/>
        </w:rPr>
        <w:t>s</w:t>
      </w:r>
      <w:r w:rsidR="00CF6813">
        <w:rPr>
          <w:rFonts w:asciiTheme="minorHAnsi" w:hAnsiTheme="minorHAnsi"/>
        </w:rPr>
        <w:t xml:space="preserve"> and grey literature that have</w:t>
      </w:r>
      <w:r>
        <w:rPr>
          <w:rFonts w:asciiTheme="minorHAnsi" w:hAnsiTheme="minorHAnsi"/>
        </w:rPr>
        <w:t xml:space="preserve"> been published from the year 2000 to present. Th</w:t>
      </w:r>
      <w:r w:rsidR="00CF6813">
        <w:rPr>
          <w:rFonts w:asciiTheme="minorHAnsi" w:hAnsiTheme="minorHAnsi"/>
        </w:rPr>
        <w:t>is aligns with the time</w:t>
      </w:r>
      <w:r w:rsidR="009D0647">
        <w:rPr>
          <w:rFonts w:asciiTheme="minorHAnsi" w:hAnsiTheme="minorHAnsi"/>
        </w:rPr>
        <w:t xml:space="preserve"> when the fields of knowledge translation and implementation science began to </w:t>
      </w:r>
      <w:proofErr w:type="gramStart"/>
      <w:r w:rsidR="009D0647">
        <w:rPr>
          <w:rFonts w:asciiTheme="minorHAnsi" w:hAnsiTheme="minorHAnsi"/>
        </w:rPr>
        <w:t>flourish</w:t>
      </w:r>
      <w:proofErr w:type="gramEnd"/>
      <w:r w:rsidR="009D0647">
        <w:rPr>
          <w:rFonts w:asciiTheme="minorHAnsi" w:hAnsiTheme="minorHAnsi"/>
        </w:rPr>
        <w:t xml:space="preserve"> and scholarly attention began to increase rapidly. </w:t>
      </w:r>
      <w:r w:rsidR="002124F0">
        <w:rPr>
          <w:rFonts w:asciiTheme="minorHAnsi" w:hAnsiTheme="minorHAnsi"/>
        </w:rPr>
        <w:t>For example, several key publications emerged in the early 2000s (</w:t>
      </w:r>
      <w:r w:rsidR="00CF6813">
        <w:rPr>
          <w:rFonts w:asciiTheme="minorHAnsi" w:hAnsiTheme="minorHAnsi"/>
        </w:rPr>
        <w:t xml:space="preserve">e.g. </w:t>
      </w:r>
      <w:r w:rsidR="0013200E">
        <w:rPr>
          <w:rFonts w:asciiTheme="minorHAnsi" w:hAnsiTheme="minorHAnsi"/>
        </w:rPr>
        <w:fldChar w:fldCharType="begin" w:fldLock="1"/>
      </w:r>
      <w:r w:rsidR="00DF189D">
        <w:rPr>
          <w:rFonts w:asciiTheme="minorHAnsi" w:hAnsiTheme="minorHAnsi"/>
        </w:rPr>
        <w:instrText>ADDIN CSL_CITATION { "citationItems" : [ { "id" : "ITEM-1", "itemData" : { "ISSN" : "02782715", "abstract" : "Efforts of one foundation to link the processes of health services research and decision making through all aspects of its research funding are described. This philosophy of linkage and exchange is a promising way to increase the relevance and use of health services research. The Canadian Health Services Research Foundation was formed in 1997 to facilitate evidence-based decision making in Canada's health sector. It is too early to tell whether linkage and exchange can live up to its promise as a tool for moving research into policy. The foundation plans to evaluate its impact on the relevance of the research, on the extent of collaboration, and on changes in the scientific basis of decisions made by health services managers and policy makers. The foundation is equally interested in the impact on researchers.", "author" : [ { "dropping-particle" : "", "family" : "Lomas", "given" : "Jonathan", "non-dropping-particle" : "", "parse-names" : false, "suffix" : "" } ], "container-title" : "Health Affairs", "genre" : "JOUR", "id" : "ITEM-1", "issue" : "3", "issued" : { "date-parts" : [ [ "2000" ] ] }, "language" : "English", "note" : "Copyright - Copyright Project Hope May/Jun 2000\n\nLast updated - 2015-01-17\n\nSubjectsTermNotLitGenreText - Canada", "page" : "236-240", "publisher" : "The People to People Health Foundation, Inc., Project HOPE", "publisher-place" : "Chevy Chase", "title" : "Using 'linkage and exchange' to move research into policy at a Canadian foundation", "type" : "article-journal", "volume" : "19" }, "uris" : [ "http://www.mendeley.com/documents/?uuid=607d2138-4794-4e45-ae24-5b249b367734" ] }, { "id" : "ITEM-2", "itemData" : { "ISSN" : "0887-378X", "PMID" : "12841049", "abstract" : "Five questions--What should be transferred to decision makers? To whom should it be transferred? By whom? How? With what effect?--provide an organizing framework for a knowledge transfer strategy. Opportunities for improving how research organizations transfer research knowledge can be found in the differences between the answers suggested by our understanding of the research literature and those provided by research-organization directors asked to describe what they do. In Canada, these opportunities include developing actionable messages for decision makers (only 30 percent of research organizations frequently or always do this), developing knowledge-uptake skills in target audiences and knowledge-transfer skills in research organizations (only 20 to 22 percent frequently or always do this), and evaluating the impact of knowledge-transfer activities (only 8 to 12 percent frequently or always conduct an evaluation). Research funders can help research organizations take advantage of these opportunities.", "author" : [ { "dropping-particle" : "", "family" : "Lavis", "given" : "John N", "non-dropping-particle" : "", "parse-names" : false, "suffix" : "" }, { "dropping-particle" : "", "family" : "Robertson", "given" : "Dave", "non-dropping-particle" : "", "parse-names" : false, "suffix" : "" }, { "dropping-particle" : "", "family" : "Woodside", "given" : "Jennifer M", "non-dropping-particle" : "", "parse-names" : false, "suffix" : "" }, { "dropping-particle" : "", "family" : "McLeod", "given" : "Christopher B", "non-dropping-particle" : "", "parse-names" : false, "suffix" : "" }, { "dropping-particle" : "", "family" : "Abelson", "given" : "Julia", "non-dropping-particle" : "", "parse-names" : false, "suffix" : "" }, { "dropping-particle" : "", "family" : "Knowledge Transfer Study Group", "given" : "", "non-dropping-particle" : "", "parse-names" : false, "suffix" : "" } ], "container-title" : "The Milbank quarterly", "id" : "ITEM-2", "issue" : "2", "issued" : { "date-parts" : [ [ "2003" ] ] }, "page" : "221-48, 171-2", "title" : "How can research organizations more effectively transfer research knowledge to decision makers?", "type" : "article-journal", "volume" : "81" }, "uris" : [ "http://www.mendeley.com/documents/?uuid=a5ed19a4-fcb4-3e64-93ac-886d65d28a3f" ] } ], "mendeley" : { "formattedCitation" : "(Lavis et al., 2003; Lomas, 2000)", "plainTextFormattedCitation" : "(Lavis et al., 2003; Lomas, 2000)", "previouslyFormattedCitation" : "(Lavis et al., 2003; Lomas, 2000)" }, "properties" : { "noteIndex" : 0 }, "schema" : "https://github.com/citation-style-language/schema/raw/master/csl-citation.json" }</w:instrText>
      </w:r>
      <w:r w:rsidR="0013200E">
        <w:rPr>
          <w:rFonts w:asciiTheme="minorHAnsi" w:hAnsiTheme="minorHAnsi"/>
        </w:rPr>
        <w:fldChar w:fldCharType="separate"/>
      </w:r>
      <w:r w:rsidR="00DF189D" w:rsidRPr="00DF189D">
        <w:rPr>
          <w:rFonts w:asciiTheme="minorHAnsi" w:hAnsiTheme="minorHAnsi"/>
          <w:noProof/>
        </w:rPr>
        <w:t>(Lavis et al., 2003; Lomas, 2000)</w:t>
      </w:r>
      <w:r w:rsidR="0013200E">
        <w:rPr>
          <w:rFonts w:asciiTheme="minorHAnsi" w:hAnsiTheme="minorHAnsi"/>
        </w:rPr>
        <w:fldChar w:fldCharType="end"/>
      </w:r>
      <w:r w:rsidR="00DF189D">
        <w:rPr>
          <w:rFonts w:asciiTheme="minorHAnsi" w:hAnsiTheme="minorHAnsi"/>
        </w:rPr>
        <w:t xml:space="preserve"> </w:t>
      </w:r>
      <w:r w:rsidR="0033238F">
        <w:rPr>
          <w:rFonts w:asciiTheme="minorHAnsi" w:hAnsiTheme="minorHAnsi"/>
        </w:rPr>
        <w:t xml:space="preserve">and journals such as </w:t>
      </w:r>
      <w:r w:rsidR="0033238F" w:rsidRPr="0033238F">
        <w:rPr>
          <w:rFonts w:asciiTheme="minorHAnsi" w:hAnsiTheme="minorHAnsi"/>
          <w:i/>
        </w:rPr>
        <w:t>Implementation Science</w:t>
      </w:r>
      <w:r w:rsidR="00CF6813">
        <w:rPr>
          <w:rFonts w:asciiTheme="minorHAnsi" w:hAnsiTheme="minorHAnsi"/>
          <w:i/>
        </w:rPr>
        <w:t xml:space="preserve"> (E</w:t>
      </w:r>
      <w:r w:rsidR="0033238F">
        <w:rPr>
          <w:rFonts w:asciiTheme="minorHAnsi" w:hAnsiTheme="minorHAnsi"/>
          <w:i/>
        </w:rPr>
        <w:t xml:space="preserve">st. 2006) </w:t>
      </w:r>
      <w:r w:rsidR="0033238F" w:rsidRPr="0033238F">
        <w:rPr>
          <w:rFonts w:asciiTheme="minorHAnsi" w:hAnsiTheme="minorHAnsi"/>
        </w:rPr>
        <w:t>and</w:t>
      </w:r>
      <w:r w:rsidR="00CF6813">
        <w:rPr>
          <w:rFonts w:asciiTheme="minorHAnsi" w:hAnsiTheme="minorHAnsi"/>
          <w:i/>
        </w:rPr>
        <w:t xml:space="preserve"> Evidence and Policy (E</w:t>
      </w:r>
      <w:r w:rsidR="0033238F">
        <w:rPr>
          <w:rFonts w:asciiTheme="minorHAnsi" w:hAnsiTheme="minorHAnsi"/>
          <w:i/>
        </w:rPr>
        <w:t>st. 2005)</w:t>
      </w:r>
      <w:r w:rsidR="0033238F">
        <w:rPr>
          <w:rFonts w:asciiTheme="minorHAnsi" w:hAnsiTheme="minorHAnsi"/>
        </w:rPr>
        <w:t xml:space="preserve"> were created shortly thereafter</w:t>
      </w:r>
      <w:r w:rsidR="002124F0">
        <w:rPr>
          <w:rFonts w:asciiTheme="minorHAnsi" w:hAnsiTheme="minorHAnsi"/>
        </w:rPr>
        <w:t xml:space="preserve">. </w:t>
      </w:r>
      <w:r w:rsidR="009D0647">
        <w:rPr>
          <w:rFonts w:asciiTheme="minorHAnsi" w:hAnsiTheme="minorHAnsi"/>
        </w:rPr>
        <w:t>Implementation research in the field of political science and policy, however, began developing conceptual thinking and empirical works in the last quarter of the 20</w:t>
      </w:r>
      <w:r w:rsidR="009D0647" w:rsidRPr="009D0647">
        <w:rPr>
          <w:rFonts w:asciiTheme="minorHAnsi" w:hAnsiTheme="minorHAnsi"/>
          <w:vertAlign w:val="superscript"/>
        </w:rPr>
        <w:t>th</w:t>
      </w:r>
      <w:r w:rsidR="009D0647">
        <w:rPr>
          <w:rFonts w:asciiTheme="minorHAnsi" w:hAnsiTheme="minorHAnsi"/>
        </w:rPr>
        <w:t xml:space="preserve"> Century, beginning with the</w:t>
      </w:r>
      <w:r w:rsidR="002124F0">
        <w:rPr>
          <w:rFonts w:asciiTheme="minorHAnsi" w:hAnsiTheme="minorHAnsi"/>
        </w:rPr>
        <w:t xml:space="preserve"> </w:t>
      </w:r>
      <w:proofErr w:type="gramStart"/>
      <w:r w:rsidR="002124F0" w:rsidRPr="002124F0">
        <w:rPr>
          <w:rFonts w:asciiTheme="minorHAnsi" w:hAnsiTheme="minorHAnsi"/>
        </w:rPr>
        <w:t>often cited</w:t>
      </w:r>
      <w:proofErr w:type="gramEnd"/>
      <w:r w:rsidR="002124F0" w:rsidRPr="002124F0">
        <w:rPr>
          <w:rFonts w:asciiTheme="minorHAnsi" w:hAnsiTheme="minorHAnsi"/>
        </w:rPr>
        <w:t xml:space="preserve"> Pressman and </w:t>
      </w:r>
      <w:proofErr w:type="spellStart"/>
      <w:r w:rsidR="002124F0" w:rsidRPr="002124F0">
        <w:rPr>
          <w:rFonts w:asciiTheme="minorHAnsi" w:hAnsiTheme="minorHAnsi"/>
        </w:rPr>
        <w:t>Wildavsky’s</w:t>
      </w:r>
      <w:proofErr w:type="spellEnd"/>
      <w:r w:rsidR="002124F0" w:rsidRPr="002124F0">
        <w:rPr>
          <w:rFonts w:asciiTheme="minorHAnsi" w:hAnsiTheme="minorHAnsi"/>
        </w:rPr>
        <w:t xml:space="preserve"> (1973) book, “</w:t>
      </w:r>
      <w:r w:rsidR="002124F0" w:rsidRPr="002124F0">
        <w:rPr>
          <w:rFonts w:asciiTheme="minorHAnsi" w:hAnsiTheme="minorHAnsi"/>
          <w:i/>
        </w:rPr>
        <w:t>Implementation. How Great Expectations in Washington Are Dashed in Oakland</w:t>
      </w:r>
      <w:r w:rsidR="002124F0" w:rsidRPr="002124F0">
        <w:rPr>
          <w:rFonts w:asciiTheme="minorHAnsi" w:hAnsiTheme="minorHAnsi"/>
        </w:rPr>
        <w:t>”, as the first work to systematically explore policy implementation</w:t>
      </w:r>
      <w:r w:rsidR="002124F0">
        <w:rPr>
          <w:rFonts w:asciiTheme="minorHAnsi" w:hAnsiTheme="minorHAnsi"/>
        </w:rPr>
        <w:t xml:space="preserve">. Since then, the literature has gone through at least three “generations” of implementation scholarship, the first and second of which were prior to the turn of the century. Therefore, to ensure important conceptual models, theories and frameworks are captured in this </w:t>
      </w:r>
      <w:r w:rsidR="0033238F">
        <w:rPr>
          <w:rFonts w:asciiTheme="minorHAnsi" w:hAnsiTheme="minorHAnsi"/>
        </w:rPr>
        <w:t>review, a sub-search will be per</w:t>
      </w:r>
      <w:r w:rsidR="002124F0">
        <w:rPr>
          <w:rFonts w:asciiTheme="minorHAnsi" w:hAnsiTheme="minorHAnsi"/>
        </w:rPr>
        <w:t xml:space="preserve">formed only on those databases likely to capture these works </w:t>
      </w:r>
      <w:r w:rsidR="00643A22">
        <w:rPr>
          <w:rFonts w:asciiTheme="minorHAnsi" w:hAnsiTheme="minorHAnsi"/>
        </w:rPr>
        <w:t>and limited only to conceptual contributions from 1973 to present.</w:t>
      </w:r>
      <w:r w:rsidR="002124F0">
        <w:rPr>
          <w:rFonts w:asciiTheme="minorHAnsi" w:hAnsiTheme="minorHAnsi"/>
        </w:rPr>
        <w:t xml:space="preserve"> </w:t>
      </w:r>
    </w:p>
    <w:p w14:paraId="6A78507B" w14:textId="77777777" w:rsidR="00472A34" w:rsidRDefault="00472A34" w:rsidP="00472A34">
      <w:pPr>
        <w:ind w:firstLine="720"/>
        <w:rPr>
          <w:rFonts w:asciiTheme="minorHAnsi" w:hAnsiTheme="minorHAnsi"/>
        </w:rPr>
      </w:pPr>
      <w:r>
        <w:rPr>
          <w:rFonts w:asciiTheme="minorHAnsi" w:hAnsiTheme="minorHAnsi"/>
        </w:rPr>
        <w:t xml:space="preserve">Given our interest in implementation processes from a policy lens, we will limit our review to implementation models, theories, frameworks and empirical reports that describe implementation efforts at a community or systems level (for example, city, province/state or country) where policy considerations are most likely to be an important factor. Implementation of a single evidence-based practice (unless across a large scale) or implementation in a single organization or program will be excluded. We will also exclude research that focuses on the individual behavior change level. </w:t>
      </w:r>
      <w:r w:rsidR="002D6FB5">
        <w:rPr>
          <w:rFonts w:asciiTheme="minorHAnsi" w:hAnsiTheme="minorHAnsi"/>
        </w:rPr>
        <w:t xml:space="preserve">However, we will not exclude individual actors at each of the three levels (government, organizational or practice) such </w:t>
      </w:r>
      <w:r w:rsidR="002D6FB5">
        <w:rPr>
          <w:rFonts w:asciiTheme="minorHAnsi" w:hAnsiTheme="minorHAnsi"/>
        </w:rPr>
        <w:lastRenderedPageBreak/>
        <w:t xml:space="preserve">as policy entrepreneurs who may be central to implementation efforts. </w:t>
      </w:r>
      <w:r>
        <w:rPr>
          <w:rFonts w:asciiTheme="minorHAnsi" w:hAnsiTheme="minorHAnsi"/>
        </w:rPr>
        <w:t>Additionally, we will exclude theories or studies that focus on other parts of the policy process (agenda setting, policy formulation, and evaluation).</w:t>
      </w:r>
    </w:p>
    <w:p w14:paraId="24B45F0B" w14:textId="77777777" w:rsidR="00472A34" w:rsidRDefault="00472A34">
      <w:pPr>
        <w:rPr>
          <w:rFonts w:asciiTheme="minorHAnsi" w:hAnsiTheme="minorHAnsi"/>
          <w:i/>
        </w:rPr>
      </w:pPr>
    </w:p>
    <w:p w14:paraId="36AEF31A" w14:textId="77777777" w:rsidR="00FB2E8C" w:rsidRDefault="009C4A94">
      <w:pPr>
        <w:rPr>
          <w:rFonts w:asciiTheme="minorHAnsi" w:hAnsiTheme="minorHAnsi"/>
          <w:i/>
        </w:rPr>
      </w:pPr>
      <w:r>
        <w:rPr>
          <w:rFonts w:asciiTheme="minorHAnsi" w:hAnsiTheme="minorHAnsi"/>
          <w:i/>
        </w:rPr>
        <w:t>Article selection and r</w:t>
      </w:r>
      <w:r w:rsidR="00FB2E8C">
        <w:rPr>
          <w:rFonts w:asciiTheme="minorHAnsi" w:hAnsiTheme="minorHAnsi"/>
          <w:i/>
        </w:rPr>
        <w:t>eview</w:t>
      </w:r>
    </w:p>
    <w:p w14:paraId="70B0F892" w14:textId="7F2414F6" w:rsidR="00FB2E8C" w:rsidRDefault="00472A34">
      <w:pPr>
        <w:rPr>
          <w:rFonts w:asciiTheme="minorHAnsi" w:hAnsiTheme="minorHAnsi"/>
        </w:rPr>
      </w:pPr>
      <w:r>
        <w:rPr>
          <w:rFonts w:asciiTheme="minorHAnsi" w:hAnsiTheme="minorHAnsi"/>
        </w:rPr>
        <w:t xml:space="preserve">Results from the searches will be stored </w:t>
      </w:r>
      <w:r w:rsidR="00101BC7">
        <w:rPr>
          <w:rFonts w:asciiTheme="minorHAnsi" w:hAnsiTheme="minorHAnsi"/>
        </w:rPr>
        <w:t xml:space="preserve">separately </w:t>
      </w:r>
      <w:r>
        <w:rPr>
          <w:rFonts w:asciiTheme="minorHAnsi" w:hAnsiTheme="minorHAnsi"/>
        </w:rPr>
        <w:t xml:space="preserve">in an Endnote database. Once there, the </w:t>
      </w:r>
      <w:r w:rsidR="001D0FEA">
        <w:rPr>
          <w:rFonts w:asciiTheme="minorHAnsi" w:hAnsiTheme="minorHAnsi"/>
        </w:rPr>
        <w:t>primary</w:t>
      </w:r>
      <w:r>
        <w:rPr>
          <w:rFonts w:asciiTheme="minorHAnsi" w:hAnsiTheme="minorHAnsi"/>
        </w:rPr>
        <w:t xml:space="preserve"> author (HB) will remove duplicates and clean the files for review. </w:t>
      </w:r>
      <w:r w:rsidR="001D0FEA">
        <w:rPr>
          <w:rFonts w:asciiTheme="minorHAnsi" w:hAnsiTheme="minorHAnsi"/>
        </w:rPr>
        <w:t>Titles and abstracts will then be scanned and categorized as either “potential” or “exclude” and as either “conceptual” (for models, theories and frameworks) or “</w:t>
      </w:r>
      <w:proofErr w:type="gramStart"/>
      <w:r w:rsidR="001D0FEA">
        <w:rPr>
          <w:rFonts w:asciiTheme="minorHAnsi" w:hAnsiTheme="minorHAnsi"/>
        </w:rPr>
        <w:t>empirical”  (</w:t>
      </w:r>
      <w:proofErr w:type="gramEnd"/>
      <w:r w:rsidR="001D0FEA">
        <w:rPr>
          <w:rFonts w:asciiTheme="minorHAnsi" w:hAnsiTheme="minorHAnsi"/>
        </w:rPr>
        <w:t>for case studies, practice descriptions</w:t>
      </w:r>
      <w:r w:rsidR="002C1CD5">
        <w:rPr>
          <w:rFonts w:asciiTheme="minorHAnsi" w:hAnsiTheme="minorHAnsi"/>
        </w:rPr>
        <w:t>, reports and research studies on implementation processes and outcomes</w:t>
      </w:r>
      <w:r w:rsidR="00541BC8">
        <w:rPr>
          <w:rFonts w:asciiTheme="minorHAnsi" w:hAnsiTheme="minorHAnsi"/>
        </w:rPr>
        <w:t>)</w:t>
      </w:r>
      <w:r w:rsidR="002C1CD5">
        <w:rPr>
          <w:rFonts w:asciiTheme="minorHAnsi" w:hAnsiTheme="minorHAnsi"/>
        </w:rPr>
        <w:t>. A random selection of 10% of the results will be reviewed by a second author (AM) using the same criteria to ensure adequate agreement about what should be included. Reviewers will be blind to each other’s ratings. Once complete, these authors will compare ratings and discuss any disagreements until consensus is reached (Boyko et al 2012).</w:t>
      </w:r>
    </w:p>
    <w:p w14:paraId="503CE7DB" w14:textId="77777777" w:rsidR="00472A34" w:rsidRPr="00FB2E8C" w:rsidRDefault="00472A34">
      <w:pPr>
        <w:rPr>
          <w:rFonts w:asciiTheme="minorHAnsi" w:hAnsiTheme="minorHAnsi"/>
        </w:rPr>
      </w:pPr>
    </w:p>
    <w:p w14:paraId="4B97AF46" w14:textId="77777777" w:rsidR="009825AE" w:rsidRDefault="004D520A">
      <w:pPr>
        <w:rPr>
          <w:rFonts w:asciiTheme="minorHAnsi" w:hAnsiTheme="minorHAnsi"/>
          <w:i/>
        </w:rPr>
      </w:pPr>
      <w:r>
        <w:rPr>
          <w:rFonts w:asciiTheme="minorHAnsi" w:hAnsiTheme="minorHAnsi"/>
          <w:i/>
        </w:rPr>
        <w:t>S</w:t>
      </w:r>
      <w:r w:rsidR="009825AE">
        <w:rPr>
          <w:rFonts w:asciiTheme="minorHAnsi" w:hAnsiTheme="minorHAnsi"/>
          <w:i/>
        </w:rPr>
        <w:t>ampling</w:t>
      </w:r>
    </w:p>
    <w:p w14:paraId="152BEDCB" w14:textId="77777777" w:rsidR="004D520A" w:rsidRPr="004D520A" w:rsidRDefault="00F20C72" w:rsidP="004D520A">
      <w:pPr>
        <w:rPr>
          <w:rFonts w:asciiTheme="minorHAnsi" w:hAnsiTheme="minorHAnsi"/>
        </w:rPr>
      </w:pPr>
      <w:r>
        <w:rPr>
          <w:rFonts w:asciiTheme="minorHAnsi" w:hAnsiTheme="minorHAnsi"/>
        </w:rPr>
        <w:t>We anticipate the number of relevant models, theories and frameworks (data source 1) identified will be manageable in size and we will therefore include them all for full text review. However, in relation to data sources 2 and 3, g</w:t>
      </w:r>
      <w:r w:rsidR="004D520A">
        <w:rPr>
          <w:rFonts w:asciiTheme="minorHAnsi" w:hAnsiTheme="minorHAnsi"/>
        </w:rPr>
        <w:t>iven the broad inclusion criteria</w:t>
      </w:r>
      <w:r>
        <w:rPr>
          <w:rFonts w:asciiTheme="minorHAnsi" w:hAnsiTheme="minorHAnsi"/>
        </w:rPr>
        <w:t xml:space="preserve"> stemming from our compass question, we anticipate a large number of potentially relevant </w:t>
      </w:r>
      <w:r w:rsidR="00AE6401">
        <w:rPr>
          <w:rFonts w:asciiTheme="minorHAnsi" w:hAnsiTheme="minorHAnsi"/>
        </w:rPr>
        <w:t>publications</w:t>
      </w:r>
      <w:r>
        <w:rPr>
          <w:rFonts w:asciiTheme="minorHAnsi" w:hAnsiTheme="minorHAnsi"/>
        </w:rPr>
        <w:t>. If this is the case, we will s</w:t>
      </w:r>
      <w:r w:rsidR="00D93014" w:rsidRPr="004D520A">
        <w:rPr>
          <w:rFonts w:asciiTheme="minorHAnsi" w:hAnsiTheme="minorHAnsi"/>
        </w:rPr>
        <w:t>eek to construct a maximum variation sam</w:t>
      </w:r>
      <w:r w:rsidR="00EC0F88" w:rsidRPr="004D520A">
        <w:rPr>
          <w:rFonts w:asciiTheme="minorHAnsi" w:hAnsiTheme="minorHAnsi"/>
        </w:rPr>
        <w:t>ple</w:t>
      </w:r>
      <w:r>
        <w:rPr>
          <w:rFonts w:asciiTheme="minorHAnsi" w:hAnsiTheme="minorHAnsi"/>
        </w:rPr>
        <w:t xml:space="preserve"> from this sampling frame</w:t>
      </w:r>
      <w:r w:rsidR="00EC0F88" w:rsidRPr="004D520A">
        <w:rPr>
          <w:rFonts w:asciiTheme="minorHAnsi" w:hAnsiTheme="minorHAnsi"/>
        </w:rPr>
        <w:t xml:space="preserve"> that is diverse in terms of: scale of implementation</w:t>
      </w:r>
      <w:r>
        <w:rPr>
          <w:rFonts w:asciiTheme="minorHAnsi" w:hAnsiTheme="minorHAnsi"/>
        </w:rPr>
        <w:t xml:space="preserve"> (community, city, province/state, country), area of scholarship (political science, policy and public management and implementation/KT literature)</w:t>
      </w:r>
      <w:r w:rsidR="00AE6401">
        <w:rPr>
          <w:rFonts w:asciiTheme="minorHAnsi" w:hAnsiTheme="minorHAnsi"/>
        </w:rPr>
        <w:t xml:space="preserve"> and implementation focus (for example, encompassing the implementation of evidence-based practice, formal legislation, policy priority or research evidence). However, i</w:t>
      </w:r>
      <w:r w:rsidR="004D520A">
        <w:rPr>
          <w:rFonts w:asciiTheme="minorHAnsi" w:hAnsiTheme="minorHAnsi"/>
        </w:rPr>
        <w:t xml:space="preserve">n line with the CIS approach, searching will be iterative and will evolve, along with the compass question, as the work proceeds. This means that further purposive sampling may occur as the review unfolds to fill conceptual gaps or to examine one component from an </w:t>
      </w:r>
      <w:proofErr w:type="spellStart"/>
      <w:r w:rsidR="004D520A">
        <w:rPr>
          <w:rFonts w:asciiTheme="minorHAnsi" w:hAnsiTheme="minorHAnsi"/>
        </w:rPr>
        <w:t>alterative</w:t>
      </w:r>
      <w:proofErr w:type="spellEnd"/>
      <w:r w:rsidR="004D520A">
        <w:rPr>
          <w:rFonts w:asciiTheme="minorHAnsi" w:hAnsiTheme="minorHAnsi"/>
        </w:rPr>
        <w:t xml:space="preserve"> perspective.</w:t>
      </w:r>
      <w:r w:rsidR="00AE6401">
        <w:rPr>
          <w:rFonts w:asciiTheme="minorHAnsi" w:hAnsiTheme="minorHAnsi"/>
        </w:rPr>
        <w:t xml:space="preserve"> We also anticipate employing some theoretical sampling to add, test and elaborate on the emerging analysis, similar to that described in Dixon-Woods et al 2006.</w:t>
      </w:r>
    </w:p>
    <w:p w14:paraId="514E44A9" w14:textId="77777777" w:rsidR="002C1CD5" w:rsidRDefault="002C1CD5">
      <w:pPr>
        <w:rPr>
          <w:rFonts w:asciiTheme="minorHAnsi" w:hAnsiTheme="minorHAnsi"/>
          <w:i/>
        </w:rPr>
      </w:pPr>
    </w:p>
    <w:p w14:paraId="42ACDEE9" w14:textId="77777777" w:rsidR="009825AE" w:rsidRDefault="009C4A94">
      <w:pPr>
        <w:rPr>
          <w:rFonts w:asciiTheme="minorHAnsi" w:hAnsiTheme="minorHAnsi"/>
          <w:i/>
        </w:rPr>
      </w:pPr>
      <w:r>
        <w:rPr>
          <w:rFonts w:asciiTheme="minorHAnsi" w:hAnsiTheme="minorHAnsi"/>
          <w:i/>
        </w:rPr>
        <w:t>Data e</w:t>
      </w:r>
      <w:r w:rsidR="009825AE">
        <w:rPr>
          <w:rFonts w:asciiTheme="minorHAnsi" w:hAnsiTheme="minorHAnsi"/>
          <w:i/>
        </w:rPr>
        <w:t xml:space="preserve">xtraction and </w:t>
      </w:r>
      <w:r>
        <w:rPr>
          <w:rFonts w:asciiTheme="minorHAnsi" w:hAnsiTheme="minorHAnsi"/>
          <w:i/>
        </w:rPr>
        <w:t>conceptual m</w:t>
      </w:r>
      <w:r w:rsidR="00286564">
        <w:rPr>
          <w:rFonts w:asciiTheme="minorHAnsi" w:hAnsiTheme="minorHAnsi"/>
          <w:i/>
        </w:rPr>
        <w:t>apping</w:t>
      </w:r>
    </w:p>
    <w:p w14:paraId="7CF07079" w14:textId="77777777" w:rsidR="00FC501B" w:rsidRDefault="00286564">
      <w:pPr>
        <w:rPr>
          <w:rFonts w:asciiTheme="minorHAnsi" w:hAnsiTheme="minorHAnsi"/>
        </w:rPr>
      </w:pPr>
      <w:r>
        <w:rPr>
          <w:rFonts w:asciiTheme="minorHAnsi" w:hAnsiTheme="minorHAnsi"/>
        </w:rPr>
        <w:t>All articles that are included in the sample will be read in full.</w:t>
      </w:r>
      <w:r w:rsidR="004321BE">
        <w:rPr>
          <w:rFonts w:asciiTheme="minorHAnsi" w:hAnsiTheme="minorHAnsi"/>
        </w:rPr>
        <w:t xml:space="preserve"> Data from the ar</w:t>
      </w:r>
      <w:r w:rsidR="008B2E12">
        <w:rPr>
          <w:rFonts w:asciiTheme="minorHAnsi" w:hAnsiTheme="minorHAnsi"/>
        </w:rPr>
        <w:t>ticles will be extracted using two</w:t>
      </w:r>
      <w:r w:rsidR="004321BE">
        <w:rPr>
          <w:rFonts w:asciiTheme="minorHAnsi" w:hAnsiTheme="minorHAnsi"/>
        </w:rPr>
        <w:t xml:space="preserve"> data extraction forms (Tables 2 and 3)</w:t>
      </w:r>
      <w:r w:rsidR="00EB3D0C">
        <w:rPr>
          <w:rFonts w:asciiTheme="minorHAnsi" w:hAnsiTheme="minorHAnsi"/>
        </w:rPr>
        <w:t xml:space="preserve">. The first form will capture how policy is portrayed in </w:t>
      </w:r>
      <w:r w:rsidR="00B41255">
        <w:rPr>
          <w:rFonts w:asciiTheme="minorHAnsi" w:hAnsiTheme="minorHAnsi"/>
        </w:rPr>
        <w:t xml:space="preserve">relation to other features of implementation in </w:t>
      </w:r>
      <w:r w:rsidR="00EB3D0C">
        <w:rPr>
          <w:rFonts w:asciiTheme="minorHAnsi" w:hAnsiTheme="minorHAnsi"/>
        </w:rPr>
        <w:t>the conceptual literature (data source 1). The second form will capture how policy is portrayed in the empirical and practice literatures (data sources 2 and 3). In addition to information on how policy is portrayed, the extraction forms provide information on the article characteristics, including publication year, design, jurisdiction(s) of focus, academic discipline and key findings or messages from each article. Comments pertaining to the article quality will also be noted</w:t>
      </w:r>
      <w:r w:rsidR="00D801DD">
        <w:rPr>
          <w:rFonts w:asciiTheme="minorHAnsi" w:hAnsiTheme="minorHAnsi"/>
        </w:rPr>
        <w:t xml:space="preserve"> drawing on the quality </w:t>
      </w:r>
      <w:r w:rsidR="008B2E12">
        <w:rPr>
          <w:rFonts w:asciiTheme="minorHAnsi" w:hAnsiTheme="minorHAnsi"/>
        </w:rPr>
        <w:t xml:space="preserve">criteria developed by the National Health Service and adapted by Dixon-Woods and colleagues (2006) for empirical articles, which include: a) the aims and objectives of the research are clearly stated; b) the research design is clearly described and appropriate given the aims and objectives of the research; c) the process by which findings are produced is clearly described; d) the data provided sufficiently supports </w:t>
      </w:r>
      <w:r w:rsidR="008B2E12">
        <w:rPr>
          <w:rFonts w:asciiTheme="minorHAnsi" w:hAnsiTheme="minorHAnsi"/>
        </w:rPr>
        <w:lastRenderedPageBreak/>
        <w:t>interpretations and conclusions; and e) the analytical approach is appropriate and adequately explained. The criteria we will use for the non-empirical papers (data sources 1 and 3) include: a) the purpose of the paper is clearly stated; b) the rationale or background for the paper is provided; and c) the paper provides enough information or argumentation to support c</w:t>
      </w:r>
      <w:r w:rsidR="00D93CA5">
        <w:rPr>
          <w:rFonts w:asciiTheme="minorHAnsi" w:hAnsiTheme="minorHAnsi"/>
        </w:rPr>
        <w:t>laims or conclusions. Any publication</w:t>
      </w:r>
      <w:r w:rsidR="008B2E12">
        <w:rPr>
          <w:rFonts w:asciiTheme="minorHAnsi" w:hAnsiTheme="minorHAnsi"/>
        </w:rPr>
        <w:t xml:space="preserve"> that </w:t>
      </w:r>
      <w:r w:rsidR="00D93CA5">
        <w:rPr>
          <w:rFonts w:asciiTheme="minorHAnsi" w:hAnsiTheme="minorHAnsi"/>
        </w:rPr>
        <w:t>is</w:t>
      </w:r>
      <w:r w:rsidR="008B2E12">
        <w:rPr>
          <w:rFonts w:asciiTheme="minorHAnsi" w:hAnsiTheme="minorHAnsi"/>
        </w:rPr>
        <w:t xml:space="preserve"> found to be low quality based on these criteria will be assessed for</w:t>
      </w:r>
      <w:r w:rsidR="00D93CA5">
        <w:rPr>
          <w:rFonts w:asciiTheme="minorHAnsi" w:hAnsiTheme="minorHAnsi"/>
        </w:rPr>
        <w:t xml:space="preserve"> relevance in terms of the extent to which it informs theory (Barnett-Page &amp; Thomas, 2009). Publications that are low quality and low relevance will be excluded. However, in keeping with the critical interpretive synthesis approach, and consistent with previous studies (Boyko et al, 2012), relevance will be prioritized over quality resulting in the potential for low quality but relevant publications to remain in sample for analysis.</w:t>
      </w:r>
    </w:p>
    <w:p w14:paraId="2F17DE60" w14:textId="77777777" w:rsidR="009C4A94" w:rsidRDefault="009C4A94">
      <w:pPr>
        <w:rPr>
          <w:rFonts w:asciiTheme="minorHAnsi" w:hAnsiTheme="minorHAnsi"/>
          <w:i/>
        </w:rPr>
      </w:pPr>
    </w:p>
    <w:p w14:paraId="41BACBA3" w14:textId="77777777" w:rsidR="00802792" w:rsidRPr="00FC501B" w:rsidRDefault="009C4A94">
      <w:pPr>
        <w:rPr>
          <w:rFonts w:asciiTheme="minorHAnsi" w:hAnsiTheme="minorHAnsi"/>
          <w:i/>
        </w:rPr>
      </w:pPr>
      <w:r>
        <w:rPr>
          <w:rFonts w:asciiTheme="minorHAnsi" w:hAnsiTheme="minorHAnsi"/>
          <w:i/>
        </w:rPr>
        <w:t>Data a</w:t>
      </w:r>
      <w:r w:rsidR="00FC501B" w:rsidRPr="00FC501B">
        <w:rPr>
          <w:rFonts w:asciiTheme="minorHAnsi" w:hAnsiTheme="minorHAnsi"/>
          <w:i/>
        </w:rPr>
        <w:t>nalysis</w:t>
      </w:r>
      <w:r w:rsidR="00D93CA5" w:rsidRPr="00FC501B">
        <w:rPr>
          <w:rFonts w:asciiTheme="minorHAnsi" w:hAnsiTheme="minorHAnsi"/>
          <w:i/>
        </w:rPr>
        <w:t xml:space="preserve"> </w:t>
      </w:r>
    </w:p>
    <w:p w14:paraId="3622FFFC" w14:textId="380695AE" w:rsidR="00FD1908" w:rsidRDefault="00FC501B">
      <w:pPr>
        <w:rPr>
          <w:rFonts w:asciiTheme="minorHAnsi" w:hAnsiTheme="minorHAnsi"/>
        </w:rPr>
      </w:pPr>
      <w:r>
        <w:rPr>
          <w:rFonts w:asciiTheme="minorHAnsi" w:hAnsiTheme="minorHAnsi"/>
        </w:rPr>
        <w:t>Drawing from qualitative anal</w:t>
      </w:r>
      <w:r w:rsidR="005545AD">
        <w:rPr>
          <w:rFonts w:asciiTheme="minorHAnsi" w:hAnsiTheme="minorHAnsi"/>
        </w:rPr>
        <w:t xml:space="preserve">ytical techniques, we will use a constant comparative </w:t>
      </w:r>
      <w:r w:rsidR="00AC0142">
        <w:rPr>
          <w:rFonts w:asciiTheme="minorHAnsi" w:hAnsiTheme="minorHAnsi"/>
        </w:rPr>
        <w:t>method</w:t>
      </w:r>
      <w:r w:rsidR="005545AD">
        <w:rPr>
          <w:rFonts w:asciiTheme="minorHAnsi" w:hAnsiTheme="minorHAnsi"/>
        </w:rPr>
        <w:t xml:space="preserve"> </w:t>
      </w:r>
      <w:r w:rsidR="00AC0142">
        <w:rPr>
          <w:rFonts w:asciiTheme="minorHAnsi" w:hAnsiTheme="minorHAnsi"/>
        </w:rPr>
        <w:t>to simultaneously collect and analyze data</w:t>
      </w:r>
      <w:r>
        <w:rPr>
          <w:rFonts w:asciiTheme="minorHAnsi" w:hAnsiTheme="minorHAnsi"/>
        </w:rPr>
        <w:t xml:space="preserve"> </w:t>
      </w:r>
      <w:r w:rsidR="00AC0142">
        <w:rPr>
          <w:rFonts w:asciiTheme="minorHAnsi" w:hAnsiTheme="minorHAnsi"/>
        </w:rPr>
        <w:t>whereby each new publication is compared with existing data (</w:t>
      </w:r>
      <w:r w:rsidR="00541BC8" w:rsidRPr="00541BC8">
        <w:rPr>
          <w:rFonts w:asciiTheme="minorHAnsi" w:hAnsiTheme="minorHAnsi"/>
        </w:rPr>
        <w:t>Strauss &amp; Corbin, 1990</w:t>
      </w:r>
      <w:r w:rsidR="00AC0142">
        <w:rPr>
          <w:rFonts w:asciiTheme="minorHAnsi" w:hAnsiTheme="minorHAnsi"/>
        </w:rPr>
        <w:t xml:space="preserve">). </w:t>
      </w:r>
      <w:r w:rsidR="002D6A31">
        <w:rPr>
          <w:rFonts w:asciiTheme="minorHAnsi" w:hAnsiTheme="minorHAnsi"/>
        </w:rPr>
        <w:t>Our approach will consider contradictions and flaws</w:t>
      </w:r>
      <w:r w:rsidR="00627ABF">
        <w:rPr>
          <w:rFonts w:asciiTheme="minorHAnsi" w:hAnsiTheme="minorHAnsi"/>
        </w:rPr>
        <w:t xml:space="preserve"> in the evidence and theory. We will reflect on the credibility of the evidence and make critical judgments about how each paper contributes to the overall conceptualization of implementation from a policy perspective</w:t>
      </w:r>
      <w:r w:rsidR="002D6A31">
        <w:rPr>
          <w:rFonts w:asciiTheme="minorHAnsi" w:hAnsiTheme="minorHAnsi"/>
        </w:rPr>
        <w:t xml:space="preserve">. </w:t>
      </w:r>
      <w:r w:rsidR="00AC0142">
        <w:rPr>
          <w:rFonts w:asciiTheme="minorHAnsi" w:hAnsiTheme="minorHAnsi"/>
        </w:rPr>
        <w:t>Data will be coded to identify recurring themes</w:t>
      </w:r>
      <w:r w:rsidR="00E67A6D">
        <w:rPr>
          <w:rFonts w:asciiTheme="minorHAnsi" w:hAnsiTheme="minorHAnsi"/>
        </w:rPr>
        <w:t xml:space="preserve"> and concepts, which will inform the creation of ‘synthetic constructs’ developed </w:t>
      </w:r>
      <w:r w:rsidR="00627ABF">
        <w:rPr>
          <w:rFonts w:asciiTheme="minorHAnsi" w:hAnsiTheme="minorHAnsi"/>
        </w:rPr>
        <w:t>by transforming the</w:t>
      </w:r>
      <w:r w:rsidR="00E67A6D">
        <w:rPr>
          <w:rFonts w:asciiTheme="minorHAnsi" w:hAnsiTheme="minorHAnsi"/>
        </w:rPr>
        <w:t xml:space="preserve"> underlying evidence in</w:t>
      </w:r>
      <w:r w:rsidR="00627ABF">
        <w:rPr>
          <w:rFonts w:asciiTheme="minorHAnsi" w:hAnsiTheme="minorHAnsi"/>
        </w:rPr>
        <w:t>to</w:t>
      </w:r>
      <w:r w:rsidR="00E67A6D">
        <w:rPr>
          <w:rFonts w:asciiTheme="minorHAnsi" w:hAnsiTheme="minorHAnsi"/>
        </w:rPr>
        <w:t xml:space="preserve"> a new conceptual form (Dixon-Woods et al 2006). According to Dixon-Woods and colleagues (2006), synthetic constructs are “grounded in the evidence, but result from an interpretation of the whole of that </w:t>
      </w:r>
      <w:proofErr w:type="gramStart"/>
      <w:r w:rsidR="00E67A6D">
        <w:rPr>
          <w:rFonts w:asciiTheme="minorHAnsi" w:hAnsiTheme="minorHAnsi"/>
        </w:rPr>
        <w:t>evidence, and</w:t>
      </w:r>
      <w:proofErr w:type="gramEnd"/>
      <w:r w:rsidR="00E67A6D">
        <w:rPr>
          <w:rFonts w:asciiTheme="minorHAnsi" w:hAnsiTheme="minorHAnsi"/>
        </w:rPr>
        <w:t xml:space="preserve"> allow the possibility of several disparate aspects of a phenomenon being unified in a more useful and explanatory way.” (p.5). </w:t>
      </w:r>
      <w:r w:rsidR="00192A22">
        <w:rPr>
          <w:rFonts w:asciiTheme="minorHAnsi" w:hAnsiTheme="minorHAnsi"/>
        </w:rPr>
        <w:t>We will proceed using this approach</w:t>
      </w:r>
      <w:r w:rsidR="008F3A5D">
        <w:rPr>
          <w:rFonts w:asciiTheme="minorHAnsi" w:hAnsiTheme="minorHAnsi"/>
        </w:rPr>
        <w:t>, filling in any conceptual gaps using additional theoretical sampling</w:t>
      </w:r>
      <w:r w:rsidR="00192A22">
        <w:rPr>
          <w:rFonts w:asciiTheme="minorHAnsi" w:hAnsiTheme="minorHAnsi"/>
        </w:rPr>
        <w:t xml:space="preserve"> until </w:t>
      </w:r>
      <w:r w:rsidR="00945A6F">
        <w:rPr>
          <w:rFonts w:asciiTheme="minorHAnsi" w:hAnsiTheme="minorHAnsi"/>
        </w:rPr>
        <w:t xml:space="preserve">theoretical </w:t>
      </w:r>
      <w:r w:rsidR="00192A22">
        <w:rPr>
          <w:rFonts w:asciiTheme="minorHAnsi" w:hAnsiTheme="minorHAnsi"/>
        </w:rPr>
        <w:t>saturation is reached</w:t>
      </w:r>
      <w:r w:rsidR="00945A6F">
        <w:rPr>
          <w:rFonts w:asciiTheme="minorHAnsi" w:hAnsiTheme="minorHAnsi"/>
        </w:rPr>
        <w:t xml:space="preserve"> (Creswell 2013)</w:t>
      </w:r>
      <w:r w:rsidR="00192A22">
        <w:rPr>
          <w:rFonts w:asciiTheme="minorHAnsi" w:hAnsiTheme="minorHAnsi"/>
        </w:rPr>
        <w:t xml:space="preserve">. </w:t>
      </w:r>
      <w:r w:rsidR="00E67A6D">
        <w:rPr>
          <w:rFonts w:asciiTheme="minorHAnsi" w:hAnsiTheme="minorHAnsi"/>
        </w:rPr>
        <w:t xml:space="preserve">We will </w:t>
      </w:r>
      <w:r w:rsidR="00627ABF">
        <w:rPr>
          <w:rFonts w:asciiTheme="minorHAnsi" w:hAnsiTheme="minorHAnsi"/>
        </w:rPr>
        <w:t>then combine synthetic constructs with other constructs identified in the literature to de</w:t>
      </w:r>
      <w:r w:rsidR="00192A22">
        <w:rPr>
          <w:rFonts w:asciiTheme="minorHAnsi" w:hAnsiTheme="minorHAnsi"/>
        </w:rPr>
        <w:t>velop a ‘synthesizing argument’, which is a</w:t>
      </w:r>
      <w:r w:rsidR="00945A6F">
        <w:rPr>
          <w:rFonts w:asciiTheme="minorHAnsi" w:hAnsiTheme="minorHAnsi"/>
        </w:rPr>
        <w:t>n</w:t>
      </w:r>
      <w:r w:rsidR="00192A22">
        <w:rPr>
          <w:rFonts w:asciiTheme="minorHAnsi" w:hAnsiTheme="minorHAnsi"/>
        </w:rPr>
        <w:t xml:space="preserve"> explanatory conceptual framework that includes the constructs and identifying the relationships between them</w:t>
      </w:r>
      <w:r w:rsidR="00945A6F">
        <w:rPr>
          <w:rFonts w:asciiTheme="minorHAnsi" w:hAnsiTheme="minorHAnsi"/>
        </w:rPr>
        <w:t xml:space="preserve"> (Dixon-Woods et al. 2006; Moat, </w:t>
      </w:r>
      <w:proofErr w:type="spellStart"/>
      <w:r w:rsidR="00945A6F">
        <w:rPr>
          <w:rFonts w:asciiTheme="minorHAnsi" w:hAnsiTheme="minorHAnsi"/>
        </w:rPr>
        <w:t>Lavis</w:t>
      </w:r>
      <w:proofErr w:type="spellEnd"/>
      <w:r w:rsidR="00945A6F">
        <w:rPr>
          <w:rFonts w:asciiTheme="minorHAnsi" w:hAnsiTheme="minorHAnsi"/>
        </w:rPr>
        <w:t xml:space="preserve"> &amp; Abelson, 2013)</w:t>
      </w:r>
      <w:r w:rsidR="00192A22">
        <w:rPr>
          <w:rFonts w:asciiTheme="minorHAnsi" w:hAnsiTheme="minorHAnsi"/>
        </w:rPr>
        <w:t>.</w:t>
      </w:r>
    </w:p>
    <w:p w14:paraId="77C3433B" w14:textId="77777777" w:rsidR="00627ABF" w:rsidRDefault="00627ABF">
      <w:pPr>
        <w:rPr>
          <w:rFonts w:asciiTheme="minorHAnsi" w:hAnsiTheme="minorHAnsi"/>
        </w:rPr>
      </w:pPr>
    </w:p>
    <w:p w14:paraId="18F722BA" w14:textId="77777777" w:rsidR="00627ABF" w:rsidRDefault="00627ABF">
      <w:pPr>
        <w:rPr>
          <w:rFonts w:asciiTheme="minorHAnsi" w:hAnsiTheme="minorHAnsi"/>
        </w:rPr>
      </w:pPr>
      <w:r>
        <w:rPr>
          <w:rFonts w:asciiTheme="minorHAnsi" w:hAnsiTheme="minorHAnsi"/>
        </w:rPr>
        <w:t>Data analysis will primarily be conducted by the lead author (HB) with frequent consultation with other team members as the analysis proceeds</w:t>
      </w:r>
      <w:r w:rsidR="00B019AD">
        <w:rPr>
          <w:rFonts w:asciiTheme="minorHAnsi" w:hAnsiTheme="minorHAnsi"/>
        </w:rPr>
        <w:t xml:space="preserve"> to ensure emerging constructs and interpretations are subject to scrutiny and testing from multiple perspectives. </w:t>
      </w:r>
    </w:p>
    <w:p w14:paraId="5BFBE973" w14:textId="77777777" w:rsidR="00B019AD" w:rsidRDefault="00B019AD">
      <w:pPr>
        <w:rPr>
          <w:rFonts w:asciiTheme="minorHAnsi" w:hAnsiTheme="minorHAnsi"/>
        </w:rPr>
      </w:pPr>
    </w:p>
    <w:p w14:paraId="6A37BD3D" w14:textId="77777777" w:rsidR="00B019AD" w:rsidRPr="0063123D" w:rsidRDefault="009C755A">
      <w:pPr>
        <w:rPr>
          <w:rFonts w:asciiTheme="minorHAnsi" w:hAnsiTheme="minorHAnsi"/>
          <w:i/>
        </w:rPr>
      </w:pPr>
      <w:r>
        <w:rPr>
          <w:rFonts w:asciiTheme="minorHAnsi" w:hAnsiTheme="minorHAnsi"/>
          <w:i/>
        </w:rPr>
        <w:t>T</w:t>
      </w:r>
      <w:r w:rsidR="00B019AD" w:rsidRPr="0063123D">
        <w:rPr>
          <w:rFonts w:asciiTheme="minorHAnsi" w:hAnsiTheme="minorHAnsi"/>
          <w:i/>
        </w:rPr>
        <w:t>rustworthiness</w:t>
      </w:r>
    </w:p>
    <w:p w14:paraId="7763AC8A" w14:textId="77777777" w:rsidR="00B019AD" w:rsidRDefault="00B019AD">
      <w:pPr>
        <w:rPr>
          <w:rFonts w:asciiTheme="minorHAnsi" w:hAnsiTheme="minorHAnsi"/>
        </w:rPr>
      </w:pPr>
      <w:r>
        <w:rPr>
          <w:rFonts w:asciiTheme="minorHAnsi" w:hAnsiTheme="minorHAnsi"/>
        </w:rPr>
        <w:t>We will incorporate several mechanisms to improve the methodological rigor of this review by enhancing its trustworthiness</w:t>
      </w:r>
      <w:r w:rsidR="009A1E6F">
        <w:rPr>
          <w:rFonts w:asciiTheme="minorHAnsi" w:hAnsiTheme="minorHAnsi"/>
        </w:rPr>
        <w:t>, loosely following</w:t>
      </w:r>
      <w:r w:rsidR="00C90A62">
        <w:rPr>
          <w:rFonts w:asciiTheme="minorHAnsi" w:hAnsiTheme="minorHAnsi"/>
        </w:rPr>
        <w:t xml:space="preserve"> </w:t>
      </w:r>
      <w:r w:rsidR="009C755A">
        <w:rPr>
          <w:rFonts w:asciiTheme="minorHAnsi" w:hAnsiTheme="minorHAnsi"/>
        </w:rPr>
        <w:t xml:space="preserve">several of </w:t>
      </w:r>
      <w:r w:rsidR="00C90A62">
        <w:rPr>
          <w:rFonts w:asciiTheme="minorHAnsi" w:hAnsiTheme="minorHAnsi"/>
        </w:rPr>
        <w:t xml:space="preserve">the approaches first forwarded by </w:t>
      </w:r>
      <w:r w:rsidR="00DF189D">
        <w:rPr>
          <w:rFonts w:asciiTheme="minorHAnsi" w:hAnsiTheme="minorHAnsi"/>
        </w:rPr>
        <w:fldChar w:fldCharType="begin" w:fldLock="1"/>
      </w:r>
      <w:r w:rsidR="003745B2">
        <w:rPr>
          <w:rFonts w:asciiTheme="minorHAnsi" w:hAnsiTheme="minorHAnsi"/>
        </w:rPr>
        <w:instrText>ADDIN CSL_CITATION { "citationItems" : [ { "id" : "ITEM-1", "itemData" : { "DOI" : "10.1007/BF02766777", "ISSN" : "1556-6501", "abstract" : "This is the ninth ERIC/ECTJ Annual Review Paper, preparation of which was supported by the ERIC (Educational Resources Information Center) Clearinghouse on Information Resources, Syracuse University, Syracuse, New York. The material in this article was prepared pursuant to a contract with the National Institute of Education, U.S. Department of Education. Contractors undertaking such projects under government sponsorship are encouraged to express freely their judgment in professional and technical matters. Points of view or opinions do not necessarily represent the official view or opinion of NIE. The author is grateful to David Clark, Larry Havlicek, Robert Heinich, John McLaughlin, Cecil Miskel, and Robert Wolf for their careful critique of an earlier version of 1his paper, and to his wife, Yvonna Lincoln, from whose joint work with the author in other contexts many of the ideas expressed in this paper emanated.", "author" : [ { "dropping-particle" : "", "family" : "Guba", "given" : "Egon G", "non-dropping-particle" : "", "parse-names" : false, "suffix" : "" } ], "container-title" : "ECTJ", "genre" : "article", "id" : "ITEM-1", "issue" : "2", "issued" : { "date-parts" : [ [ "1981" ] ] }, "page" : "75-91", "title" : "Criteria for assessing the trustworthiness of naturalistic inquiries", "type" : "article-journal", "volume" : "29" }, "uris" : [ "http://www.mendeley.com/documents/?uuid=6a276c2f-2eb2-42f3-b483-128d8a1b7a42" ] } ], "mendeley" : { "formattedCitation" : "(Guba, 1981)", "manualFormatting" : "Guba (1981)", "plainTextFormattedCitation" : "(Guba, 1981)", "previouslyFormattedCitation" : "(Guba, 1981)" }, "properties" : { "noteIndex" : 0 }, "schema" : "https://github.com/citation-style-language/schema/raw/master/csl-citation.json" }</w:instrText>
      </w:r>
      <w:r w:rsidR="00DF189D">
        <w:rPr>
          <w:rFonts w:asciiTheme="minorHAnsi" w:hAnsiTheme="minorHAnsi"/>
        </w:rPr>
        <w:fldChar w:fldCharType="separate"/>
      </w:r>
      <w:r w:rsidR="00DF189D">
        <w:rPr>
          <w:rFonts w:asciiTheme="minorHAnsi" w:hAnsiTheme="minorHAnsi"/>
          <w:noProof/>
        </w:rPr>
        <w:t>Guba</w:t>
      </w:r>
      <w:r w:rsidR="00DF189D" w:rsidRPr="00DF189D">
        <w:rPr>
          <w:rFonts w:asciiTheme="minorHAnsi" w:hAnsiTheme="minorHAnsi"/>
          <w:noProof/>
        </w:rPr>
        <w:t xml:space="preserve"> </w:t>
      </w:r>
      <w:r w:rsidR="00DF189D">
        <w:rPr>
          <w:rFonts w:asciiTheme="minorHAnsi" w:hAnsiTheme="minorHAnsi"/>
          <w:noProof/>
        </w:rPr>
        <w:t>(</w:t>
      </w:r>
      <w:r w:rsidR="00DF189D" w:rsidRPr="00DF189D">
        <w:rPr>
          <w:rFonts w:asciiTheme="minorHAnsi" w:hAnsiTheme="minorHAnsi"/>
          <w:noProof/>
        </w:rPr>
        <w:t>1981)</w:t>
      </w:r>
      <w:r w:rsidR="00DF189D">
        <w:rPr>
          <w:rFonts w:asciiTheme="minorHAnsi" w:hAnsiTheme="minorHAnsi"/>
        </w:rPr>
        <w:fldChar w:fldCharType="end"/>
      </w:r>
      <w:r w:rsidR="00DF189D">
        <w:rPr>
          <w:rFonts w:asciiTheme="minorHAnsi" w:hAnsiTheme="minorHAnsi"/>
        </w:rPr>
        <w:t>,</w:t>
      </w:r>
      <w:r w:rsidR="009C755A">
        <w:rPr>
          <w:rFonts w:asciiTheme="minorHAnsi" w:hAnsiTheme="minorHAnsi"/>
        </w:rPr>
        <w:t xml:space="preserve"> namely, </w:t>
      </w:r>
      <w:r w:rsidR="00C90A62">
        <w:rPr>
          <w:rFonts w:asciiTheme="minorHAnsi" w:hAnsiTheme="minorHAnsi"/>
        </w:rPr>
        <w:t>credibility, dependability and confirmability</w:t>
      </w:r>
      <w:r>
        <w:rPr>
          <w:rFonts w:asciiTheme="minorHAnsi" w:hAnsiTheme="minorHAnsi"/>
        </w:rPr>
        <w:t xml:space="preserve">. </w:t>
      </w:r>
      <w:r w:rsidR="009C755A">
        <w:rPr>
          <w:rFonts w:asciiTheme="minorHAnsi" w:hAnsiTheme="minorHAnsi"/>
        </w:rPr>
        <w:t xml:space="preserve">Given the conceptual aim of this synthesis, Guba’s fourth approach, transferability, is not applicable. </w:t>
      </w:r>
    </w:p>
    <w:p w14:paraId="45DF331A" w14:textId="430F07D7" w:rsidR="00B76B07" w:rsidRDefault="009C755A" w:rsidP="001E77DA">
      <w:pPr>
        <w:pStyle w:val="ListParagraph"/>
        <w:numPr>
          <w:ilvl w:val="0"/>
          <w:numId w:val="6"/>
        </w:numPr>
        <w:rPr>
          <w:rFonts w:asciiTheme="minorHAnsi" w:hAnsiTheme="minorHAnsi"/>
        </w:rPr>
      </w:pPr>
      <w:r w:rsidRPr="001E77DA">
        <w:rPr>
          <w:rFonts w:asciiTheme="minorHAnsi" w:hAnsiTheme="minorHAnsi"/>
        </w:rPr>
        <w:t xml:space="preserve">Credibility – In order to increase the credibility of the synthesis, or the </w:t>
      </w:r>
      <w:r w:rsidR="001E77DA">
        <w:rPr>
          <w:rFonts w:asciiTheme="minorHAnsi" w:hAnsiTheme="minorHAnsi"/>
        </w:rPr>
        <w:t>degree to which findings can be considered true, we will make four provisions that are appropriate for a synthesis.</w:t>
      </w:r>
      <w:r w:rsidR="000933AB">
        <w:rPr>
          <w:rFonts w:asciiTheme="minorHAnsi" w:hAnsiTheme="minorHAnsi"/>
        </w:rPr>
        <w:t xml:space="preserve"> These provisions amongst others are described in </w:t>
      </w:r>
      <w:r w:rsidR="003745B2">
        <w:rPr>
          <w:rFonts w:asciiTheme="minorHAnsi" w:hAnsiTheme="minorHAnsi"/>
        </w:rPr>
        <w:fldChar w:fldCharType="begin" w:fldLock="1"/>
      </w:r>
      <w:r w:rsidR="00805947">
        <w:rPr>
          <w:rFonts w:asciiTheme="minorHAnsi" w:hAnsiTheme="minorHAnsi"/>
        </w:rPr>
        <w:instrText>ADDIN CSL_CITATION { "citationItems" : [ { "id" : "ITEM-1", "itemData" : { "ISSN" : "ISSN-0167-8329", "author" : [ { "dropping-particle" : "", "family" : "Shenton", "given" : "Andrew K.", "non-dropping-particle" : "", "parse-names" : false, "suffix" : "" } ], "container-title" : "Education for Information", "id" : "ITEM-1", "issue" : "2", "issued" : { "date-parts" : [ [ "2004" ] ] }, "page" : "63-75", "publisher" : "IOS Press. Nieuwe Hemweg 6B, Amsterdam, 1013 BG, The Netherlands. Tel: +31-20-688-3355; Fax: +31-20-687-0039; e-mail: info@iospress.nl; Web site: http://www.iospress.nl", "title" : "Strategies for Ensuring Trustworthiness in Qualitative Research Projects.", "type" : "article-journal", "volume" : "22" }, "uris" : [ "http://www.mendeley.com/documents/?uuid=5831838b-fedd-37a1-b754-d31140908d2b" ] } ], "mendeley" : { "formattedCitation" : "(Shenton, 2004)", "manualFormatting" : "Shenton (2004)", "plainTextFormattedCitation" : "(Shenton, 2004)", "previouslyFormattedCitation" : "(Shenton, 2004)" }, "properties" : { "noteIndex" : 0 }, "schema" : "https://github.com/citation-style-language/schema/raw/master/csl-citation.json" }</w:instrText>
      </w:r>
      <w:r w:rsidR="003745B2">
        <w:rPr>
          <w:rFonts w:asciiTheme="minorHAnsi" w:hAnsiTheme="minorHAnsi"/>
        </w:rPr>
        <w:fldChar w:fldCharType="separate"/>
      </w:r>
      <w:r w:rsidR="003745B2">
        <w:rPr>
          <w:rFonts w:asciiTheme="minorHAnsi" w:hAnsiTheme="minorHAnsi"/>
          <w:noProof/>
        </w:rPr>
        <w:t>Shenton (</w:t>
      </w:r>
      <w:r w:rsidR="003745B2" w:rsidRPr="003745B2">
        <w:rPr>
          <w:rFonts w:asciiTheme="minorHAnsi" w:hAnsiTheme="minorHAnsi"/>
          <w:noProof/>
        </w:rPr>
        <w:t>2004)</w:t>
      </w:r>
      <w:r w:rsidR="003745B2">
        <w:rPr>
          <w:rFonts w:asciiTheme="minorHAnsi" w:hAnsiTheme="minorHAnsi"/>
        </w:rPr>
        <w:fldChar w:fldCharType="end"/>
      </w:r>
      <w:r w:rsidR="000933AB">
        <w:rPr>
          <w:rFonts w:asciiTheme="minorHAnsi" w:hAnsiTheme="minorHAnsi"/>
        </w:rPr>
        <w:t>.</w:t>
      </w:r>
      <w:r w:rsidR="001E77DA">
        <w:rPr>
          <w:rFonts w:asciiTheme="minorHAnsi" w:hAnsiTheme="minorHAnsi"/>
        </w:rPr>
        <w:t xml:space="preserve"> First, we </w:t>
      </w:r>
      <w:r w:rsidR="000933AB">
        <w:rPr>
          <w:rFonts w:asciiTheme="minorHAnsi" w:hAnsiTheme="minorHAnsi"/>
        </w:rPr>
        <w:t>have selected an</w:t>
      </w:r>
      <w:r w:rsidR="001E77DA">
        <w:rPr>
          <w:rFonts w:asciiTheme="minorHAnsi" w:hAnsiTheme="minorHAnsi"/>
        </w:rPr>
        <w:t xml:space="preserve"> appropriate and well-recognized research method of CIS and will adhere closely to the specified method</w:t>
      </w:r>
      <w:r w:rsidR="0054778A">
        <w:rPr>
          <w:rFonts w:asciiTheme="minorHAnsi" w:hAnsiTheme="minorHAnsi"/>
        </w:rPr>
        <w:t xml:space="preserve"> outlined in </w:t>
      </w:r>
      <w:r w:rsidR="0054778A">
        <w:rPr>
          <w:rFonts w:asciiTheme="minorHAnsi" w:hAnsiTheme="minorHAnsi"/>
        </w:rPr>
        <w:lastRenderedPageBreak/>
        <w:t>Dixon Woods et al and others</w:t>
      </w:r>
      <w:r w:rsidR="001E77DA">
        <w:rPr>
          <w:rFonts w:asciiTheme="minorHAnsi" w:hAnsiTheme="minorHAnsi"/>
        </w:rPr>
        <w:t>.  We will also employ the analytic strategy of negative case analysis, which will ensure ana</w:t>
      </w:r>
      <w:r w:rsidR="000933AB">
        <w:rPr>
          <w:rFonts w:asciiTheme="minorHAnsi" w:hAnsiTheme="minorHAnsi"/>
        </w:rPr>
        <w:t xml:space="preserve">lysis is not complete until the model created addresses all of the existing empirical and conceptual literature sampled. Third, we will use peer scrutiny as much as possible to gain feedback and fresh perspectives on the analysis and emerging model as it proceeds. </w:t>
      </w:r>
      <w:r w:rsidR="0054778A">
        <w:rPr>
          <w:rFonts w:asciiTheme="minorHAnsi" w:hAnsiTheme="minorHAnsi"/>
        </w:rPr>
        <w:t>This will occur at several levels. First, between the lead researcher (HB) and another research team member (AM) who has little familiarity with this topic at the outset of the work. HB will also consult the other team members at multiple p</w:t>
      </w:r>
      <w:r w:rsidR="00541BC8">
        <w:rPr>
          <w:rFonts w:asciiTheme="minorHAnsi" w:hAnsiTheme="minorHAnsi"/>
        </w:rPr>
        <w:t>oints throughout the process. In</w:t>
      </w:r>
      <w:r w:rsidR="0054778A">
        <w:rPr>
          <w:rFonts w:asciiTheme="minorHAnsi" w:hAnsiTheme="minorHAnsi"/>
        </w:rPr>
        <w:t xml:space="preserve"> addition, the research team will seek forums to present the emergent analysis and draft findings to others who have not been part of the synthesis process for their ‘fresh’ reactions and perspectives. </w:t>
      </w:r>
      <w:r w:rsidR="000933AB">
        <w:rPr>
          <w:rFonts w:asciiTheme="minorHAnsi" w:hAnsiTheme="minorHAnsi"/>
        </w:rPr>
        <w:t xml:space="preserve">Finally, we will be transparent about the background and qualifications of the research team and funding sources for the research </w:t>
      </w:r>
      <w:r w:rsidR="00805947">
        <w:rPr>
          <w:rFonts w:asciiTheme="minorHAnsi" w:hAnsiTheme="minorHAnsi"/>
        </w:rPr>
        <w:fldChar w:fldCharType="begin" w:fldLock="1"/>
      </w:r>
      <w:r w:rsidR="00805947">
        <w:rPr>
          <w:rFonts w:asciiTheme="minorHAnsi" w:hAnsiTheme="minorHAnsi"/>
        </w:rPr>
        <w:instrText>ADDIN CSL_CITATION { "citationItems" : [ { "id" : "ITEM-1", "itemData" : { "abstract" : "Abstrat Varying philosophical and theoretical orientations to qualitative inquiry remind us that issues of quality and credibility intersect with audience and intended research purposes. This overview examines ways of enhancing the quality and credi-bility of qualitative analysis by dealing with three distinct but related inquiry concerns: rigorous techniques and methods for gathering and analyzing qualitative data, includ-ing attention to validity, reliability, and triangulation; the credibility, competence, and perceived trustworthiness of the qualitative researcher; and the philosophical beliefs of evaluation users about such paradigm-based preferences as objectivity ver-sus subjectivity, truth versus perspective, and generalizations versus extrapolations. Although this overview examines some general approaches to issues of credibility and data quality in qualitative analysis, it is important to acknowledge that particular philosophical underpinnings, specific paradigms, and special purposes for qualitative inquiry will typically include additional or substitute criteria for assuring and judging quality, validity, and credibility. Moreover, the context for these considerations has evolved. In early literature on evaluation methods the debate between qualitative and quantitative methodologists was often strident. In recent years the debate has softened. A consensus has gradually emerged that the important challenge is to match appropriately the methods to empirical questions and issues, and not to universally advocate any single methodological approach for all problems. Key Word&amp; Qualitative research, credibility, research quality Approaches to qualitative inquiry have become highly diverse, including work informed by phenomenology, ethnomethodology, ethnography, her-meneutics, symbolic interaction, heuristics, critical theory, positivism, and feminist inquiry, to name but a few (Patton 1990). This variety ofphilosophical and theoretical orientations reminds us that issues of quality and credibility intersect with audience and intended research purposes. Research directed to an audience of independent feminist scholars, for example, may bejudged by criteria somewhat different from those ofresearch addressed to an audience of 1189", "author" : [ { "dropping-particle" : "", "family" : "Patton", "given" : "Michael Quinn", "non-dropping-particle" : "", "parse-names" : false, "suffix" : "" } ], "container-title" : "HSR: Health Services Research", "id" : "ITEM-1", "issue" : "5", "issued" : { "date-parts" : [ [ "1999" ] ] }, "page" : "1189-1208", "title" : "Enhancing the Quality and Credibility of Qualitative Analysis", "type" : "article-journal", "volume" : "34" }, "uris" : [ "http://www.mendeley.com/documents/?uuid=bec51596-a729-3f42-884e-042b616e2824" ] } ], "mendeley" : { "formattedCitation" : "(Patton, 1999)", "plainTextFormattedCitation" : "(Patton, 1999)" }, "properties" : { "noteIndex" : 0 }, "schema" : "https://github.com/citation-style-language/schema/raw/master/csl-citation.json" }</w:instrText>
      </w:r>
      <w:r w:rsidR="00805947">
        <w:rPr>
          <w:rFonts w:asciiTheme="minorHAnsi" w:hAnsiTheme="minorHAnsi"/>
        </w:rPr>
        <w:fldChar w:fldCharType="separate"/>
      </w:r>
      <w:r w:rsidR="00805947" w:rsidRPr="00805947">
        <w:rPr>
          <w:rFonts w:asciiTheme="minorHAnsi" w:hAnsiTheme="minorHAnsi"/>
          <w:noProof/>
        </w:rPr>
        <w:t>(Patton, 1999)</w:t>
      </w:r>
      <w:r w:rsidR="00805947">
        <w:rPr>
          <w:rFonts w:asciiTheme="minorHAnsi" w:hAnsiTheme="minorHAnsi"/>
        </w:rPr>
        <w:fldChar w:fldCharType="end"/>
      </w:r>
      <w:r w:rsidR="00B76B07">
        <w:rPr>
          <w:rFonts w:asciiTheme="minorHAnsi" w:hAnsiTheme="minorHAnsi"/>
        </w:rPr>
        <w:t>.</w:t>
      </w:r>
    </w:p>
    <w:p w14:paraId="1EB847C9" w14:textId="77777777" w:rsidR="00B76B07" w:rsidRDefault="00B76B07" w:rsidP="001E77DA">
      <w:pPr>
        <w:pStyle w:val="ListParagraph"/>
        <w:numPr>
          <w:ilvl w:val="0"/>
          <w:numId w:val="6"/>
        </w:numPr>
        <w:rPr>
          <w:rFonts w:asciiTheme="minorHAnsi" w:hAnsiTheme="minorHAnsi"/>
        </w:rPr>
      </w:pPr>
      <w:r>
        <w:rPr>
          <w:rFonts w:asciiTheme="minorHAnsi" w:hAnsiTheme="minorHAnsi"/>
        </w:rPr>
        <w:t xml:space="preserve">Dependability – </w:t>
      </w:r>
      <w:r w:rsidR="00295068">
        <w:rPr>
          <w:rFonts w:asciiTheme="minorHAnsi" w:hAnsiTheme="minorHAnsi"/>
        </w:rPr>
        <w:t>To</w:t>
      </w:r>
      <w:r>
        <w:rPr>
          <w:rFonts w:asciiTheme="minorHAnsi" w:hAnsiTheme="minorHAnsi"/>
        </w:rPr>
        <w:t xml:space="preserve"> improve the dependability of the findings, or the ability of others to replicate the approach, we will record and report our methods in detail, ensuring that key decisions and processes are noted by the lead researcher (HB) as they arise.</w:t>
      </w:r>
      <w:r w:rsidR="003533CB">
        <w:rPr>
          <w:rFonts w:asciiTheme="minorHAnsi" w:hAnsiTheme="minorHAnsi"/>
        </w:rPr>
        <w:t xml:space="preserve"> We will make efforts to include additional files appended to the publication in journals that publish our work.</w:t>
      </w:r>
    </w:p>
    <w:p w14:paraId="1EA6AD9B" w14:textId="77777777" w:rsidR="009C4A94" w:rsidRPr="001E77DA" w:rsidRDefault="000933AB" w:rsidP="001E77DA">
      <w:pPr>
        <w:pStyle w:val="ListParagraph"/>
        <w:numPr>
          <w:ilvl w:val="0"/>
          <w:numId w:val="6"/>
        </w:numPr>
        <w:rPr>
          <w:rFonts w:asciiTheme="minorHAnsi" w:hAnsiTheme="minorHAnsi"/>
        </w:rPr>
      </w:pPr>
      <w:r>
        <w:rPr>
          <w:rFonts w:asciiTheme="minorHAnsi" w:hAnsiTheme="minorHAnsi"/>
        </w:rPr>
        <w:t xml:space="preserve"> </w:t>
      </w:r>
      <w:r w:rsidR="00D55CDB">
        <w:rPr>
          <w:rFonts w:asciiTheme="minorHAnsi" w:hAnsiTheme="minorHAnsi"/>
        </w:rPr>
        <w:t xml:space="preserve">Confirmability </w:t>
      </w:r>
      <w:r w:rsidR="00295068">
        <w:rPr>
          <w:rFonts w:asciiTheme="minorHAnsi" w:hAnsiTheme="minorHAnsi"/>
        </w:rPr>
        <w:t>–</w:t>
      </w:r>
      <w:r w:rsidR="00D55CDB">
        <w:rPr>
          <w:rFonts w:asciiTheme="minorHAnsi" w:hAnsiTheme="minorHAnsi"/>
        </w:rPr>
        <w:t xml:space="preserve"> </w:t>
      </w:r>
      <w:r w:rsidR="00295068">
        <w:rPr>
          <w:rFonts w:asciiTheme="minorHAnsi" w:hAnsiTheme="minorHAnsi"/>
        </w:rPr>
        <w:t xml:space="preserve">We will take several measures to ensure the results of our synthesis reflect the data sources used and not research team’s characteristics and preferences, otherwise known as confirmability (Shenton, 2004). In particular we will work to ensure the research team’s beliefs and assumptions are declared and discussed </w:t>
      </w:r>
      <w:r w:rsidR="0054778A">
        <w:rPr>
          <w:rFonts w:asciiTheme="minorHAnsi" w:hAnsiTheme="minorHAnsi"/>
        </w:rPr>
        <w:t>and we will reflect on how these might have influenced the development of the conceptual model. We will also be explicit about our study’s shortcomings and how these might have influenced the resultant model. Finally, we will use diagrams to support the audit trail for the synthesis process.</w:t>
      </w:r>
    </w:p>
    <w:p w14:paraId="7B5EE700" w14:textId="77777777" w:rsidR="00503736" w:rsidRDefault="00503736">
      <w:pPr>
        <w:rPr>
          <w:rFonts w:asciiTheme="minorHAnsi" w:hAnsiTheme="minorHAnsi"/>
        </w:rPr>
      </w:pPr>
    </w:p>
    <w:p w14:paraId="02D0E716" w14:textId="77777777" w:rsidR="009C4A94" w:rsidRPr="00503736" w:rsidRDefault="009C4A94">
      <w:pPr>
        <w:rPr>
          <w:rFonts w:asciiTheme="minorHAnsi" w:hAnsiTheme="minorHAnsi"/>
          <w:b/>
        </w:rPr>
      </w:pPr>
      <w:r w:rsidRPr="00503736">
        <w:rPr>
          <w:rFonts w:asciiTheme="minorHAnsi" w:hAnsiTheme="minorHAnsi"/>
          <w:b/>
        </w:rPr>
        <w:t>Timeline</w:t>
      </w:r>
    </w:p>
    <w:p w14:paraId="233DE2AD" w14:textId="77777777" w:rsidR="009C4A94" w:rsidRDefault="00503736">
      <w:pPr>
        <w:rPr>
          <w:rFonts w:asciiTheme="minorHAnsi" w:hAnsiTheme="minorHAnsi"/>
        </w:rPr>
      </w:pPr>
      <w:r>
        <w:rPr>
          <w:rFonts w:asciiTheme="minorHAnsi" w:hAnsiTheme="minorHAnsi"/>
        </w:rPr>
        <w:t xml:space="preserve">This CIS proposal will </w:t>
      </w:r>
      <w:r w:rsidR="009C4A94">
        <w:rPr>
          <w:rFonts w:asciiTheme="minorHAnsi" w:hAnsiTheme="minorHAnsi"/>
        </w:rPr>
        <w:t xml:space="preserve">be finalized in October 2016, with searches and analysis </w:t>
      </w:r>
      <w:r>
        <w:rPr>
          <w:rFonts w:asciiTheme="minorHAnsi" w:hAnsiTheme="minorHAnsi"/>
        </w:rPr>
        <w:t>taking</w:t>
      </w:r>
      <w:r w:rsidR="009C4A94">
        <w:rPr>
          <w:rFonts w:asciiTheme="minorHAnsi" w:hAnsiTheme="minorHAnsi"/>
        </w:rPr>
        <w:t xml:space="preserve"> place November 2016</w:t>
      </w:r>
      <w:r w:rsidR="00FB16D1">
        <w:rPr>
          <w:rFonts w:asciiTheme="minorHAnsi" w:hAnsiTheme="minorHAnsi"/>
        </w:rPr>
        <w:t xml:space="preserve"> to January 2017</w:t>
      </w:r>
      <w:r w:rsidR="009C4A94">
        <w:rPr>
          <w:rFonts w:asciiTheme="minorHAnsi" w:hAnsiTheme="minorHAnsi"/>
        </w:rPr>
        <w:t xml:space="preserve">. Preliminary findings will be drafted </w:t>
      </w:r>
      <w:r>
        <w:rPr>
          <w:rFonts w:asciiTheme="minorHAnsi" w:hAnsiTheme="minorHAnsi"/>
        </w:rPr>
        <w:t>in</w:t>
      </w:r>
      <w:r w:rsidR="009C4A94">
        <w:rPr>
          <w:rFonts w:asciiTheme="minorHAnsi" w:hAnsiTheme="minorHAnsi"/>
        </w:rPr>
        <w:t xml:space="preserve"> </w:t>
      </w:r>
      <w:r w:rsidR="00FB16D1">
        <w:rPr>
          <w:rFonts w:asciiTheme="minorHAnsi" w:hAnsiTheme="minorHAnsi"/>
        </w:rPr>
        <w:t xml:space="preserve">February </w:t>
      </w:r>
      <w:r w:rsidR="009C4A94">
        <w:rPr>
          <w:rFonts w:asciiTheme="minorHAnsi" w:hAnsiTheme="minorHAnsi"/>
        </w:rPr>
        <w:t>2017.</w:t>
      </w:r>
    </w:p>
    <w:p w14:paraId="182DDCB8" w14:textId="77777777" w:rsidR="009C4A94" w:rsidRDefault="009C4A94">
      <w:pPr>
        <w:rPr>
          <w:rFonts w:asciiTheme="minorHAnsi" w:hAnsiTheme="minorHAnsi"/>
        </w:rPr>
      </w:pPr>
    </w:p>
    <w:p w14:paraId="32794F78" w14:textId="77777777" w:rsidR="009C4A94" w:rsidRDefault="009C4A94">
      <w:pPr>
        <w:rPr>
          <w:rFonts w:asciiTheme="minorHAnsi" w:hAnsiTheme="minorHAnsi"/>
        </w:rPr>
      </w:pPr>
    </w:p>
    <w:p w14:paraId="72EA7326" w14:textId="77777777" w:rsidR="009C4A94" w:rsidRPr="00503736" w:rsidRDefault="009C4A94">
      <w:pPr>
        <w:rPr>
          <w:rFonts w:asciiTheme="minorHAnsi" w:hAnsiTheme="minorHAnsi"/>
          <w:b/>
        </w:rPr>
      </w:pPr>
      <w:r w:rsidRPr="00503736">
        <w:rPr>
          <w:rFonts w:asciiTheme="minorHAnsi" w:hAnsiTheme="minorHAnsi"/>
          <w:b/>
        </w:rPr>
        <w:t>Declaration of conflict of interest</w:t>
      </w:r>
    </w:p>
    <w:p w14:paraId="275080BA" w14:textId="77777777" w:rsidR="009C4A94" w:rsidRDefault="009C4A94">
      <w:pPr>
        <w:rPr>
          <w:rFonts w:asciiTheme="minorHAnsi" w:hAnsiTheme="minorHAnsi"/>
        </w:rPr>
      </w:pPr>
      <w:r>
        <w:rPr>
          <w:rFonts w:asciiTheme="minorHAnsi" w:hAnsiTheme="minorHAnsi"/>
        </w:rPr>
        <w:t>The primary author (HB) has no conflict of interest in conducting this study. The funding for this study comes from the Trudeau Foundation PhD Scholarship and from the Ontario Graduate Scholarship.</w:t>
      </w:r>
    </w:p>
    <w:p w14:paraId="5667263A" w14:textId="77777777" w:rsidR="00FA18EA" w:rsidRDefault="00FA18EA">
      <w:pPr>
        <w:rPr>
          <w:rFonts w:asciiTheme="minorHAnsi" w:hAnsiTheme="minorHAnsi"/>
        </w:rPr>
      </w:pPr>
    </w:p>
    <w:p w14:paraId="4E3263EC" w14:textId="77777777" w:rsidR="00FA18EA" w:rsidRDefault="00FA18EA">
      <w:pPr>
        <w:rPr>
          <w:rFonts w:asciiTheme="minorHAnsi" w:hAnsiTheme="minorHAnsi"/>
        </w:rPr>
      </w:pPr>
    </w:p>
    <w:p w14:paraId="7E30414D" w14:textId="77777777" w:rsidR="00FA18EA" w:rsidRDefault="00FA18EA">
      <w:pPr>
        <w:rPr>
          <w:rFonts w:asciiTheme="minorHAnsi" w:hAnsiTheme="minorHAnsi"/>
        </w:rPr>
      </w:pPr>
    </w:p>
    <w:p w14:paraId="1C462EBF" w14:textId="77777777" w:rsidR="00FA18EA" w:rsidRDefault="00FA18EA">
      <w:pPr>
        <w:rPr>
          <w:rFonts w:asciiTheme="minorHAnsi" w:hAnsiTheme="minorHAnsi"/>
        </w:rPr>
      </w:pPr>
      <w:r>
        <w:rPr>
          <w:rFonts w:asciiTheme="minorHAnsi" w:hAnsiTheme="minorHAnsi"/>
        </w:rPr>
        <w:br w:type="page"/>
      </w:r>
    </w:p>
    <w:p w14:paraId="4B7C0DF5" w14:textId="77777777" w:rsidR="00FA18EA" w:rsidRDefault="00FA18EA" w:rsidP="00FA18EA">
      <w:pPr>
        <w:jc w:val="center"/>
        <w:rPr>
          <w:rFonts w:asciiTheme="minorHAnsi" w:hAnsiTheme="minorHAnsi"/>
          <w:b/>
        </w:rPr>
      </w:pPr>
      <w:r w:rsidRPr="00FA18EA">
        <w:rPr>
          <w:rFonts w:asciiTheme="minorHAnsi" w:hAnsiTheme="minorHAnsi"/>
          <w:b/>
        </w:rPr>
        <w:lastRenderedPageBreak/>
        <w:t>References</w:t>
      </w:r>
    </w:p>
    <w:p w14:paraId="71304F29" w14:textId="77777777" w:rsidR="00FA18EA" w:rsidRDefault="00FA18EA" w:rsidP="00FA18EA">
      <w:pPr>
        <w:jc w:val="center"/>
        <w:rPr>
          <w:rFonts w:asciiTheme="minorHAnsi" w:hAnsiTheme="minorHAnsi"/>
          <w:b/>
        </w:rPr>
      </w:pPr>
    </w:p>
    <w:p w14:paraId="6559CBF5" w14:textId="77777777" w:rsidR="00805947" w:rsidRPr="00805947" w:rsidRDefault="00587EDD" w:rsidP="00805947">
      <w:pPr>
        <w:widowControl w:val="0"/>
        <w:autoSpaceDE w:val="0"/>
        <w:autoSpaceDN w:val="0"/>
        <w:adjustRightInd w:val="0"/>
        <w:ind w:left="480" w:hanging="480"/>
        <w:rPr>
          <w:rFonts w:ascii="Cambria" w:hAnsi="Cambria"/>
          <w:noProof/>
        </w:rPr>
      </w:pPr>
      <w:r>
        <w:rPr>
          <w:rFonts w:asciiTheme="minorHAnsi" w:hAnsiTheme="minorHAnsi"/>
          <w:b/>
        </w:rPr>
        <w:fldChar w:fldCharType="begin" w:fldLock="1"/>
      </w:r>
      <w:r>
        <w:rPr>
          <w:rFonts w:asciiTheme="minorHAnsi" w:hAnsiTheme="minorHAnsi"/>
          <w:b/>
        </w:rPr>
        <w:instrText xml:space="preserve">ADDIN Mendeley Bibliography CSL_BIBLIOGRAPHY </w:instrText>
      </w:r>
      <w:r>
        <w:rPr>
          <w:rFonts w:asciiTheme="minorHAnsi" w:hAnsiTheme="minorHAnsi"/>
          <w:b/>
        </w:rPr>
        <w:fldChar w:fldCharType="separate"/>
      </w:r>
      <w:r w:rsidR="00805947" w:rsidRPr="00805947">
        <w:rPr>
          <w:rFonts w:ascii="Cambria" w:hAnsi="Cambria"/>
          <w:noProof/>
        </w:rPr>
        <w:t xml:space="preserve">Barnett-Page, E., &amp; Thomas, J. (2009). Methods for the synthesis of qualitative research: a critical review. </w:t>
      </w:r>
      <w:r w:rsidR="00805947" w:rsidRPr="00805947">
        <w:rPr>
          <w:rFonts w:ascii="Cambria" w:hAnsi="Cambria"/>
          <w:i/>
          <w:iCs/>
          <w:noProof/>
        </w:rPr>
        <w:t>BMC Medical Research Methodology</w:t>
      </w:r>
      <w:r w:rsidR="00805947" w:rsidRPr="00805947">
        <w:rPr>
          <w:rFonts w:ascii="Cambria" w:hAnsi="Cambria"/>
          <w:noProof/>
        </w:rPr>
        <w:t xml:space="preserve">, </w:t>
      </w:r>
      <w:r w:rsidR="00805947" w:rsidRPr="00805947">
        <w:rPr>
          <w:rFonts w:ascii="Cambria" w:hAnsi="Cambria"/>
          <w:i/>
          <w:iCs/>
          <w:noProof/>
        </w:rPr>
        <w:t>9</w:t>
      </w:r>
      <w:r w:rsidR="00805947" w:rsidRPr="00805947">
        <w:rPr>
          <w:rFonts w:ascii="Cambria" w:hAnsi="Cambria"/>
          <w:noProof/>
        </w:rPr>
        <w:t>, 59. http://doi.org/10.1186/1471-2288-9-59</w:t>
      </w:r>
    </w:p>
    <w:p w14:paraId="40F25DC8" w14:textId="77777777" w:rsidR="00805947" w:rsidRPr="00805947" w:rsidRDefault="00805947" w:rsidP="00805947">
      <w:pPr>
        <w:widowControl w:val="0"/>
        <w:autoSpaceDE w:val="0"/>
        <w:autoSpaceDN w:val="0"/>
        <w:adjustRightInd w:val="0"/>
        <w:ind w:left="480" w:hanging="480"/>
        <w:rPr>
          <w:rFonts w:ascii="Cambria" w:hAnsi="Cambria"/>
          <w:noProof/>
        </w:rPr>
      </w:pPr>
      <w:r w:rsidRPr="00805947">
        <w:rPr>
          <w:rFonts w:ascii="Cambria" w:hAnsi="Cambria"/>
          <w:noProof/>
        </w:rPr>
        <w:t xml:space="preserve">Boyko, J. a., Lavis, J. N., Abelson, J., Dobbins, M., &amp; Carter, N. (2012). Deliberative dialogues as a mechanism for knowledge translation and exchange in health systems decision-making. </w:t>
      </w:r>
      <w:r w:rsidRPr="00805947">
        <w:rPr>
          <w:rFonts w:ascii="Cambria" w:hAnsi="Cambria"/>
          <w:i/>
          <w:iCs/>
          <w:noProof/>
        </w:rPr>
        <w:t>Social Science and Medicine</w:t>
      </w:r>
      <w:r w:rsidRPr="00805947">
        <w:rPr>
          <w:rFonts w:ascii="Cambria" w:hAnsi="Cambria"/>
          <w:noProof/>
        </w:rPr>
        <w:t xml:space="preserve">, </w:t>
      </w:r>
      <w:r w:rsidRPr="00805947">
        <w:rPr>
          <w:rFonts w:ascii="Cambria" w:hAnsi="Cambria"/>
          <w:i/>
          <w:iCs/>
          <w:noProof/>
        </w:rPr>
        <w:t>75</w:t>
      </w:r>
      <w:r w:rsidRPr="00805947">
        <w:rPr>
          <w:rFonts w:ascii="Cambria" w:hAnsi="Cambria"/>
          <w:noProof/>
        </w:rPr>
        <w:t>(11), 1938–1945. http://doi.org/10.1016/j.socscimed.2012.06.016</w:t>
      </w:r>
    </w:p>
    <w:p w14:paraId="2D048B16" w14:textId="77777777" w:rsidR="00805947" w:rsidRPr="00805947" w:rsidRDefault="00805947" w:rsidP="00805947">
      <w:pPr>
        <w:widowControl w:val="0"/>
        <w:autoSpaceDE w:val="0"/>
        <w:autoSpaceDN w:val="0"/>
        <w:adjustRightInd w:val="0"/>
        <w:ind w:left="480" w:hanging="480"/>
        <w:rPr>
          <w:rFonts w:ascii="Cambria" w:hAnsi="Cambria"/>
          <w:noProof/>
        </w:rPr>
      </w:pPr>
      <w:r w:rsidRPr="00805947">
        <w:rPr>
          <w:rFonts w:ascii="Cambria" w:hAnsi="Cambria"/>
          <w:noProof/>
        </w:rPr>
        <w:t xml:space="preserve">Damschroder, L. J., Aron, D. C., Keith, R. E., Kirsh, S. R., Alexander, J. a, &amp; Lowery, J. C. (2009). Fostering implementation of health services research findings into practice: a consolidated framework for advancing implementation science. </w:t>
      </w:r>
      <w:r w:rsidRPr="00805947">
        <w:rPr>
          <w:rFonts w:ascii="Cambria" w:hAnsi="Cambria"/>
          <w:i/>
          <w:iCs/>
          <w:noProof/>
        </w:rPr>
        <w:t>Implementation Science : IS</w:t>
      </w:r>
      <w:r w:rsidRPr="00805947">
        <w:rPr>
          <w:rFonts w:ascii="Cambria" w:hAnsi="Cambria"/>
          <w:noProof/>
        </w:rPr>
        <w:t xml:space="preserve">, </w:t>
      </w:r>
      <w:r w:rsidRPr="00805947">
        <w:rPr>
          <w:rFonts w:ascii="Cambria" w:hAnsi="Cambria"/>
          <w:i/>
          <w:iCs/>
          <w:noProof/>
        </w:rPr>
        <w:t>4</w:t>
      </w:r>
      <w:r w:rsidRPr="00805947">
        <w:rPr>
          <w:rFonts w:ascii="Cambria" w:hAnsi="Cambria"/>
          <w:noProof/>
        </w:rPr>
        <w:t>, 50. http://doi.org/10.1186/1748-5908-4-50</w:t>
      </w:r>
    </w:p>
    <w:p w14:paraId="2258A522" w14:textId="77777777" w:rsidR="00805947" w:rsidRPr="00805947" w:rsidRDefault="00805947" w:rsidP="00805947">
      <w:pPr>
        <w:widowControl w:val="0"/>
        <w:autoSpaceDE w:val="0"/>
        <w:autoSpaceDN w:val="0"/>
        <w:adjustRightInd w:val="0"/>
        <w:ind w:left="480" w:hanging="480"/>
        <w:rPr>
          <w:rFonts w:ascii="Cambria" w:hAnsi="Cambria"/>
          <w:noProof/>
        </w:rPr>
      </w:pPr>
      <w:r w:rsidRPr="00805947">
        <w:rPr>
          <w:rFonts w:ascii="Cambria" w:hAnsi="Cambria"/>
          <w:noProof/>
        </w:rPr>
        <w:t xml:space="preserve">Dixon-Woods, M., Cavers, D., Agarwal, S., Annandale, E., Arthur, A., Harvey, J., … Sutton, A. J. (2006). Conducting a critical interpretive synthesis of the literature on access to healthcare by vulnerable groups. </w:t>
      </w:r>
      <w:r w:rsidRPr="00805947">
        <w:rPr>
          <w:rFonts w:ascii="Cambria" w:hAnsi="Cambria"/>
          <w:i/>
          <w:iCs/>
          <w:noProof/>
        </w:rPr>
        <w:t>BMC Medical Research Methodology</w:t>
      </w:r>
      <w:r w:rsidRPr="00805947">
        <w:rPr>
          <w:rFonts w:ascii="Cambria" w:hAnsi="Cambria"/>
          <w:noProof/>
        </w:rPr>
        <w:t xml:space="preserve">, </w:t>
      </w:r>
      <w:r w:rsidRPr="00805947">
        <w:rPr>
          <w:rFonts w:ascii="Cambria" w:hAnsi="Cambria"/>
          <w:i/>
          <w:iCs/>
          <w:noProof/>
        </w:rPr>
        <w:t>6</w:t>
      </w:r>
      <w:r w:rsidRPr="00805947">
        <w:rPr>
          <w:rFonts w:ascii="Cambria" w:hAnsi="Cambria"/>
          <w:noProof/>
        </w:rPr>
        <w:t>, 35. http://doi.org/10.1186/1471-2288-6-35</w:t>
      </w:r>
    </w:p>
    <w:p w14:paraId="3DC3D089" w14:textId="77777777" w:rsidR="00805947" w:rsidRPr="00805947" w:rsidRDefault="00805947" w:rsidP="00805947">
      <w:pPr>
        <w:widowControl w:val="0"/>
        <w:autoSpaceDE w:val="0"/>
        <w:autoSpaceDN w:val="0"/>
        <w:adjustRightInd w:val="0"/>
        <w:ind w:left="480" w:hanging="480"/>
        <w:rPr>
          <w:rFonts w:ascii="Cambria" w:hAnsi="Cambria"/>
          <w:noProof/>
        </w:rPr>
      </w:pPr>
      <w:r w:rsidRPr="00805947">
        <w:rPr>
          <w:rFonts w:ascii="Cambria" w:hAnsi="Cambria"/>
          <w:noProof/>
        </w:rPr>
        <w:t xml:space="preserve">Entwistle, V., Firnigl, D., Ryan, M., Francis, J., &amp; Kinghorn, P. (2012). Which experiences of health care delivery matter to service users and why? A critical interpretive synthesis and conceptual map. </w:t>
      </w:r>
      <w:r w:rsidRPr="00805947">
        <w:rPr>
          <w:rFonts w:ascii="Cambria" w:hAnsi="Cambria"/>
          <w:i/>
          <w:iCs/>
          <w:noProof/>
        </w:rPr>
        <w:t>Journal of Health Services Research &amp; Policy</w:t>
      </w:r>
      <w:r w:rsidRPr="00805947">
        <w:rPr>
          <w:rFonts w:ascii="Cambria" w:hAnsi="Cambria"/>
          <w:noProof/>
        </w:rPr>
        <w:t xml:space="preserve">, </w:t>
      </w:r>
      <w:r w:rsidRPr="00805947">
        <w:rPr>
          <w:rFonts w:ascii="Cambria" w:hAnsi="Cambria"/>
          <w:i/>
          <w:iCs/>
          <w:noProof/>
        </w:rPr>
        <w:t>17</w:t>
      </w:r>
      <w:r w:rsidRPr="00805947">
        <w:rPr>
          <w:rFonts w:ascii="Cambria" w:hAnsi="Cambria"/>
          <w:noProof/>
        </w:rPr>
        <w:t>(2), 70–8. http://doi.org/10.1258/jhsrp.2011.011029</w:t>
      </w:r>
    </w:p>
    <w:p w14:paraId="1C23E0AD" w14:textId="77777777" w:rsidR="00805947" w:rsidRDefault="00805947" w:rsidP="00805947">
      <w:pPr>
        <w:widowControl w:val="0"/>
        <w:autoSpaceDE w:val="0"/>
        <w:autoSpaceDN w:val="0"/>
        <w:adjustRightInd w:val="0"/>
        <w:ind w:left="480" w:hanging="480"/>
        <w:rPr>
          <w:rFonts w:ascii="Cambria" w:hAnsi="Cambria"/>
          <w:noProof/>
        </w:rPr>
      </w:pPr>
      <w:r w:rsidRPr="00805947">
        <w:rPr>
          <w:rFonts w:ascii="Cambria" w:hAnsi="Cambria"/>
          <w:noProof/>
        </w:rPr>
        <w:t xml:space="preserve">Flemming, K. (2010). Synthesis of quantitative and qualitative research: an example using Critical Interpretive Synthesis. </w:t>
      </w:r>
      <w:r w:rsidRPr="00805947">
        <w:rPr>
          <w:rFonts w:ascii="Cambria" w:hAnsi="Cambria"/>
          <w:i/>
          <w:iCs/>
          <w:noProof/>
        </w:rPr>
        <w:t>Journal of Advanced Nursing</w:t>
      </w:r>
      <w:r w:rsidRPr="00805947">
        <w:rPr>
          <w:rFonts w:ascii="Cambria" w:hAnsi="Cambria"/>
          <w:noProof/>
        </w:rPr>
        <w:t xml:space="preserve">, </w:t>
      </w:r>
      <w:r w:rsidRPr="00805947">
        <w:rPr>
          <w:rFonts w:ascii="Cambria" w:hAnsi="Cambria"/>
          <w:i/>
          <w:iCs/>
          <w:noProof/>
        </w:rPr>
        <w:t>66</w:t>
      </w:r>
      <w:r w:rsidRPr="00805947">
        <w:rPr>
          <w:rFonts w:ascii="Cambria" w:hAnsi="Cambria"/>
          <w:noProof/>
        </w:rPr>
        <w:t>(1), 201–17. http://doi.org/10.1111/j.1365-2648.2009.05173.x</w:t>
      </w:r>
    </w:p>
    <w:p w14:paraId="78529D79" w14:textId="77777777" w:rsidR="00CF271C" w:rsidRPr="00CF271C" w:rsidRDefault="00CF271C" w:rsidP="00CF271C">
      <w:pPr>
        <w:rPr>
          <w:rFonts w:ascii="Cambria" w:hAnsi="Cambria"/>
          <w:i/>
        </w:rPr>
      </w:pPr>
      <w:r w:rsidRPr="00CF271C">
        <w:rPr>
          <w:rFonts w:ascii="Cambria" w:hAnsi="Cambria"/>
        </w:rPr>
        <w:t xml:space="preserve">Goggin, M.L., Bowman, A.O.M., Lester, J.P., &amp; O’Toole, L.J. Jr. (1990). </w:t>
      </w:r>
      <w:r w:rsidRPr="00CF271C">
        <w:rPr>
          <w:rFonts w:ascii="Cambria" w:hAnsi="Cambria"/>
          <w:i/>
        </w:rPr>
        <w:t xml:space="preserve">Implementation theory </w:t>
      </w:r>
    </w:p>
    <w:p w14:paraId="1040D2A0" w14:textId="2D2381DB" w:rsidR="00CF271C" w:rsidRPr="00CF271C" w:rsidRDefault="00CF271C" w:rsidP="00CF271C">
      <w:pPr>
        <w:widowControl w:val="0"/>
        <w:autoSpaceDE w:val="0"/>
        <w:autoSpaceDN w:val="0"/>
        <w:adjustRightInd w:val="0"/>
        <w:ind w:left="480" w:hanging="480"/>
        <w:rPr>
          <w:rFonts w:ascii="Cambria" w:hAnsi="Cambria"/>
          <w:noProof/>
        </w:rPr>
      </w:pPr>
      <w:r w:rsidRPr="00CF271C">
        <w:rPr>
          <w:rFonts w:ascii="Cambria" w:hAnsi="Cambria"/>
          <w:i/>
        </w:rPr>
        <w:tab/>
        <w:t>and practice: toward a third generation</w:t>
      </w:r>
      <w:r w:rsidRPr="00CF271C">
        <w:rPr>
          <w:rFonts w:ascii="Cambria" w:hAnsi="Cambria"/>
        </w:rPr>
        <w:t>. Glenview, IL: Foreman/Little Brown.</w:t>
      </w:r>
    </w:p>
    <w:p w14:paraId="276F1C93" w14:textId="77777777" w:rsidR="00805947" w:rsidRPr="00494298" w:rsidRDefault="00805947" w:rsidP="00805947">
      <w:pPr>
        <w:widowControl w:val="0"/>
        <w:autoSpaceDE w:val="0"/>
        <w:autoSpaceDN w:val="0"/>
        <w:adjustRightInd w:val="0"/>
        <w:ind w:left="480" w:hanging="480"/>
        <w:rPr>
          <w:rFonts w:ascii="Cambria" w:hAnsi="Cambria"/>
          <w:noProof/>
          <w:lang w:val="fr-CA"/>
        </w:rPr>
      </w:pPr>
      <w:r w:rsidRPr="00805947">
        <w:rPr>
          <w:rFonts w:ascii="Cambria" w:hAnsi="Cambria"/>
          <w:noProof/>
        </w:rPr>
        <w:t xml:space="preserve">Guba, E. G. (1981). Criteria for assessing the trustworthiness of naturalistic inquiries. </w:t>
      </w:r>
      <w:r w:rsidRPr="00494298">
        <w:rPr>
          <w:rFonts w:ascii="Cambria" w:hAnsi="Cambria"/>
          <w:i/>
          <w:iCs/>
          <w:noProof/>
          <w:lang w:val="fr-CA"/>
        </w:rPr>
        <w:t>ECTJ</w:t>
      </w:r>
      <w:r w:rsidRPr="00494298">
        <w:rPr>
          <w:rFonts w:ascii="Cambria" w:hAnsi="Cambria"/>
          <w:noProof/>
          <w:lang w:val="fr-CA"/>
        </w:rPr>
        <w:t xml:space="preserve">, </w:t>
      </w:r>
      <w:r w:rsidRPr="00494298">
        <w:rPr>
          <w:rFonts w:ascii="Cambria" w:hAnsi="Cambria"/>
          <w:i/>
          <w:iCs/>
          <w:noProof/>
          <w:lang w:val="fr-CA"/>
        </w:rPr>
        <w:t>29</w:t>
      </w:r>
      <w:r w:rsidRPr="00494298">
        <w:rPr>
          <w:rFonts w:ascii="Cambria" w:hAnsi="Cambria"/>
          <w:noProof/>
          <w:lang w:val="fr-CA"/>
        </w:rPr>
        <w:t>(2), 75–91. article. http://doi.org/10.1007/BF02766777</w:t>
      </w:r>
    </w:p>
    <w:p w14:paraId="6CA7F111" w14:textId="77777777" w:rsidR="00805947" w:rsidRPr="00805947" w:rsidRDefault="00805947" w:rsidP="00805947">
      <w:pPr>
        <w:widowControl w:val="0"/>
        <w:autoSpaceDE w:val="0"/>
        <w:autoSpaceDN w:val="0"/>
        <w:adjustRightInd w:val="0"/>
        <w:ind w:left="480" w:hanging="480"/>
        <w:rPr>
          <w:rFonts w:ascii="Cambria" w:hAnsi="Cambria"/>
          <w:noProof/>
        </w:rPr>
      </w:pPr>
      <w:r w:rsidRPr="00494298">
        <w:rPr>
          <w:rFonts w:ascii="Cambria" w:hAnsi="Cambria"/>
          <w:noProof/>
          <w:lang w:val="fr-CA"/>
        </w:rPr>
        <w:t xml:space="preserve">Heaton, J., Corden, A., &amp; Parker, G. (2012). </w:t>
      </w:r>
      <w:r w:rsidRPr="00805947">
        <w:rPr>
          <w:rFonts w:ascii="Cambria" w:hAnsi="Cambria"/>
          <w:noProof/>
        </w:rPr>
        <w:t xml:space="preserve">“Continuity of care”: a critical interpretive synthesis of how the concept was elaborated by a national research programme. </w:t>
      </w:r>
      <w:r w:rsidRPr="00805947">
        <w:rPr>
          <w:rFonts w:ascii="Cambria" w:hAnsi="Cambria"/>
          <w:i/>
          <w:iCs/>
          <w:noProof/>
        </w:rPr>
        <w:t>International Journal of Integrated Care</w:t>
      </w:r>
      <w:r w:rsidRPr="00805947">
        <w:rPr>
          <w:rFonts w:ascii="Cambria" w:hAnsi="Cambria"/>
          <w:noProof/>
        </w:rPr>
        <w:t xml:space="preserve">, </w:t>
      </w:r>
      <w:r w:rsidRPr="00805947">
        <w:rPr>
          <w:rFonts w:ascii="Cambria" w:hAnsi="Cambria"/>
          <w:i/>
          <w:iCs/>
          <w:noProof/>
        </w:rPr>
        <w:t>12</w:t>
      </w:r>
      <w:r w:rsidRPr="00805947">
        <w:rPr>
          <w:rFonts w:ascii="Cambria" w:hAnsi="Cambria"/>
          <w:noProof/>
        </w:rPr>
        <w:t>, e12. Retrieved from http://www.ncbi.nlm.nih.gov/pubmed/22977421</w:t>
      </w:r>
    </w:p>
    <w:p w14:paraId="01D805D3" w14:textId="77777777" w:rsidR="00805947" w:rsidRPr="00805947" w:rsidRDefault="00805947" w:rsidP="00805947">
      <w:pPr>
        <w:widowControl w:val="0"/>
        <w:autoSpaceDE w:val="0"/>
        <w:autoSpaceDN w:val="0"/>
        <w:adjustRightInd w:val="0"/>
        <w:ind w:left="480" w:hanging="480"/>
        <w:rPr>
          <w:rFonts w:ascii="Cambria" w:hAnsi="Cambria"/>
          <w:noProof/>
        </w:rPr>
      </w:pPr>
      <w:r w:rsidRPr="00805947">
        <w:rPr>
          <w:rFonts w:ascii="Cambria" w:hAnsi="Cambria"/>
          <w:noProof/>
        </w:rPr>
        <w:t xml:space="preserve">Lavis, J. N., Robertson, D., Woodside, J. M., McLeod, C. B., Abelson, J., &amp; Knowledge Transfer Study Group. (2003). How can research organizations more effectively transfer research knowledge to decision makers? </w:t>
      </w:r>
      <w:r w:rsidRPr="00805947">
        <w:rPr>
          <w:rFonts w:ascii="Cambria" w:hAnsi="Cambria"/>
          <w:i/>
          <w:iCs/>
          <w:noProof/>
        </w:rPr>
        <w:t>The Milbank Quarterly</w:t>
      </w:r>
      <w:r w:rsidRPr="00805947">
        <w:rPr>
          <w:rFonts w:ascii="Cambria" w:hAnsi="Cambria"/>
          <w:noProof/>
        </w:rPr>
        <w:t xml:space="preserve">, </w:t>
      </w:r>
      <w:r w:rsidRPr="00805947">
        <w:rPr>
          <w:rFonts w:ascii="Cambria" w:hAnsi="Cambria"/>
          <w:i/>
          <w:iCs/>
          <w:noProof/>
        </w:rPr>
        <w:t>81</w:t>
      </w:r>
      <w:r w:rsidRPr="00805947">
        <w:rPr>
          <w:rFonts w:ascii="Cambria" w:hAnsi="Cambria"/>
          <w:noProof/>
        </w:rPr>
        <w:t>(2), 221–48, 171–2. Retrieved from http://www.ncbi.nlm.nih.gov/pubmed/12841049</w:t>
      </w:r>
    </w:p>
    <w:p w14:paraId="576431D0" w14:textId="77777777" w:rsidR="00805947" w:rsidRPr="00805947" w:rsidRDefault="00805947" w:rsidP="00805947">
      <w:pPr>
        <w:widowControl w:val="0"/>
        <w:autoSpaceDE w:val="0"/>
        <w:autoSpaceDN w:val="0"/>
        <w:adjustRightInd w:val="0"/>
        <w:ind w:left="480" w:hanging="480"/>
        <w:rPr>
          <w:rFonts w:ascii="Cambria" w:hAnsi="Cambria"/>
          <w:noProof/>
        </w:rPr>
      </w:pPr>
      <w:r w:rsidRPr="00805947">
        <w:rPr>
          <w:rFonts w:ascii="Cambria" w:hAnsi="Cambria"/>
          <w:noProof/>
        </w:rPr>
        <w:t xml:space="preserve">Lomas, J. (2000). Using “linkage and exchange” to move research into policy at a Canadian foundation. </w:t>
      </w:r>
      <w:r w:rsidRPr="00805947">
        <w:rPr>
          <w:rFonts w:ascii="Cambria" w:hAnsi="Cambria"/>
          <w:i/>
          <w:iCs/>
          <w:noProof/>
        </w:rPr>
        <w:t>Health Affairs</w:t>
      </w:r>
      <w:r w:rsidRPr="00805947">
        <w:rPr>
          <w:rFonts w:ascii="Cambria" w:hAnsi="Cambria"/>
          <w:noProof/>
        </w:rPr>
        <w:t xml:space="preserve">, </w:t>
      </w:r>
      <w:r w:rsidRPr="00805947">
        <w:rPr>
          <w:rFonts w:ascii="Cambria" w:hAnsi="Cambria"/>
          <w:i/>
          <w:iCs/>
          <w:noProof/>
        </w:rPr>
        <w:t>19</w:t>
      </w:r>
      <w:r w:rsidRPr="00805947">
        <w:rPr>
          <w:rFonts w:ascii="Cambria" w:hAnsi="Cambria"/>
          <w:noProof/>
        </w:rPr>
        <w:t>(3), 236–240. JOUR. Retrieved from http://libaccess.mcmaster.ca/login?url=http://search.proquest.com/docview/204629473?accountid=12347</w:t>
      </w:r>
    </w:p>
    <w:p w14:paraId="39D7E151" w14:textId="77777777" w:rsidR="00805947" w:rsidRPr="00805947" w:rsidRDefault="00805947" w:rsidP="00805947">
      <w:pPr>
        <w:widowControl w:val="0"/>
        <w:autoSpaceDE w:val="0"/>
        <w:autoSpaceDN w:val="0"/>
        <w:adjustRightInd w:val="0"/>
        <w:ind w:left="480" w:hanging="480"/>
        <w:rPr>
          <w:rFonts w:ascii="Cambria" w:hAnsi="Cambria"/>
          <w:noProof/>
        </w:rPr>
      </w:pPr>
      <w:r w:rsidRPr="00805947">
        <w:rPr>
          <w:rFonts w:ascii="Cambria" w:hAnsi="Cambria"/>
          <w:noProof/>
        </w:rPr>
        <w:t xml:space="preserve">Moat, K. a., Lavis, J. N., &amp; Abelson, J. (2013). How contexts and issues influence the use of policy-relevant research syntheses: A critical interpretive synthesis. </w:t>
      </w:r>
      <w:r w:rsidRPr="00805947">
        <w:rPr>
          <w:rFonts w:ascii="Cambria" w:hAnsi="Cambria"/>
          <w:i/>
          <w:iCs/>
          <w:noProof/>
        </w:rPr>
        <w:t>Milbank Quarterly</w:t>
      </w:r>
      <w:r w:rsidRPr="00805947">
        <w:rPr>
          <w:rFonts w:ascii="Cambria" w:hAnsi="Cambria"/>
          <w:noProof/>
        </w:rPr>
        <w:t xml:space="preserve">, </w:t>
      </w:r>
      <w:r w:rsidRPr="00805947">
        <w:rPr>
          <w:rFonts w:ascii="Cambria" w:hAnsi="Cambria"/>
          <w:i/>
          <w:iCs/>
          <w:noProof/>
        </w:rPr>
        <w:t>91</w:t>
      </w:r>
      <w:r w:rsidRPr="00805947">
        <w:rPr>
          <w:rFonts w:ascii="Cambria" w:hAnsi="Cambria"/>
          <w:noProof/>
        </w:rPr>
        <w:t>(3), 604–648.</w:t>
      </w:r>
    </w:p>
    <w:p w14:paraId="29EBA85C" w14:textId="77777777" w:rsidR="00805947" w:rsidRPr="00805947" w:rsidRDefault="00805947" w:rsidP="00805947">
      <w:pPr>
        <w:widowControl w:val="0"/>
        <w:autoSpaceDE w:val="0"/>
        <w:autoSpaceDN w:val="0"/>
        <w:adjustRightInd w:val="0"/>
        <w:ind w:left="480" w:hanging="480"/>
        <w:rPr>
          <w:rFonts w:ascii="Cambria" w:hAnsi="Cambria"/>
          <w:noProof/>
        </w:rPr>
      </w:pPr>
      <w:r w:rsidRPr="00805947">
        <w:rPr>
          <w:rFonts w:ascii="Cambria" w:hAnsi="Cambria"/>
          <w:noProof/>
        </w:rPr>
        <w:t xml:space="preserve">Morrison, L. G., Yardley, L., Powell, J., &amp; Michie, S. (2012). What design features are used in effective e-health interventions? A review using techniques from Critical Interpretive Synthesis. </w:t>
      </w:r>
      <w:r w:rsidRPr="00805947">
        <w:rPr>
          <w:rFonts w:ascii="Cambria" w:hAnsi="Cambria"/>
          <w:i/>
          <w:iCs/>
          <w:noProof/>
        </w:rPr>
        <w:t xml:space="preserve">Telemedicine Journal and E-Health : The Official Journal of the American </w:t>
      </w:r>
      <w:r w:rsidRPr="00805947">
        <w:rPr>
          <w:rFonts w:ascii="Cambria" w:hAnsi="Cambria"/>
          <w:i/>
          <w:iCs/>
          <w:noProof/>
        </w:rPr>
        <w:lastRenderedPageBreak/>
        <w:t>Telemedicine Association</w:t>
      </w:r>
      <w:r w:rsidRPr="00805947">
        <w:rPr>
          <w:rFonts w:ascii="Cambria" w:hAnsi="Cambria"/>
          <w:noProof/>
        </w:rPr>
        <w:t xml:space="preserve">, </w:t>
      </w:r>
      <w:r w:rsidRPr="00805947">
        <w:rPr>
          <w:rFonts w:ascii="Cambria" w:hAnsi="Cambria"/>
          <w:i/>
          <w:iCs/>
          <w:noProof/>
        </w:rPr>
        <w:t>18</w:t>
      </w:r>
      <w:r w:rsidRPr="00805947">
        <w:rPr>
          <w:rFonts w:ascii="Cambria" w:hAnsi="Cambria"/>
          <w:noProof/>
        </w:rPr>
        <w:t>(2), 137–44. http://doi.org/10.1089/tmj.2011.0062</w:t>
      </w:r>
    </w:p>
    <w:p w14:paraId="50A69348" w14:textId="77777777" w:rsidR="00805947" w:rsidRPr="00805947" w:rsidRDefault="00805947" w:rsidP="00805947">
      <w:pPr>
        <w:widowControl w:val="0"/>
        <w:autoSpaceDE w:val="0"/>
        <w:autoSpaceDN w:val="0"/>
        <w:adjustRightInd w:val="0"/>
        <w:ind w:left="480" w:hanging="480"/>
        <w:rPr>
          <w:rFonts w:ascii="Cambria" w:hAnsi="Cambria"/>
          <w:noProof/>
        </w:rPr>
      </w:pPr>
      <w:r w:rsidRPr="00805947">
        <w:rPr>
          <w:rFonts w:ascii="Cambria" w:hAnsi="Cambria"/>
          <w:noProof/>
        </w:rPr>
        <w:t xml:space="preserve">Nilsen, P. (2015). Making sense of implementation theories, models and frameworks. </w:t>
      </w:r>
      <w:r w:rsidRPr="00805947">
        <w:rPr>
          <w:rFonts w:ascii="Cambria" w:hAnsi="Cambria"/>
          <w:i/>
          <w:iCs/>
          <w:noProof/>
        </w:rPr>
        <w:t>Implementation Science : IS</w:t>
      </w:r>
      <w:r w:rsidRPr="00805947">
        <w:rPr>
          <w:rFonts w:ascii="Cambria" w:hAnsi="Cambria"/>
          <w:noProof/>
        </w:rPr>
        <w:t xml:space="preserve">, </w:t>
      </w:r>
      <w:r w:rsidRPr="00805947">
        <w:rPr>
          <w:rFonts w:ascii="Cambria" w:hAnsi="Cambria"/>
          <w:i/>
          <w:iCs/>
          <w:noProof/>
        </w:rPr>
        <w:t>10</w:t>
      </w:r>
      <w:r w:rsidRPr="00805947">
        <w:rPr>
          <w:rFonts w:ascii="Cambria" w:hAnsi="Cambria"/>
          <w:noProof/>
        </w:rPr>
        <w:t>, 53. http://doi.org/10.1186/s13012-015-0242-0</w:t>
      </w:r>
    </w:p>
    <w:p w14:paraId="216D2466" w14:textId="77777777" w:rsidR="00805947" w:rsidRPr="00805947" w:rsidRDefault="00805947" w:rsidP="00805947">
      <w:pPr>
        <w:widowControl w:val="0"/>
        <w:autoSpaceDE w:val="0"/>
        <w:autoSpaceDN w:val="0"/>
        <w:adjustRightInd w:val="0"/>
        <w:ind w:left="480" w:hanging="480"/>
        <w:rPr>
          <w:rFonts w:ascii="Cambria" w:hAnsi="Cambria"/>
          <w:noProof/>
        </w:rPr>
      </w:pPr>
      <w:r w:rsidRPr="00805947">
        <w:rPr>
          <w:rFonts w:ascii="Cambria" w:hAnsi="Cambria"/>
          <w:noProof/>
        </w:rPr>
        <w:t xml:space="preserve">Nilsen, P., Ståhl, C., Roback, K., &amp; Cairney, P. (2013). Never the twain shall meet?--a comparison of implementation science and policy implementation research. </w:t>
      </w:r>
      <w:r w:rsidRPr="00805947">
        <w:rPr>
          <w:rFonts w:ascii="Cambria" w:hAnsi="Cambria"/>
          <w:i/>
          <w:iCs/>
          <w:noProof/>
        </w:rPr>
        <w:t>Implementation Science : IS</w:t>
      </w:r>
      <w:r w:rsidRPr="00805947">
        <w:rPr>
          <w:rFonts w:ascii="Cambria" w:hAnsi="Cambria"/>
          <w:noProof/>
        </w:rPr>
        <w:t xml:space="preserve">, </w:t>
      </w:r>
      <w:r w:rsidRPr="00805947">
        <w:rPr>
          <w:rFonts w:ascii="Cambria" w:hAnsi="Cambria"/>
          <w:i/>
          <w:iCs/>
          <w:noProof/>
        </w:rPr>
        <w:t>8</w:t>
      </w:r>
      <w:r w:rsidRPr="00805947">
        <w:rPr>
          <w:rFonts w:ascii="Cambria" w:hAnsi="Cambria"/>
          <w:noProof/>
        </w:rPr>
        <w:t>, 63. http://doi.org/10.1186/1748-5908-8-63</w:t>
      </w:r>
    </w:p>
    <w:p w14:paraId="731A1E77" w14:textId="77777777" w:rsidR="00805947" w:rsidRPr="00805947" w:rsidRDefault="00805947" w:rsidP="00805947">
      <w:pPr>
        <w:widowControl w:val="0"/>
        <w:autoSpaceDE w:val="0"/>
        <w:autoSpaceDN w:val="0"/>
        <w:adjustRightInd w:val="0"/>
        <w:ind w:left="480" w:hanging="480"/>
        <w:rPr>
          <w:rFonts w:ascii="Cambria" w:hAnsi="Cambria"/>
          <w:noProof/>
        </w:rPr>
      </w:pPr>
      <w:r w:rsidRPr="00805947">
        <w:rPr>
          <w:rFonts w:ascii="Cambria" w:hAnsi="Cambria"/>
          <w:noProof/>
        </w:rPr>
        <w:t xml:space="preserve">Patton, M. Q. (1999). Enhancing the Quality and Credibility of Qualitative Analysis. </w:t>
      </w:r>
      <w:r w:rsidRPr="00805947">
        <w:rPr>
          <w:rFonts w:ascii="Cambria" w:hAnsi="Cambria"/>
          <w:i/>
          <w:iCs/>
          <w:noProof/>
        </w:rPr>
        <w:t>HSR: Health Services Research</w:t>
      </w:r>
      <w:r w:rsidRPr="00805947">
        <w:rPr>
          <w:rFonts w:ascii="Cambria" w:hAnsi="Cambria"/>
          <w:noProof/>
        </w:rPr>
        <w:t xml:space="preserve">, </w:t>
      </w:r>
      <w:r w:rsidRPr="00805947">
        <w:rPr>
          <w:rFonts w:ascii="Cambria" w:hAnsi="Cambria"/>
          <w:i/>
          <w:iCs/>
          <w:noProof/>
        </w:rPr>
        <w:t>34</w:t>
      </w:r>
      <w:r w:rsidRPr="00805947">
        <w:rPr>
          <w:rFonts w:ascii="Cambria" w:hAnsi="Cambria"/>
          <w:noProof/>
        </w:rPr>
        <w:t>(5), 1189–1208.</w:t>
      </w:r>
    </w:p>
    <w:p w14:paraId="4C0FAB06" w14:textId="77777777" w:rsidR="00805947" w:rsidRDefault="00805947" w:rsidP="00805947">
      <w:pPr>
        <w:widowControl w:val="0"/>
        <w:autoSpaceDE w:val="0"/>
        <w:autoSpaceDN w:val="0"/>
        <w:adjustRightInd w:val="0"/>
        <w:ind w:left="480" w:hanging="480"/>
        <w:rPr>
          <w:rFonts w:ascii="Cambria" w:hAnsi="Cambria"/>
          <w:noProof/>
        </w:rPr>
      </w:pPr>
      <w:r w:rsidRPr="00805947">
        <w:rPr>
          <w:rFonts w:ascii="Cambria" w:hAnsi="Cambria"/>
          <w:noProof/>
        </w:rPr>
        <w:t xml:space="preserve">Shenton, A. K. (2004). Strategies for Ensuring Trustworthiness in Qualitative Research Projects. </w:t>
      </w:r>
      <w:r w:rsidRPr="00805947">
        <w:rPr>
          <w:rFonts w:ascii="Cambria" w:hAnsi="Cambria"/>
          <w:i/>
          <w:iCs/>
          <w:noProof/>
        </w:rPr>
        <w:t>Education for Information</w:t>
      </w:r>
      <w:r w:rsidRPr="00805947">
        <w:rPr>
          <w:rFonts w:ascii="Cambria" w:hAnsi="Cambria"/>
          <w:noProof/>
        </w:rPr>
        <w:t xml:space="preserve">, </w:t>
      </w:r>
      <w:r w:rsidRPr="00805947">
        <w:rPr>
          <w:rFonts w:ascii="Cambria" w:hAnsi="Cambria"/>
          <w:i/>
          <w:iCs/>
          <w:noProof/>
        </w:rPr>
        <w:t>22</w:t>
      </w:r>
      <w:r w:rsidRPr="00805947">
        <w:rPr>
          <w:rFonts w:ascii="Cambria" w:hAnsi="Cambria"/>
          <w:noProof/>
        </w:rPr>
        <w:t>(2), 63–75.</w:t>
      </w:r>
    </w:p>
    <w:p w14:paraId="1342224A" w14:textId="079E73E2" w:rsidR="00541BC8" w:rsidRPr="00541BC8" w:rsidRDefault="00541BC8" w:rsidP="00541BC8">
      <w:pPr>
        <w:rPr>
          <w:lang w:val="en-CA"/>
        </w:rPr>
      </w:pPr>
      <w:r w:rsidRPr="00541BC8">
        <w:rPr>
          <w:rFonts w:asciiTheme="minorHAnsi" w:eastAsia="Times New Roman" w:hAnsiTheme="minorHAnsi" w:cs="Times New Roman"/>
          <w:color w:val="000000"/>
          <w:shd w:val="clear" w:color="auto" w:fill="FFFFFF"/>
          <w:lang w:val="en-CA"/>
        </w:rPr>
        <w:t>Strauss, A. &amp; Corbin, J. (1990).</w:t>
      </w:r>
      <w:r>
        <w:rPr>
          <w:rFonts w:asciiTheme="minorHAnsi" w:eastAsia="Times New Roman" w:hAnsiTheme="minorHAnsi" w:cs="Times New Roman"/>
          <w:color w:val="000000"/>
          <w:shd w:val="clear" w:color="auto" w:fill="FFFFFF"/>
          <w:lang w:val="en-CA"/>
        </w:rPr>
        <w:t xml:space="preserve"> Basics of Qualitative Research: Grounded Theory Procedures </w:t>
      </w:r>
      <w:r>
        <w:rPr>
          <w:rFonts w:asciiTheme="minorHAnsi" w:eastAsia="Times New Roman" w:hAnsiTheme="minorHAnsi" w:cs="Times New Roman"/>
          <w:color w:val="000000"/>
          <w:shd w:val="clear" w:color="auto" w:fill="FFFFFF"/>
          <w:lang w:val="en-CA"/>
        </w:rPr>
        <w:tab/>
        <w:t xml:space="preserve">and Techniques. Newbury Park, CA: Sage Publications. </w:t>
      </w:r>
    </w:p>
    <w:p w14:paraId="1020DF52" w14:textId="77777777" w:rsidR="00805947" w:rsidRPr="00805947" w:rsidRDefault="00805947" w:rsidP="00805947">
      <w:pPr>
        <w:widowControl w:val="0"/>
        <w:autoSpaceDE w:val="0"/>
        <w:autoSpaceDN w:val="0"/>
        <w:adjustRightInd w:val="0"/>
        <w:ind w:left="480" w:hanging="480"/>
        <w:rPr>
          <w:rFonts w:ascii="Cambria" w:hAnsi="Cambria"/>
          <w:noProof/>
        </w:rPr>
      </w:pPr>
      <w:r w:rsidRPr="00805947">
        <w:rPr>
          <w:rFonts w:ascii="Cambria" w:hAnsi="Cambria"/>
          <w:noProof/>
        </w:rPr>
        <w:t xml:space="preserve">Tabak, R. G., Khoong, E. C., Chambers, D. A., &amp; Brownson, R. C. (2012). Bridging research and practice: models for dissemination and implementation research. </w:t>
      </w:r>
      <w:r w:rsidRPr="00805947">
        <w:rPr>
          <w:rFonts w:ascii="Cambria" w:hAnsi="Cambria"/>
          <w:i/>
          <w:iCs/>
          <w:noProof/>
        </w:rPr>
        <w:t>American Journal of Preventive Medicine</w:t>
      </w:r>
      <w:r w:rsidRPr="00805947">
        <w:rPr>
          <w:rFonts w:ascii="Cambria" w:hAnsi="Cambria"/>
          <w:noProof/>
        </w:rPr>
        <w:t xml:space="preserve">, </w:t>
      </w:r>
      <w:r w:rsidRPr="00805947">
        <w:rPr>
          <w:rFonts w:ascii="Cambria" w:hAnsi="Cambria"/>
          <w:i/>
          <w:iCs/>
          <w:noProof/>
        </w:rPr>
        <w:t>43</w:t>
      </w:r>
      <w:r w:rsidRPr="00805947">
        <w:rPr>
          <w:rFonts w:ascii="Cambria" w:hAnsi="Cambria"/>
          <w:noProof/>
        </w:rPr>
        <w:t>(3), 337–50. http://doi.org/10.1016/j.amepre.2012.05.024</w:t>
      </w:r>
    </w:p>
    <w:p w14:paraId="582413F8" w14:textId="77777777" w:rsidR="00805947" w:rsidRPr="00805947" w:rsidRDefault="00805947" w:rsidP="00805947">
      <w:pPr>
        <w:widowControl w:val="0"/>
        <w:autoSpaceDE w:val="0"/>
        <w:autoSpaceDN w:val="0"/>
        <w:adjustRightInd w:val="0"/>
        <w:ind w:left="480" w:hanging="480"/>
        <w:rPr>
          <w:rFonts w:ascii="Cambria" w:hAnsi="Cambria"/>
          <w:noProof/>
        </w:rPr>
      </w:pPr>
      <w:r w:rsidRPr="00805947">
        <w:rPr>
          <w:rFonts w:ascii="Cambria" w:hAnsi="Cambria"/>
          <w:noProof/>
        </w:rPr>
        <w:t xml:space="preserve">Wandersman,  a, Duffy, J., Flaspohler, P., Noonan, R., Lubell, K., Stillman, L., … Saul, J. (2008). Bridging the gap between prevention research and practice: The interactive systems framework for dissemination and implementation. </w:t>
      </w:r>
      <w:r w:rsidRPr="00805947">
        <w:rPr>
          <w:rFonts w:ascii="Cambria" w:hAnsi="Cambria"/>
          <w:i/>
          <w:iCs/>
          <w:noProof/>
        </w:rPr>
        <w:t>American Journal of Community Psychology</w:t>
      </w:r>
      <w:r w:rsidRPr="00805947">
        <w:rPr>
          <w:rFonts w:ascii="Cambria" w:hAnsi="Cambria"/>
          <w:noProof/>
        </w:rPr>
        <w:t xml:space="preserve">, </w:t>
      </w:r>
      <w:r w:rsidRPr="00805947">
        <w:rPr>
          <w:rFonts w:ascii="Cambria" w:hAnsi="Cambria"/>
          <w:i/>
          <w:iCs/>
          <w:noProof/>
        </w:rPr>
        <w:t>41</w:t>
      </w:r>
      <w:r w:rsidRPr="00805947">
        <w:rPr>
          <w:rFonts w:ascii="Cambria" w:hAnsi="Cambria"/>
          <w:noProof/>
        </w:rPr>
        <w:t>(3–4), 171–181. http://doi.org/10.1007/s10464-008-9174-z</w:t>
      </w:r>
    </w:p>
    <w:p w14:paraId="7B1F005C" w14:textId="77777777" w:rsidR="00805947" w:rsidRPr="00805947" w:rsidRDefault="00805947" w:rsidP="00805947">
      <w:pPr>
        <w:widowControl w:val="0"/>
        <w:autoSpaceDE w:val="0"/>
        <w:autoSpaceDN w:val="0"/>
        <w:adjustRightInd w:val="0"/>
        <w:ind w:left="480" w:hanging="480"/>
        <w:rPr>
          <w:rFonts w:ascii="Cambria" w:hAnsi="Cambria"/>
          <w:noProof/>
        </w:rPr>
      </w:pPr>
      <w:r w:rsidRPr="00805947">
        <w:rPr>
          <w:rFonts w:ascii="Cambria" w:hAnsi="Cambria"/>
          <w:noProof/>
        </w:rPr>
        <w:t xml:space="preserve">Wilson, M. G., Ellen, M. E., Lavis, J. N., Grimshaw, J. M., Moat, K. A., Shemer, J., … Samra, K. (2014). Processes, contexts, and rationale for disinvestment: a protocol for a critical interpretive synthesis. </w:t>
      </w:r>
      <w:r w:rsidRPr="00805947">
        <w:rPr>
          <w:rFonts w:ascii="Cambria" w:hAnsi="Cambria"/>
          <w:i/>
          <w:iCs/>
          <w:noProof/>
        </w:rPr>
        <w:t>Systematic Reviews</w:t>
      </w:r>
      <w:r w:rsidRPr="00805947">
        <w:rPr>
          <w:rFonts w:ascii="Cambria" w:hAnsi="Cambria"/>
          <w:noProof/>
        </w:rPr>
        <w:t xml:space="preserve">, </w:t>
      </w:r>
      <w:r w:rsidRPr="00805947">
        <w:rPr>
          <w:rFonts w:ascii="Cambria" w:hAnsi="Cambria"/>
          <w:i/>
          <w:iCs/>
          <w:noProof/>
        </w:rPr>
        <w:t>3</w:t>
      </w:r>
      <w:r w:rsidRPr="00805947">
        <w:rPr>
          <w:rFonts w:ascii="Cambria" w:hAnsi="Cambria"/>
          <w:noProof/>
        </w:rPr>
        <w:t>, 143. http://doi.org/10.1186/2046-4053-3-143</w:t>
      </w:r>
    </w:p>
    <w:p w14:paraId="6F5DBF82" w14:textId="77777777" w:rsidR="00522685" w:rsidRDefault="00587EDD" w:rsidP="00805947">
      <w:pPr>
        <w:widowControl w:val="0"/>
        <w:autoSpaceDE w:val="0"/>
        <w:autoSpaceDN w:val="0"/>
        <w:adjustRightInd w:val="0"/>
        <w:ind w:left="480" w:hanging="480"/>
        <w:rPr>
          <w:rFonts w:asciiTheme="minorHAnsi" w:hAnsiTheme="minorHAnsi"/>
          <w:b/>
        </w:rPr>
      </w:pPr>
      <w:r>
        <w:rPr>
          <w:rFonts w:asciiTheme="minorHAnsi" w:hAnsiTheme="minorHAnsi"/>
          <w:b/>
        </w:rPr>
        <w:fldChar w:fldCharType="end"/>
      </w:r>
    </w:p>
    <w:p w14:paraId="7A88C241" w14:textId="77777777" w:rsidR="00522685" w:rsidRDefault="00522685">
      <w:pPr>
        <w:rPr>
          <w:rFonts w:asciiTheme="minorHAnsi" w:hAnsiTheme="minorHAnsi"/>
          <w:b/>
        </w:rPr>
      </w:pPr>
      <w:r>
        <w:rPr>
          <w:rFonts w:asciiTheme="minorHAnsi" w:hAnsiTheme="minorHAnsi"/>
          <w:b/>
        </w:rPr>
        <w:br w:type="page"/>
      </w:r>
    </w:p>
    <w:p w14:paraId="6B912455" w14:textId="77777777" w:rsidR="00FA18EA" w:rsidRDefault="00522685" w:rsidP="00805947">
      <w:pPr>
        <w:widowControl w:val="0"/>
        <w:autoSpaceDE w:val="0"/>
        <w:autoSpaceDN w:val="0"/>
        <w:adjustRightInd w:val="0"/>
        <w:ind w:left="480" w:hanging="480"/>
        <w:rPr>
          <w:rFonts w:asciiTheme="minorHAnsi" w:hAnsiTheme="minorHAnsi"/>
          <w:b/>
        </w:rPr>
      </w:pPr>
      <w:r>
        <w:rPr>
          <w:rFonts w:asciiTheme="minorHAnsi" w:hAnsiTheme="minorHAnsi"/>
          <w:b/>
        </w:rPr>
        <w:lastRenderedPageBreak/>
        <w:t>Data Extraction Forms</w:t>
      </w:r>
    </w:p>
    <w:p w14:paraId="3A2BC04C" w14:textId="77777777" w:rsidR="004F4034" w:rsidRDefault="004F4034" w:rsidP="00805947">
      <w:pPr>
        <w:widowControl w:val="0"/>
        <w:autoSpaceDE w:val="0"/>
        <w:autoSpaceDN w:val="0"/>
        <w:adjustRightInd w:val="0"/>
        <w:ind w:left="480" w:hanging="480"/>
        <w:rPr>
          <w:rFonts w:asciiTheme="minorHAnsi" w:hAnsiTheme="minorHAnsi"/>
          <w:b/>
        </w:rPr>
      </w:pPr>
    </w:p>
    <w:p w14:paraId="3B7D0158" w14:textId="77777777" w:rsidR="004F4034" w:rsidRDefault="004F4034" w:rsidP="004F4034">
      <w:pPr>
        <w:widowControl w:val="0"/>
        <w:autoSpaceDE w:val="0"/>
        <w:autoSpaceDN w:val="0"/>
        <w:adjustRightInd w:val="0"/>
        <w:ind w:left="480" w:hanging="480"/>
        <w:rPr>
          <w:rFonts w:asciiTheme="minorHAnsi" w:hAnsiTheme="minorHAnsi"/>
        </w:rPr>
      </w:pPr>
      <w:r>
        <w:rPr>
          <w:rFonts w:asciiTheme="minorHAnsi" w:hAnsiTheme="minorHAnsi"/>
          <w:b/>
        </w:rPr>
        <w:t>Models/Theories/Frameworks</w:t>
      </w:r>
    </w:p>
    <w:p w14:paraId="45A96FB9" w14:textId="77777777" w:rsidR="004F4034" w:rsidRDefault="004F4034" w:rsidP="004F4034">
      <w:pPr>
        <w:pStyle w:val="ListParagraph"/>
        <w:widowControl w:val="0"/>
        <w:numPr>
          <w:ilvl w:val="0"/>
          <w:numId w:val="8"/>
        </w:numPr>
        <w:autoSpaceDE w:val="0"/>
        <w:autoSpaceDN w:val="0"/>
        <w:adjustRightInd w:val="0"/>
        <w:rPr>
          <w:rFonts w:asciiTheme="minorHAnsi" w:hAnsiTheme="minorHAnsi"/>
        </w:rPr>
      </w:pPr>
      <w:r>
        <w:rPr>
          <w:rFonts w:asciiTheme="minorHAnsi" w:hAnsiTheme="minorHAnsi"/>
        </w:rPr>
        <w:t>Are policy considerations included in the model? (Y/N)</w:t>
      </w:r>
    </w:p>
    <w:p w14:paraId="102FF57C" w14:textId="77777777" w:rsidR="004F4034" w:rsidRDefault="004F4034" w:rsidP="004F4034">
      <w:pPr>
        <w:pStyle w:val="ListParagraph"/>
        <w:widowControl w:val="0"/>
        <w:numPr>
          <w:ilvl w:val="0"/>
          <w:numId w:val="8"/>
        </w:numPr>
        <w:autoSpaceDE w:val="0"/>
        <w:autoSpaceDN w:val="0"/>
        <w:adjustRightInd w:val="0"/>
        <w:rPr>
          <w:rFonts w:asciiTheme="minorHAnsi" w:hAnsiTheme="minorHAnsi"/>
        </w:rPr>
      </w:pPr>
      <w:r>
        <w:rPr>
          <w:rFonts w:asciiTheme="minorHAnsi" w:hAnsiTheme="minorHAnsi"/>
        </w:rPr>
        <w:t>What type of policy considerations? (and details)</w:t>
      </w:r>
    </w:p>
    <w:p w14:paraId="1AE95165" w14:textId="77777777" w:rsidR="004F4034" w:rsidRDefault="004F4034" w:rsidP="004F4034">
      <w:pPr>
        <w:pStyle w:val="ListParagraph"/>
        <w:widowControl w:val="0"/>
        <w:numPr>
          <w:ilvl w:val="1"/>
          <w:numId w:val="8"/>
        </w:numPr>
        <w:autoSpaceDE w:val="0"/>
        <w:autoSpaceDN w:val="0"/>
        <w:adjustRightInd w:val="0"/>
        <w:rPr>
          <w:rFonts w:asciiTheme="minorHAnsi" w:hAnsiTheme="minorHAnsi"/>
        </w:rPr>
      </w:pPr>
      <w:r>
        <w:rPr>
          <w:rFonts w:asciiTheme="minorHAnsi" w:hAnsiTheme="minorHAnsi"/>
        </w:rPr>
        <w:t>Government</w:t>
      </w:r>
    </w:p>
    <w:p w14:paraId="03E43DC7" w14:textId="77777777" w:rsidR="004F4034" w:rsidRDefault="004F4034" w:rsidP="004F4034">
      <w:pPr>
        <w:pStyle w:val="ListParagraph"/>
        <w:widowControl w:val="0"/>
        <w:numPr>
          <w:ilvl w:val="2"/>
          <w:numId w:val="8"/>
        </w:numPr>
        <w:autoSpaceDE w:val="0"/>
        <w:autoSpaceDN w:val="0"/>
        <w:adjustRightInd w:val="0"/>
        <w:rPr>
          <w:rFonts w:asciiTheme="minorHAnsi" w:hAnsiTheme="minorHAnsi"/>
        </w:rPr>
      </w:pPr>
      <w:r>
        <w:rPr>
          <w:rFonts w:asciiTheme="minorHAnsi" w:hAnsiTheme="minorHAnsi"/>
        </w:rPr>
        <w:t xml:space="preserve">Legislative (Laws, Acts, </w:t>
      </w:r>
      <w:proofErr w:type="spellStart"/>
      <w:r>
        <w:rPr>
          <w:rFonts w:asciiTheme="minorHAnsi" w:hAnsiTheme="minorHAnsi"/>
        </w:rPr>
        <w:t>etc</w:t>
      </w:r>
      <w:proofErr w:type="spellEnd"/>
      <w:r>
        <w:rPr>
          <w:rFonts w:asciiTheme="minorHAnsi" w:hAnsiTheme="minorHAnsi"/>
        </w:rPr>
        <w:t>) Example: Mental Health Act</w:t>
      </w:r>
    </w:p>
    <w:p w14:paraId="6622A39A" w14:textId="77777777" w:rsidR="004F4034" w:rsidRDefault="004F4034" w:rsidP="004F4034">
      <w:pPr>
        <w:pStyle w:val="ListParagraph"/>
        <w:widowControl w:val="0"/>
        <w:numPr>
          <w:ilvl w:val="2"/>
          <w:numId w:val="8"/>
        </w:numPr>
        <w:autoSpaceDE w:val="0"/>
        <w:autoSpaceDN w:val="0"/>
        <w:adjustRightInd w:val="0"/>
        <w:rPr>
          <w:rFonts w:asciiTheme="minorHAnsi" w:hAnsiTheme="minorHAnsi"/>
        </w:rPr>
      </w:pPr>
      <w:r>
        <w:rPr>
          <w:rFonts w:asciiTheme="minorHAnsi" w:hAnsiTheme="minorHAnsi"/>
        </w:rPr>
        <w:t xml:space="preserve">Strategies (e.g. </w:t>
      </w:r>
      <w:r w:rsidRPr="004F4034">
        <w:rPr>
          <w:rFonts w:asciiTheme="minorHAnsi" w:hAnsiTheme="minorHAnsi"/>
          <w:i/>
        </w:rPr>
        <w:t>Open Minds, Health Minds</w:t>
      </w:r>
      <w:r>
        <w:rPr>
          <w:rFonts w:asciiTheme="minorHAnsi" w:hAnsiTheme="minorHAnsi"/>
        </w:rPr>
        <w:t>)</w:t>
      </w:r>
    </w:p>
    <w:p w14:paraId="04BBBF4D" w14:textId="5F8BB747" w:rsidR="00E542C1" w:rsidRDefault="00E542C1" w:rsidP="004F4034">
      <w:pPr>
        <w:pStyle w:val="ListParagraph"/>
        <w:widowControl w:val="0"/>
        <w:numPr>
          <w:ilvl w:val="2"/>
          <w:numId w:val="8"/>
        </w:numPr>
        <w:autoSpaceDE w:val="0"/>
        <w:autoSpaceDN w:val="0"/>
        <w:adjustRightInd w:val="0"/>
        <w:rPr>
          <w:rFonts w:asciiTheme="minorHAnsi" w:hAnsiTheme="minorHAnsi"/>
        </w:rPr>
      </w:pPr>
      <w:r>
        <w:rPr>
          <w:rFonts w:asciiTheme="minorHAnsi" w:hAnsiTheme="minorHAnsi"/>
        </w:rPr>
        <w:t>Programs</w:t>
      </w:r>
    </w:p>
    <w:p w14:paraId="31A69AC1" w14:textId="0E02FE7B" w:rsidR="00E542C1" w:rsidRDefault="00E542C1" w:rsidP="004F4034">
      <w:pPr>
        <w:pStyle w:val="ListParagraph"/>
        <w:widowControl w:val="0"/>
        <w:numPr>
          <w:ilvl w:val="2"/>
          <w:numId w:val="8"/>
        </w:numPr>
        <w:autoSpaceDE w:val="0"/>
        <w:autoSpaceDN w:val="0"/>
        <w:adjustRightInd w:val="0"/>
        <w:rPr>
          <w:rFonts w:asciiTheme="minorHAnsi" w:hAnsiTheme="minorHAnsi"/>
        </w:rPr>
      </w:pPr>
      <w:r>
        <w:rPr>
          <w:rFonts w:asciiTheme="minorHAnsi" w:hAnsiTheme="minorHAnsi"/>
        </w:rPr>
        <w:t>Contracts</w:t>
      </w:r>
    </w:p>
    <w:p w14:paraId="59EB4082" w14:textId="3D9E26BE" w:rsidR="004F4034" w:rsidRDefault="004F4034" w:rsidP="004F4034">
      <w:pPr>
        <w:pStyle w:val="ListParagraph"/>
        <w:widowControl w:val="0"/>
        <w:numPr>
          <w:ilvl w:val="2"/>
          <w:numId w:val="8"/>
        </w:numPr>
        <w:autoSpaceDE w:val="0"/>
        <w:autoSpaceDN w:val="0"/>
        <w:adjustRightInd w:val="0"/>
        <w:rPr>
          <w:rFonts w:asciiTheme="minorHAnsi" w:hAnsiTheme="minorHAnsi"/>
        </w:rPr>
      </w:pPr>
      <w:r>
        <w:rPr>
          <w:rFonts w:asciiTheme="minorHAnsi" w:hAnsiTheme="minorHAnsi"/>
        </w:rPr>
        <w:t>Mandates (e.g. mandate letters, throne speech</w:t>
      </w:r>
      <w:r w:rsidR="00E542C1">
        <w:rPr>
          <w:rFonts w:asciiTheme="minorHAnsi" w:hAnsiTheme="minorHAnsi"/>
        </w:rPr>
        <w:t>, budget announcement,</w:t>
      </w:r>
      <w:r>
        <w:rPr>
          <w:rFonts w:asciiTheme="minorHAnsi" w:hAnsiTheme="minorHAnsi"/>
        </w:rPr>
        <w:t xml:space="preserve"> </w:t>
      </w:r>
      <w:proofErr w:type="spellStart"/>
      <w:r>
        <w:rPr>
          <w:rFonts w:asciiTheme="minorHAnsi" w:hAnsiTheme="minorHAnsi"/>
        </w:rPr>
        <w:t>etc</w:t>
      </w:r>
      <w:proofErr w:type="spellEnd"/>
      <w:r>
        <w:rPr>
          <w:rFonts w:asciiTheme="minorHAnsi" w:hAnsiTheme="minorHAnsi"/>
        </w:rPr>
        <w:t>)</w:t>
      </w:r>
    </w:p>
    <w:p w14:paraId="311694D8" w14:textId="77777777" w:rsidR="004F4034" w:rsidRDefault="004F4034" w:rsidP="004F4034">
      <w:pPr>
        <w:pStyle w:val="ListParagraph"/>
        <w:widowControl w:val="0"/>
        <w:numPr>
          <w:ilvl w:val="1"/>
          <w:numId w:val="8"/>
        </w:numPr>
        <w:autoSpaceDE w:val="0"/>
        <w:autoSpaceDN w:val="0"/>
        <w:adjustRightInd w:val="0"/>
        <w:rPr>
          <w:rFonts w:asciiTheme="minorHAnsi" w:hAnsiTheme="minorHAnsi"/>
        </w:rPr>
      </w:pPr>
      <w:r>
        <w:rPr>
          <w:rFonts w:asciiTheme="minorHAnsi" w:hAnsiTheme="minorHAnsi"/>
        </w:rPr>
        <w:t>Organizational</w:t>
      </w:r>
    </w:p>
    <w:p w14:paraId="4A58DF3C" w14:textId="77777777" w:rsidR="004F4034" w:rsidRDefault="004F4034" w:rsidP="004F4034">
      <w:pPr>
        <w:pStyle w:val="ListParagraph"/>
        <w:widowControl w:val="0"/>
        <w:numPr>
          <w:ilvl w:val="2"/>
          <w:numId w:val="8"/>
        </w:numPr>
        <w:autoSpaceDE w:val="0"/>
        <w:autoSpaceDN w:val="0"/>
        <w:adjustRightInd w:val="0"/>
        <w:rPr>
          <w:rFonts w:asciiTheme="minorHAnsi" w:hAnsiTheme="minorHAnsi"/>
        </w:rPr>
      </w:pPr>
      <w:r>
        <w:rPr>
          <w:rFonts w:asciiTheme="minorHAnsi" w:hAnsiTheme="minorHAnsi"/>
        </w:rPr>
        <w:t>Organizational policies and procedures</w:t>
      </w:r>
    </w:p>
    <w:p w14:paraId="4E78E68D" w14:textId="77777777" w:rsidR="004F4034" w:rsidRDefault="004F4034" w:rsidP="004F4034">
      <w:pPr>
        <w:pStyle w:val="ListParagraph"/>
        <w:widowControl w:val="0"/>
        <w:numPr>
          <w:ilvl w:val="1"/>
          <w:numId w:val="8"/>
        </w:numPr>
        <w:autoSpaceDE w:val="0"/>
        <w:autoSpaceDN w:val="0"/>
        <w:adjustRightInd w:val="0"/>
        <w:rPr>
          <w:rFonts w:asciiTheme="minorHAnsi" w:hAnsiTheme="minorHAnsi"/>
        </w:rPr>
      </w:pPr>
      <w:r>
        <w:rPr>
          <w:rFonts w:asciiTheme="minorHAnsi" w:hAnsiTheme="minorHAnsi"/>
        </w:rPr>
        <w:t>Practice</w:t>
      </w:r>
    </w:p>
    <w:p w14:paraId="0F317C54" w14:textId="77777777" w:rsidR="004F4034" w:rsidRDefault="004F4034" w:rsidP="004F4034">
      <w:pPr>
        <w:pStyle w:val="ListParagraph"/>
        <w:widowControl w:val="0"/>
        <w:numPr>
          <w:ilvl w:val="2"/>
          <w:numId w:val="8"/>
        </w:numPr>
        <w:autoSpaceDE w:val="0"/>
        <w:autoSpaceDN w:val="0"/>
        <w:adjustRightInd w:val="0"/>
        <w:rPr>
          <w:rFonts w:asciiTheme="minorHAnsi" w:hAnsiTheme="minorHAnsi"/>
        </w:rPr>
      </w:pPr>
      <w:r>
        <w:rPr>
          <w:rFonts w:asciiTheme="minorHAnsi" w:hAnsiTheme="minorHAnsi"/>
        </w:rPr>
        <w:t>Practice guidelines</w:t>
      </w:r>
    </w:p>
    <w:p w14:paraId="787B5277" w14:textId="77777777" w:rsidR="004F4034" w:rsidRDefault="004F4034" w:rsidP="004F4034">
      <w:pPr>
        <w:pStyle w:val="ListParagraph"/>
        <w:widowControl w:val="0"/>
        <w:numPr>
          <w:ilvl w:val="2"/>
          <w:numId w:val="8"/>
        </w:numPr>
        <w:autoSpaceDE w:val="0"/>
        <w:autoSpaceDN w:val="0"/>
        <w:adjustRightInd w:val="0"/>
        <w:rPr>
          <w:rFonts w:asciiTheme="minorHAnsi" w:hAnsiTheme="minorHAnsi"/>
        </w:rPr>
      </w:pPr>
      <w:r>
        <w:rPr>
          <w:rFonts w:asciiTheme="minorHAnsi" w:hAnsiTheme="minorHAnsi"/>
        </w:rPr>
        <w:t>Scope of practice</w:t>
      </w:r>
    </w:p>
    <w:p w14:paraId="36EE27C1" w14:textId="6977DED1" w:rsidR="00E542C1" w:rsidRDefault="00E542C1" w:rsidP="00E542C1">
      <w:pPr>
        <w:pStyle w:val="ListParagraph"/>
        <w:widowControl w:val="0"/>
        <w:numPr>
          <w:ilvl w:val="1"/>
          <w:numId w:val="8"/>
        </w:numPr>
        <w:autoSpaceDE w:val="0"/>
        <w:autoSpaceDN w:val="0"/>
        <w:adjustRightInd w:val="0"/>
        <w:rPr>
          <w:rFonts w:asciiTheme="minorHAnsi" w:hAnsiTheme="minorHAnsi"/>
        </w:rPr>
      </w:pPr>
      <w:r>
        <w:rPr>
          <w:rFonts w:asciiTheme="minorHAnsi" w:hAnsiTheme="minorHAnsi"/>
        </w:rPr>
        <w:t>Other</w:t>
      </w:r>
    </w:p>
    <w:p w14:paraId="2E17A906" w14:textId="77777777" w:rsidR="004F4034" w:rsidRDefault="004F4034" w:rsidP="004F4034">
      <w:pPr>
        <w:pStyle w:val="ListParagraph"/>
        <w:widowControl w:val="0"/>
        <w:numPr>
          <w:ilvl w:val="0"/>
          <w:numId w:val="8"/>
        </w:numPr>
        <w:autoSpaceDE w:val="0"/>
        <w:autoSpaceDN w:val="0"/>
        <w:adjustRightInd w:val="0"/>
        <w:rPr>
          <w:rFonts w:asciiTheme="minorHAnsi" w:hAnsiTheme="minorHAnsi"/>
        </w:rPr>
      </w:pPr>
      <w:r>
        <w:rPr>
          <w:rFonts w:asciiTheme="minorHAnsi" w:hAnsiTheme="minorHAnsi"/>
        </w:rPr>
        <w:t>How is policy incorporated into the model, theory or framework?</w:t>
      </w:r>
    </w:p>
    <w:p w14:paraId="5CBC2684" w14:textId="28B75B0D" w:rsidR="004F4034" w:rsidRDefault="004F4034" w:rsidP="004F4034">
      <w:pPr>
        <w:pStyle w:val="ListParagraph"/>
        <w:widowControl w:val="0"/>
        <w:numPr>
          <w:ilvl w:val="1"/>
          <w:numId w:val="8"/>
        </w:numPr>
        <w:autoSpaceDE w:val="0"/>
        <w:autoSpaceDN w:val="0"/>
        <w:adjustRightInd w:val="0"/>
        <w:rPr>
          <w:rFonts w:asciiTheme="minorHAnsi" w:hAnsiTheme="minorHAnsi"/>
        </w:rPr>
      </w:pPr>
      <w:r>
        <w:rPr>
          <w:rFonts w:asciiTheme="minorHAnsi" w:hAnsiTheme="minorHAnsi"/>
        </w:rPr>
        <w:t>Degree of c</w:t>
      </w:r>
      <w:r w:rsidR="00E542C1">
        <w:rPr>
          <w:rFonts w:asciiTheme="minorHAnsi" w:hAnsiTheme="minorHAnsi"/>
        </w:rPr>
        <w:t>entrality (central or peripheral/</w:t>
      </w:r>
      <w:r>
        <w:rPr>
          <w:rFonts w:asciiTheme="minorHAnsi" w:hAnsiTheme="minorHAnsi"/>
        </w:rPr>
        <w:t>contextual)</w:t>
      </w:r>
    </w:p>
    <w:p w14:paraId="391E7FE7" w14:textId="77777777" w:rsidR="007A4296" w:rsidRDefault="004F4034" w:rsidP="004F4034">
      <w:pPr>
        <w:pStyle w:val="ListParagraph"/>
        <w:widowControl w:val="0"/>
        <w:numPr>
          <w:ilvl w:val="1"/>
          <w:numId w:val="8"/>
        </w:numPr>
        <w:autoSpaceDE w:val="0"/>
        <w:autoSpaceDN w:val="0"/>
        <w:adjustRightInd w:val="0"/>
        <w:rPr>
          <w:rFonts w:asciiTheme="minorHAnsi" w:hAnsiTheme="minorHAnsi"/>
        </w:rPr>
      </w:pPr>
      <w:r>
        <w:rPr>
          <w:rFonts w:asciiTheme="minorHAnsi" w:hAnsiTheme="minorHAnsi"/>
        </w:rPr>
        <w:t>Other variables most closely connected with it</w:t>
      </w:r>
    </w:p>
    <w:p w14:paraId="621D949C" w14:textId="77777777" w:rsidR="007A4296" w:rsidRDefault="007A4296" w:rsidP="007A4296">
      <w:pPr>
        <w:widowControl w:val="0"/>
        <w:autoSpaceDE w:val="0"/>
        <w:autoSpaceDN w:val="0"/>
        <w:adjustRightInd w:val="0"/>
        <w:rPr>
          <w:rFonts w:asciiTheme="minorHAnsi" w:hAnsiTheme="minorHAnsi"/>
        </w:rPr>
      </w:pPr>
    </w:p>
    <w:p w14:paraId="23DB20C1" w14:textId="77777777" w:rsidR="007A4296" w:rsidRDefault="007A4296" w:rsidP="007A4296">
      <w:pPr>
        <w:widowControl w:val="0"/>
        <w:autoSpaceDE w:val="0"/>
        <w:autoSpaceDN w:val="0"/>
        <w:adjustRightInd w:val="0"/>
        <w:rPr>
          <w:rFonts w:asciiTheme="minorHAnsi" w:hAnsiTheme="minorHAnsi"/>
        </w:rPr>
      </w:pPr>
      <w:r w:rsidRPr="007A4296">
        <w:rPr>
          <w:rFonts w:asciiTheme="minorHAnsi" w:hAnsiTheme="minorHAnsi"/>
          <w:b/>
        </w:rPr>
        <w:t>Empirical and Grey Literature</w:t>
      </w:r>
    </w:p>
    <w:p w14:paraId="28845E29" w14:textId="77777777" w:rsidR="007A4296" w:rsidRDefault="007A4296" w:rsidP="007A4296">
      <w:pPr>
        <w:pStyle w:val="ListParagraph"/>
        <w:widowControl w:val="0"/>
        <w:numPr>
          <w:ilvl w:val="0"/>
          <w:numId w:val="9"/>
        </w:numPr>
        <w:autoSpaceDE w:val="0"/>
        <w:autoSpaceDN w:val="0"/>
        <w:adjustRightInd w:val="0"/>
        <w:rPr>
          <w:rFonts w:asciiTheme="minorHAnsi" w:hAnsiTheme="minorHAnsi"/>
        </w:rPr>
      </w:pPr>
      <w:r>
        <w:rPr>
          <w:rFonts w:asciiTheme="minorHAnsi" w:hAnsiTheme="minorHAnsi"/>
        </w:rPr>
        <w:t>Are policy considerations mentioned? (Y/N)</w:t>
      </w:r>
    </w:p>
    <w:p w14:paraId="791D20C2" w14:textId="175CDABA" w:rsidR="007A4296" w:rsidRDefault="007A4296" w:rsidP="007A4296">
      <w:pPr>
        <w:pStyle w:val="ListParagraph"/>
        <w:widowControl w:val="0"/>
        <w:numPr>
          <w:ilvl w:val="0"/>
          <w:numId w:val="9"/>
        </w:numPr>
        <w:autoSpaceDE w:val="0"/>
        <w:autoSpaceDN w:val="0"/>
        <w:adjustRightInd w:val="0"/>
        <w:rPr>
          <w:rFonts w:asciiTheme="minorHAnsi" w:hAnsiTheme="minorHAnsi"/>
        </w:rPr>
      </w:pPr>
      <w:r>
        <w:rPr>
          <w:rFonts w:asciiTheme="minorHAnsi" w:hAnsiTheme="minorHAnsi"/>
        </w:rPr>
        <w:t>What type of policy considerations? (and details</w:t>
      </w:r>
      <w:r w:rsidR="001F1E3F">
        <w:rPr>
          <w:rFonts w:asciiTheme="minorHAnsi" w:hAnsiTheme="minorHAnsi"/>
        </w:rPr>
        <w:t>, such as how and why, and what</w:t>
      </w:r>
      <w:r>
        <w:rPr>
          <w:rFonts w:asciiTheme="minorHAnsi" w:hAnsiTheme="minorHAnsi"/>
        </w:rPr>
        <w:t>)</w:t>
      </w:r>
    </w:p>
    <w:p w14:paraId="6D7EB8D2" w14:textId="77777777" w:rsidR="007A4296" w:rsidRDefault="007A4296" w:rsidP="007A4296">
      <w:pPr>
        <w:pStyle w:val="ListParagraph"/>
        <w:widowControl w:val="0"/>
        <w:numPr>
          <w:ilvl w:val="1"/>
          <w:numId w:val="9"/>
        </w:numPr>
        <w:autoSpaceDE w:val="0"/>
        <w:autoSpaceDN w:val="0"/>
        <w:adjustRightInd w:val="0"/>
        <w:rPr>
          <w:rFonts w:asciiTheme="minorHAnsi" w:hAnsiTheme="minorHAnsi"/>
        </w:rPr>
      </w:pPr>
      <w:r>
        <w:rPr>
          <w:rFonts w:asciiTheme="minorHAnsi" w:hAnsiTheme="minorHAnsi"/>
        </w:rPr>
        <w:t>Government</w:t>
      </w:r>
    </w:p>
    <w:p w14:paraId="3185445B" w14:textId="77777777" w:rsidR="007A4296" w:rsidRDefault="007A4296" w:rsidP="007A4296">
      <w:pPr>
        <w:pStyle w:val="ListParagraph"/>
        <w:widowControl w:val="0"/>
        <w:numPr>
          <w:ilvl w:val="2"/>
          <w:numId w:val="9"/>
        </w:numPr>
        <w:autoSpaceDE w:val="0"/>
        <w:autoSpaceDN w:val="0"/>
        <w:adjustRightInd w:val="0"/>
        <w:rPr>
          <w:rFonts w:asciiTheme="minorHAnsi" w:hAnsiTheme="minorHAnsi"/>
        </w:rPr>
      </w:pPr>
      <w:r>
        <w:rPr>
          <w:rFonts w:asciiTheme="minorHAnsi" w:hAnsiTheme="minorHAnsi"/>
        </w:rPr>
        <w:t xml:space="preserve">Legislative (Laws, Acts, </w:t>
      </w:r>
      <w:proofErr w:type="spellStart"/>
      <w:r>
        <w:rPr>
          <w:rFonts w:asciiTheme="minorHAnsi" w:hAnsiTheme="minorHAnsi"/>
        </w:rPr>
        <w:t>etc</w:t>
      </w:r>
      <w:proofErr w:type="spellEnd"/>
      <w:r>
        <w:rPr>
          <w:rFonts w:asciiTheme="minorHAnsi" w:hAnsiTheme="minorHAnsi"/>
        </w:rPr>
        <w:t>) Example: Mental Health Act</w:t>
      </w:r>
    </w:p>
    <w:p w14:paraId="609C1878" w14:textId="77777777" w:rsidR="007A4296" w:rsidRDefault="007A4296" w:rsidP="007A4296">
      <w:pPr>
        <w:pStyle w:val="ListParagraph"/>
        <w:widowControl w:val="0"/>
        <w:numPr>
          <w:ilvl w:val="2"/>
          <w:numId w:val="9"/>
        </w:numPr>
        <w:autoSpaceDE w:val="0"/>
        <w:autoSpaceDN w:val="0"/>
        <w:adjustRightInd w:val="0"/>
        <w:rPr>
          <w:rFonts w:asciiTheme="minorHAnsi" w:hAnsiTheme="minorHAnsi"/>
        </w:rPr>
      </w:pPr>
      <w:r>
        <w:rPr>
          <w:rFonts w:asciiTheme="minorHAnsi" w:hAnsiTheme="minorHAnsi"/>
        </w:rPr>
        <w:t xml:space="preserve">Strategies (e.g. </w:t>
      </w:r>
      <w:r w:rsidRPr="004F4034">
        <w:rPr>
          <w:rFonts w:asciiTheme="minorHAnsi" w:hAnsiTheme="minorHAnsi"/>
          <w:i/>
        </w:rPr>
        <w:t>Open Minds, Health Minds</w:t>
      </w:r>
      <w:r>
        <w:rPr>
          <w:rFonts w:asciiTheme="minorHAnsi" w:hAnsiTheme="minorHAnsi"/>
        </w:rPr>
        <w:t>)</w:t>
      </w:r>
    </w:p>
    <w:p w14:paraId="4C0BA18A" w14:textId="5D0C17BC" w:rsidR="00E542C1" w:rsidRDefault="00E542C1" w:rsidP="007A4296">
      <w:pPr>
        <w:pStyle w:val="ListParagraph"/>
        <w:widowControl w:val="0"/>
        <w:numPr>
          <w:ilvl w:val="2"/>
          <w:numId w:val="9"/>
        </w:numPr>
        <w:autoSpaceDE w:val="0"/>
        <w:autoSpaceDN w:val="0"/>
        <w:adjustRightInd w:val="0"/>
        <w:rPr>
          <w:rFonts w:asciiTheme="minorHAnsi" w:hAnsiTheme="minorHAnsi"/>
        </w:rPr>
      </w:pPr>
      <w:r>
        <w:rPr>
          <w:rFonts w:asciiTheme="minorHAnsi" w:hAnsiTheme="minorHAnsi"/>
        </w:rPr>
        <w:t>Programs</w:t>
      </w:r>
    </w:p>
    <w:p w14:paraId="75411694" w14:textId="33F77DC2" w:rsidR="00E542C1" w:rsidRDefault="00E542C1" w:rsidP="007A4296">
      <w:pPr>
        <w:pStyle w:val="ListParagraph"/>
        <w:widowControl w:val="0"/>
        <w:numPr>
          <w:ilvl w:val="2"/>
          <w:numId w:val="9"/>
        </w:numPr>
        <w:autoSpaceDE w:val="0"/>
        <w:autoSpaceDN w:val="0"/>
        <w:adjustRightInd w:val="0"/>
        <w:rPr>
          <w:rFonts w:asciiTheme="minorHAnsi" w:hAnsiTheme="minorHAnsi"/>
        </w:rPr>
      </w:pPr>
      <w:r>
        <w:rPr>
          <w:rFonts w:asciiTheme="minorHAnsi" w:hAnsiTheme="minorHAnsi"/>
        </w:rPr>
        <w:t>Contracts</w:t>
      </w:r>
    </w:p>
    <w:p w14:paraId="5F63A363" w14:textId="38A05BFC" w:rsidR="007A4296" w:rsidRDefault="007A4296" w:rsidP="007A4296">
      <w:pPr>
        <w:pStyle w:val="ListParagraph"/>
        <w:widowControl w:val="0"/>
        <w:numPr>
          <w:ilvl w:val="2"/>
          <w:numId w:val="9"/>
        </w:numPr>
        <w:autoSpaceDE w:val="0"/>
        <w:autoSpaceDN w:val="0"/>
        <w:adjustRightInd w:val="0"/>
        <w:rPr>
          <w:rFonts w:asciiTheme="minorHAnsi" w:hAnsiTheme="minorHAnsi"/>
        </w:rPr>
      </w:pPr>
      <w:r>
        <w:rPr>
          <w:rFonts w:asciiTheme="minorHAnsi" w:hAnsiTheme="minorHAnsi"/>
        </w:rPr>
        <w:t>Mandates (e.g. mandate letters, throne speech</w:t>
      </w:r>
      <w:r w:rsidR="00E542C1">
        <w:rPr>
          <w:rFonts w:asciiTheme="minorHAnsi" w:hAnsiTheme="minorHAnsi"/>
        </w:rPr>
        <w:t>, budget announcement,</w:t>
      </w:r>
      <w:r>
        <w:rPr>
          <w:rFonts w:asciiTheme="minorHAnsi" w:hAnsiTheme="minorHAnsi"/>
        </w:rPr>
        <w:t xml:space="preserve"> </w:t>
      </w:r>
      <w:proofErr w:type="spellStart"/>
      <w:r>
        <w:rPr>
          <w:rFonts w:asciiTheme="minorHAnsi" w:hAnsiTheme="minorHAnsi"/>
        </w:rPr>
        <w:t>etc</w:t>
      </w:r>
      <w:proofErr w:type="spellEnd"/>
      <w:r>
        <w:rPr>
          <w:rFonts w:asciiTheme="minorHAnsi" w:hAnsiTheme="minorHAnsi"/>
        </w:rPr>
        <w:t>)</w:t>
      </w:r>
    </w:p>
    <w:p w14:paraId="0C7FE71B" w14:textId="77777777" w:rsidR="007A4296" w:rsidRDefault="007A4296" w:rsidP="007A4296">
      <w:pPr>
        <w:pStyle w:val="ListParagraph"/>
        <w:widowControl w:val="0"/>
        <w:numPr>
          <w:ilvl w:val="1"/>
          <w:numId w:val="9"/>
        </w:numPr>
        <w:autoSpaceDE w:val="0"/>
        <w:autoSpaceDN w:val="0"/>
        <w:adjustRightInd w:val="0"/>
        <w:rPr>
          <w:rFonts w:asciiTheme="minorHAnsi" w:hAnsiTheme="minorHAnsi"/>
        </w:rPr>
      </w:pPr>
      <w:r>
        <w:rPr>
          <w:rFonts w:asciiTheme="minorHAnsi" w:hAnsiTheme="minorHAnsi"/>
        </w:rPr>
        <w:t>Organizational</w:t>
      </w:r>
    </w:p>
    <w:p w14:paraId="21D1BDFE" w14:textId="77777777" w:rsidR="007A4296" w:rsidRDefault="007A4296" w:rsidP="007A4296">
      <w:pPr>
        <w:pStyle w:val="ListParagraph"/>
        <w:widowControl w:val="0"/>
        <w:numPr>
          <w:ilvl w:val="2"/>
          <w:numId w:val="9"/>
        </w:numPr>
        <w:autoSpaceDE w:val="0"/>
        <w:autoSpaceDN w:val="0"/>
        <w:adjustRightInd w:val="0"/>
        <w:rPr>
          <w:rFonts w:asciiTheme="minorHAnsi" w:hAnsiTheme="minorHAnsi"/>
        </w:rPr>
      </w:pPr>
      <w:r>
        <w:rPr>
          <w:rFonts w:asciiTheme="minorHAnsi" w:hAnsiTheme="minorHAnsi"/>
        </w:rPr>
        <w:t>Organizational policies and procedures</w:t>
      </w:r>
    </w:p>
    <w:p w14:paraId="0672822F" w14:textId="77777777" w:rsidR="007A4296" w:rsidRDefault="007A4296" w:rsidP="007A4296">
      <w:pPr>
        <w:pStyle w:val="ListParagraph"/>
        <w:widowControl w:val="0"/>
        <w:numPr>
          <w:ilvl w:val="1"/>
          <w:numId w:val="9"/>
        </w:numPr>
        <w:autoSpaceDE w:val="0"/>
        <w:autoSpaceDN w:val="0"/>
        <w:adjustRightInd w:val="0"/>
        <w:rPr>
          <w:rFonts w:asciiTheme="minorHAnsi" w:hAnsiTheme="minorHAnsi"/>
        </w:rPr>
      </w:pPr>
      <w:r>
        <w:rPr>
          <w:rFonts w:asciiTheme="minorHAnsi" w:hAnsiTheme="minorHAnsi"/>
        </w:rPr>
        <w:t>Practice</w:t>
      </w:r>
    </w:p>
    <w:p w14:paraId="71F8EE6F" w14:textId="77777777" w:rsidR="007A4296" w:rsidRDefault="007A4296" w:rsidP="007A4296">
      <w:pPr>
        <w:pStyle w:val="ListParagraph"/>
        <w:widowControl w:val="0"/>
        <w:numPr>
          <w:ilvl w:val="2"/>
          <w:numId w:val="9"/>
        </w:numPr>
        <w:autoSpaceDE w:val="0"/>
        <w:autoSpaceDN w:val="0"/>
        <w:adjustRightInd w:val="0"/>
        <w:rPr>
          <w:rFonts w:asciiTheme="minorHAnsi" w:hAnsiTheme="minorHAnsi"/>
        </w:rPr>
      </w:pPr>
      <w:r>
        <w:rPr>
          <w:rFonts w:asciiTheme="minorHAnsi" w:hAnsiTheme="minorHAnsi"/>
        </w:rPr>
        <w:t>Practice guidelines</w:t>
      </w:r>
    </w:p>
    <w:p w14:paraId="75DFFC5A" w14:textId="77777777" w:rsidR="007A4296" w:rsidRDefault="007A4296" w:rsidP="0072001C">
      <w:pPr>
        <w:pStyle w:val="ListParagraph"/>
        <w:widowControl w:val="0"/>
        <w:numPr>
          <w:ilvl w:val="2"/>
          <w:numId w:val="9"/>
        </w:numPr>
        <w:autoSpaceDE w:val="0"/>
        <w:autoSpaceDN w:val="0"/>
        <w:adjustRightInd w:val="0"/>
        <w:rPr>
          <w:rFonts w:asciiTheme="minorHAnsi" w:hAnsiTheme="minorHAnsi"/>
        </w:rPr>
      </w:pPr>
      <w:r>
        <w:rPr>
          <w:rFonts w:asciiTheme="minorHAnsi" w:hAnsiTheme="minorHAnsi"/>
        </w:rPr>
        <w:t>Scope of practice</w:t>
      </w:r>
    </w:p>
    <w:p w14:paraId="36ABF19C" w14:textId="7D60C6E8" w:rsidR="00E542C1" w:rsidRDefault="00E542C1" w:rsidP="00E542C1">
      <w:pPr>
        <w:pStyle w:val="ListParagraph"/>
        <w:widowControl w:val="0"/>
        <w:numPr>
          <w:ilvl w:val="1"/>
          <w:numId w:val="9"/>
        </w:numPr>
        <w:autoSpaceDE w:val="0"/>
        <w:autoSpaceDN w:val="0"/>
        <w:adjustRightInd w:val="0"/>
        <w:rPr>
          <w:rFonts w:asciiTheme="minorHAnsi" w:hAnsiTheme="minorHAnsi"/>
        </w:rPr>
      </w:pPr>
      <w:r>
        <w:rPr>
          <w:rFonts w:asciiTheme="minorHAnsi" w:hAnsiTheme="minorHAnsi"/>
        </w:rPr>
        <w:t>Other</w:t>
      </w:r>
    </w:p>
    <w:p w14:paraId="2CE0F56B" w14:textId="77777777" w:rsidR="0072001C" w:rsidRDefault="0072001C" w:rsidP="0072001C">
      <w:pPr>
        <w:pStyle w:val="ListParagraph"/>
        <w:widowControl w:val="0"/>
        <w:numPr>
          <w:ilvl w:val="0"/>
          <w:numId w:val="9"/>
        </w:numPr>
        <w:autoSpaceDE w:val="0"/>
        <w:autoSpaceDN w:val="0"/>
        <w:adjustRightInd w:val="0"/>
        <w:rPr>
          <w:rFonts w:asciiTheme="minorHAnsi" w:hAnsiTheme="minorHAnsi"/>
        </w:rPr>
      </w:pPr>
      <w:r>
        <w:rPr>
          <w:rFonts w:asciiTheme="minorHAnsi" w:hAnsiTheme="minorHAnsi"/>
        </w:rPr>
        <w:t>How is policy/government incorporated into implementation process?</w:t>
      </w:r>
    </w:p>
    <w:p w14:paraId="4D33D2ED" w14:textId="77777777" w:rsidR="0072001C" w:rsidRDefault="0072001C" w:rsidP="0072001C">
      <w:pPr>
        <w:pStyle w:val="ListParagraph"/>
        <w:widowControl w:val="0"/>
        <w:numPr>
          <w:ilvl w:val="1"/>
          <w:numId w:val="9"/>
        </w:numPr>
        <w:autoSpaceDE w:val="0"/>
        <w:autoSpaceDN w:val="0"/>
        <w:adjustRightInd w:val="0"/>
        <w:rPr>
          <w:rFonts w:asciiTheme="minorHAnsi" w:hAnsiTheme="minorHAnsi"/>
        </w:rPr>
      </w:pPr>
      <w:r>
        <w:rPr>
          <w:rFonts w:asciiTheme="minorHAnsi" w:hAnsiTheme="minorHAnsi"/>
        </w:rPr>
        <w:t>Leading process</w:t>
      </w:r>
    </w:p>
    <w:p w14:paraId="582FABC2" w14:textId="77777777" w:rsidR="0072001C" w:rsidRDefault="0072001C" w:rsidP="0072001C">
      <w:pPr>
        <w:pStyle w:val="ListParagraph"/>
        <w:widowControl w:val="0"/>
        <w:numPr>
          <w:ilvl w:val="1"/>
          <w:numId w:val="9"/>
        </w:numPr>
        <w:autoSpaceDE w:val="0"/>
        <w:autoSpaceDN w:val="0"/>
        <w:adjustRightInd w:val="0"/>
        <w:rPr>
          <w:rFonts w:asciiTheme="minorHAnsi" w:hAnsiTheme="minorHAnsi"/>
        </w:rPr>
      </w:pPr>
      <w:r>
        <w:rPr>
          <w:rFonts w:asciiTheme="minorHAnsi" w:hAnsiTheme="minorHAnsi"/>
        </w:rPr>
        <w:t>Actively engaged in process</w:t>
      </w:r>
    </w:p>
    <w:p w14:paraId="37DD0D44" w14:textId="77777777" w:rsidR="0072001C" w:rsidRDefault="0072001C" w:rsidP="0072001C">
      <w:pPr>
        <w:pStyle w:val="ListParagraph"/>
        <w:widowControl w:val="0"/>
        <w:numPr>
          <w:ilvl w:val="1"/>
          <w:numId w:val="9"/>
        </w:numPr>
        <w:autoSpaceDE w:val="0"/>
        <w:autoSpaceDN w:val="0"/>
        <w:adjustRightInd w:val="0"/>
        <w:rPr>
          <w:rFonts w:asciiTheme="minorHAnsi" w:hAnsiTheme="minorHAnsi"/>
        </w:rPr>
      </w:pPr>
      <w:r>
        <w:rPr>
          <w:rFonts w:asciiTheme="minorHAnsi" w:hAnsiTheme="minorHAnsi"/>
        </w:rPr>
        <w:t>Mentioned as context</w:t>
      </w:r>
    </w:p>
    <w:p w14:paraId="3652B0BC" w14:textId="77777777" w:rsidR="0072001C" w:rsidRDefault="0072001C" w:rsidP="0072001C">
      <w:pPr>
        <w:pStyle w:val="ListParagraph"/>
        <w:widowControl w:val="0"/>
        <w:numPr>
          <w:ilvl w:val="0"/>
          <w:numId w:val="9"/>
        </w:numPr>
        <w:autoSpaceDE w:val="0"/>
        <w:autoSpaceDN w:val="0"/>
        <w:adjustRightInd w:val="0"/>
        <w:rPr>
          <w:rFonts w:asciiTheme="minorHAnsi" w:hAnsiTheme="minorHAnsi"/>
        </w:rPr>
      </w:pPr>
      <w:r>
        <w:rPr>
          <w:rFonts w:asciiTheme="minorHAnsi" w:hAnsiTheme="minorHAnsi"/>
        </w:rPr>
        <w:t>Is policy/government mentioned in relation to outcome of implementation process?</w:t>
      </w:r>
    </w:p>
    <w:p w14:paraId="1D52FDA2" w14:textId="77777777" w:rsidR="0072001C" w:rsidRDefault="0072001C" w:rsidP="0072001C">
      <w:pPr>
        <w:pStyle w:val="ListParagraph"/>
        <w:widowControl w:val="0"/>
        <w:numPr>
          <w:ilvl w:val="1"/>
          <w:numId w:val="9"/>
        </w:numPr>
        <w:autoSpaceDE w:val="0"/>
        <w:autoSpaceDN w:val="0"/>
        <w:adjustRightInd w:val="0"/>
        <w:rPr>
          <w:rFonts w:asciiTheme="minorHAnsi" w:hAnsiTheme="minorHAnsi"/>
        </w:rPr>
      </w:pPr>
      <w:r>
        <w:rPr>
          <w:rFonts w:asciiTheme="minorHAnsi" w:hAnsiTheme="minorHAnsi"/>
        </w:rPr>
        <w:t>Y/N</w:t>
      </w:r>
    </w:p>
    <w:p w14:paraId="17E858F6" w14:textId="314CB6E2" w:rsidR="00F80F9E" w:rsidRDefault="0072001C" w:rsidP="008C4D6A">
      <w:pPr>
        <w:pStyle w:val="ListParagraph"/>
        <w:widowControl w:val="0"/>
        <w:numPr>
          <w:ilvl w:val="1"/>
          <w:numId w:val="9"/>
        </w:numPr>
        <w:autoSpaceDE w:val="0"/>
        <w:autoSpaceDN w:val="0"/>
        <w:adjustRightInd w:val="0"/>
        <w:rPr>
          <w:rFonts w:asciiTheme="minorHAnsi" w:hAnsiTheme="minorHAnsi"/>
        </w:rPr>
      </w:pPr>
      <w:r>
        <w:rPr>
          <w:rFonts w:asciiTheme="minorHAnsi" w:hAnsiTheme="minorHAnsi"/>
        </w:rPr>
        <w:t>Ho</w:t>
      </w:r>
      <w:r w:rsidR="00F80F9E">
        <w:rPr>
          <w:rFonts w:asciiTheme="minorHAnsi" w:hAnsiTheme="minorHAnsi"/>
        </w:rPr>
        <w:t>w? Facilitator, Barrier or Other</w:t>
      </w:r>
    </w:p>
    <w:p w14:paraId="1D3264AB" w14:textId="77777777" w:rsidR="00F80F9E" w:rsidRDefault="00F80F9E" w:rsidP="008C4D6A">
      <w:pPr>
        <w:pStyle w:val="ListParagraph"/>
        <w:widowControl w:val="0"/>
        <w:numPr>
          <w:ilvl w:val="1"/>
          <w:numId w:val="9"/>
        </w:numPr>
        <w:autoSpaceDE w:val="0"/>
        <w:autoSpaceDN w:val="0"/>
        <w:adjustRightInd w:val="0"/>
        <w:rPr>
          <w:rFonts w:asciiTheme="minorHAnsi" w:hAnsiTheme="minorHAnsi"/>
        </w:rPr>
        <w:sectPr w:rsidR="00F80F9E" w:rsidSect="00052762">
          <w:pgSz w:w="12240" w:h="15840"/>
          <w:pgMar w:top="1440" w:right="1440" w:bottom="1440" w:left="1440" w:header="709" w:footer="709" w:gutter="0"/>
          <w:cols w:space="708"/>
          <w:docGrid w:linePitch="360"/>
        </w:sectPr>
      </w:pPr>
    </w:p>
    <w:p w14:paraId="23284318" w14:textId="0B037AB4" w:rsidR="0072001C" w:rsidRDefault="00F80F9E" w:rsidP="00F80F9E">
      <w:pPr>
        <w:widowControl w:val="0"/>
        <w:autoSpaceDE w:val="0"/>
        <w:autoSpaceDN w:val="0"/>
        <w:adjustRightInd w:val="0"/>
        <w:rPr>
          <w:rFonts w:asciiTheme="majorHAnsi" w:hAnsiTheme="majorHAnsi"/>
        </w:rPr>
      </w:pPr>
      <w:r>
        <w:rPr>
          <w:rFonts w:asciiTheme="majorHAnsi" w:hAnsiTheme="majorHAnsi"/>
        </w:rPr>
        <w:lastRenderedPageBreak/>
        <w:t>Data Extraction Forms</w:t>
      </w:r>
    </w:p>
    <w:p w14:paraId="6710CFDF" w14:textId="77777777" w:rsidR="00F80F9E" w:rsidRDefault="00F80F9E" w:rsidP="00F80F9E">
      <w:pPr>
        <w:widowControl w:val="0"/>
        <w:autoSpaceDE w:val="0"/>
        <w:autoSpaceDN w:val="0"/>
        <w:adjustRightInd w:val="0"/>
        <w:rPr>
          <w:rFonts w:asciiTheme="majorHAnsi" w:hAnsiTheme="majorHAnsi"/>
        </w:rPr>
      </w:pPr>
    </w:p>
    <w:p w14:paraId="1F86F2F4" w14:textId="4C32CD81" w:rsidR="00F80F9E" w:rsidRDefault="00F80F9E" w:rsidP="00F80F9E">
      <w:pPr>
        <w:widowControl w:val="0"/>
        <w:autoSpaceDE w:val="0"/>
        <w:autoSpaceDN w:val="0"/>
        <w:adjustRightInd w:val="0"/>
        <w:rPr>
          <w:rFonts w:asciiTheme="majorHAnsi" w:hAnsiTheme="majorHAnsi"/>
        </w:rPr>
      </w:pPr>
      <w:r>
        <w:rPr>
          <w:rFonts w:asciiTheme="majorHAnsi" w:hAnsiTheme="majorHAnsi"/>
        </w:rPr>
        <w:t xml:space="preserve">I – Conceptual </w:t>
      </w:r>
      <w:r w:rsidR="00EE7172">
        <w:rPr>
          <w:rFonts w:asciiTheme="majorHAnsi" w:hAnsiTheme="majorHAnsi"/>
        </w:rPr>
        <w:t xml:space="preserve">documents </w:t>
      </w:r>
      <w:r>
        <w:rPr>
          <w:rFonts w:asciiTheme="majorHAnsi" w:hAnsiTheme="majorHAnsi"/>
        </w:rPr>
        <w:t>(Models/Theories/Frameworks)</w:t>
      </w:r>
      <w:r w:rsidR="00EE7172">
        <w:rPr>
          <w:rFonts w:asciiTheme="majorHAnsi" w:hAnsiTheme="majorHAnsi"/>
        </w:rPr>
        <w:t xml:space="preserve"> </w:t>
      </w:r>
    </w:p>
    <w:p w14:paraId="51E16267" w14:textId="77777777" w:rsidR="00F80F9E" w:rsidRDefault="00F80F9E" w:rsidP="00F80F9E">
      <w:pPr>
        <w:widowControl w:val="0"/>
        <w:autoSpaceDE w:val="0"/>
        <w:autoSpaceDN w:val="0"/>
        <w:adjustRightInd w:val="0"/>
        <w:rPr>
          <w:rFonts w:asciiTheme="majorHAnsi" w:hAnsiTheme="majorHAnsi"/>
        </w:rPr>
      </w:pPr>
    </w:p>
    <w:tbl>
      <w:tblPr>
        <w:tblStyle w:val="TableGrid"/>
        <w:tblW w:w="0" w:type="auto"/>
        <w:tblLook w:val="04A0" w:firstRow="1" w:lastRow="0" w:firstColumn="1" w:lastColumn="0" w:noHBand="0" w:noVBand="1"/>
      </w:tblPr>
      <w:tblGrid>
        <w:gridCol w:w="931"/>
        <w:gridCol w:w="872"/>
        <w:gridCol w:w="1042"/>
        <w:gridCol w:w="1946"/>
        <w:gridCol w:w="2798"/>
        <w:gridCol w:w="2750"/>
        <w:gridCol w:w="2385"/>
      </w:tblGrid>
      <w:tr w:rsidR="00EE7172" w:rsidRPr="00CF271C" w14:paraId="4B83071B" w14:textId="1B2145EF" w:rsidTr="00EE7172">
        <w:tc>
          <w:tcPr>
            <w:tcW w:w="931" w:type="dxa"/>
          </w:tcPr>
          <w:p w14:paraId="1C9C6D0B" w14:textId="4F0BE458" w:rsidR="00EE7172" w:rsidRPr="00CF271C" w:rsidRDefault="00EE7172" w:rsidP="00F80F9E">
            <w:pPr>
              <w:widowControl w:val="0"/>
              <w:autoSpaceDE w:val="0"/>
              <w:autoSpaceDN w:val="0"/>
              <w:adjustRightInd w:val="0"/>
              <w:rPr>
                <w:rFonts w:asciiTheme="majorHAnsi" w:hAnsiTheme="majorHAnsi"/>
                <w:sz w:val="22"/>
                <w:szCs w:val="22"/>
              </w:rPr>
            </w:pPr>
            <w:r w:rsidRPr="00CF271C">
              <w:rPr>
                <w:rFonts w:asciiTheme="majorHAnsi" w:hAnsiTheme="majorHAnsi"/>
                <w:sz w:val="22"/>
                <w:szCs w:val="22"/>
              </w:rPr>
              <w:t>Author</w:t>
            </w:r>
          </w:p>
        </w:tc>
        <w:tc>
          <w:tcPr>
            <w:tcW w:w="872" w:type="dxa"/>
          </w:tcPr>
          <w:p w14:paraId="380FFD6A" w14:textId="5B5B0CEE" w:rsidR="00EE7172" w:rsidRPr="00CF271C" w:rsidRDefault="00EE7172" w:rsidP="00F80F9E">
            <w:pPr>
              <w:widowControl w:val="0"/>
              <w:autoSpaceDE w:val="0"/>
              <w:autoSpaceDN w:val="0"/>
              <w:adjustRightInd w:val="0"/>
              <w:rPr>
                <w:rFonts w:asciiTheme="majorHAnsi" w:hAnsiTheme="majorHAnsi"/>
                <w:sz w:val="22"/>
                <w:szCs w:val="22"/>
              </w:rPr>
            </w:pPr>
            <w:r w:rsidRPr="00CF271C">
              <w:rPr>
                <w:rFonts w:asciiTheme="majorHAnsi" w:hAnsiTheme="majorHAnsi"/>
                <w:sz w:val="22"/>
                <w:szCs w:val="22"/>
              </w:rPr>
              <w:t>Year</w:t>
            </w:r>
          </w:p>
        </w:tc>
        <w:tc>
          <w:tcPr>
            <w:tcW w:w="1042" w:type="dxa"/>
          </w:tcPr>
          <w:p w14:paraId="77801210" w14:textId="3CFA3A5F" w:rsidR="00EE7172" w:rsidRPr="00CF271C" w:rsidRDefault="00EE7172" w:rsidP="00F80F9E">
            <w:pPr>
              <w:widowControl w:val="0"/>
              <w:autoSpaceDE w:val="0"/>
              <w:autoSpaceDN w:val="0"/>
              <w:adjustRightInd w:val="0"/>
              <w:rPr>
                <w:rFonts w:asciiTheme="majorHAnsi" w:hAnsiTheme="majorHAnsi"/>
                <w:sz w:val="22"/>
                <w:szCs w:val="22"/>
              </w:rPr>
            </w:pPr>
            <w:r>
              <w:rPr>
                <w:rFonts w:asciiTheme="majorHAnsi" w:hAnsiTheme="majorHAnsi"/>
                <w:sz w:val="22"/>
                <w:szCs w:val="22"/>
              </w:rPr>
              <w:t>Location</w:t>
            </w:r>
          </w:p>
        </w:tc>
        <w:tc>
          <w:tcPr>
            <w:tcW w:w="1946" w:type="dxa"/>
          </w:tcPr>
          <w:p w14:paraId="49BC437B" w14:textId="49F92EAA" w:rsidR="00EE7172" w:rsidRDefault="00EE7172" w:rsidP="00F80F9E">
            <w:pPr>
              <w:widowControl w:val="0"/>
              <w:autoSpaceDE w:val="0"/>
              <w:autoSpaceDN w:val="0"/>
              <w:adjustRightInd w:val="0"/>
              <w:rPr>
                <w:rFonts w:asciiTheme="majorHAnsi" w:hAnsiTheme="majorHAnsi"/>
                <w:sz w:val="22"/>
                <w:szCs w:val="22"/>
              </w:rPr>
            </w:pPr>
            <w:r w:rsidRPr="00CF271C">
              <w:rPr>
                <w:rFonts w:asciiTheme="majorHAnsi" w:hAnsiTheme="majorHAnsi"/>
                <w:sz w:val="22"/>
                <w:szCs w:val="22"/>
              </w:rPr>
              <w:t>Name of Model/</w:t>
            </w:r>
          </w:p>
          <w:p w14:paraId="302520B1" w14:textId="56759E06" w:rsidR="00EE7172" w:rsidRPr="00CF271C" w:rsidRDefault="00EE7172" w:rsidP="00F80F9E">
            <w:pPr>
              <w:widowControl w:val="0"/>
              <w:autoSpaceDE w:val="0"/>
              <w:autoSpaceDN w:val="0"/>
              <w:adjustRightInd w:val="0"/>
              <w:rPr>
                <w:rFonts w:asciiTheme="majorHAnsi" w:hAnsiTheme="majorHAnsi"/>
                <w:sz w:val="22"/>
                <w:szCs w:val="22"/>
              </w:rPr>
            </w:pPr>
            <w:r w:rsidRPr="00CF271C">
              <w:rPr>
                <w:rFonts w:asciiTheme="majorHAnsi" w:hAnsiTheme="majorHAnsi"/>
                <w:sz w:val="22"/>
                <w:szCs w:val="22"/>
              </w:rPr>
              <w:t>Theory/Framework</w:t>
            </w:r>
          </w:p>
        </w:tc>
        <w:tc>
          <w:tcPr>
            <w:tcW w:w="2798" w:type="dxa"/>
          </w:tcPr>
          <w:p w14:paraId="2678CCB4" w14:textId="554AC2EF" w:rsidR="00EE7172" w:rsidRPr="00CF271C" w:rsidRDefault="00EE7172" w:rsidP="00F80F9E">
            <w:pPr>
              <w:widowControl w:val="0"/>
              <w:autoSpaceDE w:val="0"/>
              <w:autoSpaceDN w:val="0"/>
              <w:adjustRightInd w:val="0"/>
              <w:rPr>
                <w:rFonts w:asciiTheme="majorHAnsi" w:hAnsiTheme="majorHAnsi"/>
                <w:sz w:val="22"/>
                <w:szCs w:val="22"/>
              </w:rPr>
            </w:pPr>
            <w:r w:rsidRPr="00CF271C">
              <w:rPr>
                <w:rFonts w:asciiTheme="majorHAnsi" w:hAnsiTheme="majorHAnsi"/>
                <w:sz w:val="22"/>
                <w:szCs w:val="22"/>
              </w:rPr>
              <w:t>Type of Model/Theory/Framework</w:t>
            </w:r>
            <w:r w:rsidRPr="00CF271C">
              <w:rPr>
                <w:rFonts w:asciiTheme="majorHAnsi" w:hAnsiTheme="majorHAnsi"/>
                <w:sz w:val="22"/>
                <w:szCs w:val="22"/>
                <w:vertAlign w:val="superscript"/>
              </w:rPr>
              <w:t>1</w:t>
            </w:r>
            <w:r w:rsidRPr="00CF271C">
              <w:rPr>
                <w:rFonts w:asciiTheme="majorHAnsi" w:hAnsiTheme="majorHAnsi"/>
                <w:sz w:val="22"/>
                <w:szCs w:val="22"/>
              </w:rPr>
              <w:t>:</w:t>
            </w:r>
          </w:p>
          <w:p w14:paraId="0351CC51" w14:textId="77777777" w:rsidR="00EE7172" w:rsidRPr="00CF271C" w:rsidRDefault="00EE7172" w:rsidP="001030B7">
            <w:pPr>
              <w:pStyle w:val="ListParagraph"/>
              <w:widowControl w:val="0"/>
              <w:numPr>
                <w:ilvl w:val="0"/>
                <w:numId w:val="12"/>
              </w:numPr>
              <w:autoSpaceDE w:val="0"/>
              <w:autoSpaceDN w:val="0"/>
              <w:adjustRightInd w:val="0"/>
              <w:rPr>
                <w:rFonts w:asciiTheme="majorHAnsi" w:hAnsiTheme="majorHAnsi"/>
                <w:sz w:val="22"/>
                <w:szCs w:val="22"/>
              </w:rPr>
            </w:pPr>
            <w:r w:rsidRPr="00CF271C">
              <w:rPr>
                <w:rFonts w:asciiTheme="majorHAnsi" w:hAnsiTheme="majorHAnsi"/>
                <w:sz w:val="22"/>
                <w:szCs w:val="22"/>
              </w:rPr>
              <w:t>Classic theory</w:t>
            </w:r>
          </w:p>
          <w:p w14:paraId="51A67E7C" w14:textId="08B2A6D7" w:rsidR="00EE7172" w:rsidRPr="00CF271C" w:rsidRDefault="00EE7172" w:rsidP="001030B7">
            <w:pPr>
              <w:pStyle w:val="ListParagraph"/>
              <w:widowControl w:val="0"/>
              <w:numPr>
                <w:ilvl w:val="0"/>
                <w:numId w:val="12"/>
              </w:numPr>
              <w:autoSpaceDE w:val="0"/>
              <w:autoSpaceDN w:val="0"/>
              <w:adjustRightInd w:val="0"/>
              <w:rPr>
                <w:rFonts w:asciiTheme="majorHAnsi" w:hAnsiTheme="majorHAnsi"/>
                <w:sz w:val="22"/>
                <w:szCs w:val="22"/>
              </w:rPr>
            </w:pPr>
            <w:r w:rsidRPr="00CF271C">
              <w:rPr>
                <w:rFonts w:asciiTheme="majorHAnsi" w:hAnsiTheme="majorHAnsi"/>
                <w:sz w:val="22"/>
                <w:szCs w:val="22"/>
              </w:rPr>
              <w:t>Implementation theory</w:t>
            </w:r>
          </w:p>
          <w:p w14:paraId="48B732B0" w14:textId="4967DE65" w:rsidR="00EE7172" w:rsidRPr="00CF271C" w:rsidRDefault="00EE7172" w:rsidP="001030B7">
            <w:pPr>
              <w:pStyle w:val="ListParagraph"/>
              <w:widowControl w:val="0"/>
              <w:numPr>
                <w:ilvl w:val="0"/>
                <w:numId w:val="12"/>
              </w:numPr>
              <w:autoSpaceDE w:val="0"/>
              <w:autoSpaceDN w:val="0"/>
              <w:adjustRightInd w:val="0"/>
              <w:rPr>
                <w:rFonts w:asciiTheme="majorHAnsi" w:hAnsiTheme="majorHAnsi"/>
                <w:sz w:val="22"/>
                <w:szCs w:val="22"/>
              </w:rPr>
            </w:pPr>
            <w:r w:rsidRPr="00CF271C">
              <w:rPr>
                <w:rFonts w:asciiTheme="majorHAnsi" w:hAnsiTheme="majorHAnsi"/>
                <w:sz w:val="22"/>
                <w:szCs w:val="22"/>
              </w:rPr>
              <w:t>Process model</w:t>
            </w:r>
          </w:p>
          <w:p w14:paraId="30CBA48E" w14:textId="6CEF6EB1" w:rsidR="00EE7172" w:rsidRPr="00CF271C" w:rsidRDefault="00EE7172" w:rsidP="001030B7">
            <w:pPr>
              <w:pStyle w:val="ListParagraph"/>
              <w:widowControl w:val="0"/>
              <w:numPr>
                <w:ilvl w:val="0"/>
                <w:numId w:val="12"/>
              </w:numPr>
              <w:autoSpaceDE w:val="0"/>
              <w:autoSpaceDN w:val="0"/>
              <w:adjustRightInd w:val="0"/>
              <w:rPr>
                <w:rFonts w:asciiTheme="majorHAnsi" w:hAnsiTheme="majorHAnsi"/>
                <w:sz w:val="22"/>
                <w:szCs w:val="22"/>
              </w:rPr>
            </w:pPr>
            <w:r w:rsidRPr="00CF271C">
              <w:rPr>
                <w:rFonts w:asciiTheme="majorHAnsi" w:hAnsiTheme="majorHAnsi"/>
                <w:sz w:val="22"/>
                <w:szCs w:val="22"/>
              </w:rPr>
              <w:t>Determinants framework</w:t>
            </w:r>
          </w:p>
          <w:p w14:paraId="38765B63" w14:textId="0D3B4728" w:rsidR="00EE7172" w:rsidRPr="00CF271C" w:rsidRDefault="00EE7172" w:rsidP="001030B7">
            <w:pPr>
              <w:pStyle w:val="ListParagraph"/>
              <w:widowControl w:val="0"/>
              <w:numPr>
                <w:ilvl w:val="0"/>
                <w:numId w:val="12"/>
              </w:numPr>
              <w:autoSpaceDE w:val="0"/>
              <w:autoSpaceDN w:val="0"/>
              <w:adjustRightInd w:val="0"/>
              <w:rPr>
                <w:rFonts w:asciiTheme="majorHAnsi" w:hAnsiTheme="majorHAnsi"/>
                <w:sz w:val="22"/>
                <w:szCs w:val="22"/>
              </w:rPr>
            </w:pPr>
            <w:r w:rsidRPr="00CF271C">
              <w:rPr>
                <w:rFonts w:asciiTheme="majorHAnsi" w:hAnsiTheme="majorHAnsi"/>
                <w:sz w:val="22"/>
                <w:szCs w:val="22"/>
              </w:rPr>
              <w:t>Evaluation framework</w:t>
            </w:r>
          </w:p>
          <w:p w14:paraId="2D379A4E" w14:textId="49275DE8" w:rsidR="00EE7172" w:rsidRPr="00CF271C" w:rsidRDefault="00EE7172" w:rsidP="001030B7">
            <w:pPr>
              <w:pStyle w:val="ListParagraph"/>
              <w:widowControl w:val="0"/>
              <w:numPr>
                <w:ilvl w:val="0"/>
                <w:numId w:val="12"/>
              </w:numPr>
              <w:autoSpaceDE w:val="0"/>
              <w:autoSpaceDN w:val="0"/>
              <w:adjustRightInd w:val="0"/>
              <w:rPr>
                <w:rFonts w:asciiTheme="majorHAnsi" w:hAnsiTheme="majorHAnsi"/>
                <w:sz w:val="22"/>
                <w:szCs w:val="22"/>
              </w:rPr>
            </w:pPr>
            <w:r w:rsidRPr="00CF271C">
              <w:rPr>
                <w:rFonts w:asciiTheme="majorHAnsi" w:hAnsiTheme="majorHAnsi"/>
                <w:sz w:val="22"/>
                <w:szCs w:val="22"/>
              </w:rPr>
              <w:t>Other</w:t>
            </w:r>
          </w:p>
          <w:p w14:paraId="58798ABF" w14:textId="52FEFA24" w:rsidR="00EE7172" w:rsidRPr="00CF271C" w:rsidRDefault="00EE7172" w:rsidP="00F80F9E">
            <w:pPr>
              <w:widowControl w:val="0"/>
              <w:autoSpaceDE w:val="0"/>
              <w:autoSpaceDN w:val="0"/>
              <w:adjustRightInd w:val="0"/>
              <w:rPr>
                <w:rFonts w:asciiTheme="majorHAnsi" w:hAnsiTheme="majorHAnsi"/>
                <w:sz w:val="22"/>
                <w:szCs w:val="22"/>
              </w:rPr>
            </w:pPr>
          </w:p>
        </w:tc>
        <w:tc>
          <w:tcPr>
            <w:tcW w:w="2750" w:type="dxa"/>
          </w:tcPr>
          <w:p w14:paraId="36257F7B" w14:textId="77777777" w:rsidR="00EE7172" w:rsidRPr="00CF271C" w:rsidRDefault="00EE7172" w:rsidP="00F80F9E">
            <w:pPr>
              <w:widowControl w:val="0"/>
              <w:autoSpaceDE w:val="0"/>
              <w:autoSpaceDN w:val="0"/>
              <w:adjustRightInd w:val="0"/>
              <w:rPr>
                <w:rFonts w:asciiTheme="majorHAnsi" w:hAnsiTheme="majorHAnsi"/>
                <w:sz w:val="22"/>
                <w:szCs w:val="22"/>
              </w:rPr>
            </w:pPr>
            <w:r w:rsidRPr="00CF271C">
              <w:rPr>
                <w:rFonts w:asciiTheme="majorHAnsi" w:hAnsiTheme="majorHAnsi"/>
                <w:sz w:val="22"/>
                <w:szCs w:val="22"/>
              </w:rPr>
              <w:t>Field of Scholarship</w:t>
            </w:r>
          </w:p>
          <w:p w14:paraId="27511857" w14:textId="77777777" w:rsidR="00EE7172" w:rsidRPr="00CF271C" w:rsidRDefault="00EE7172" w:rsidP="005C21F4">
            <w:pPr>
              <w:pStyle w:val="ListParagraph"/>
              <w:widowControl w:val="0"/>
              <w:numPr>
                <w:ilvl w:val="0"/>
                <w:numId w:val="13"/>
              </w:numPr>
              <w:autoSpaceDE w:val="0"/>
              <w:autoSpaceDN w:val="0"/>
              <w:adjustRightInd w:val="0"/>
              <w:rPr>
                <w:rFonts w:asciiTheme="majorHAnsi" w:hAnsiTheme="majorHAnsi"/>
                <w:sz w:val="22"/>
                <w:szCs w:val="22"/>
              </w:rPr>
            </w:pPr>
            <w:r w:rsidRPr="00CF271C">
              <w:rPr>
                <w:rFonts w:asciiTheme="majorHAnsi" w:hAnsiTheme="majorHAnsi"/>
                <w:sz w:val="22"/>
                <w:szCs w:val="22"/>
              </w:rPr>
              <w:t>Implementation science</w:t>
            </w:r>
          </w:p>
          <w:p w14:paraId="55F44036" w14:textId="77777777" w:rsidR="00EE7172" w:rsidRPr="00CF271C" w:rsidRDefault="00EE7172" w:rsidP="005C21F4">
            <w:pPr>
              <w:pStyle w:val="ListParagraph"/>
              <w:widowControl w:val="0"/>
              <w:numPr>
                <w:ilvl w:val="0"/>
                <w:numId w:val="13"/>
              </w:numPr>
              <w:autoSpaceDE w:val="0"/>
              <w:autoSpaceDN w:val="0"/>
              <w:adjustRightInd w:val="0"/>
              <w:rPr>
                <w:rFonts w:asciiTheme="majorHAnsi" w:hAnsiTheme="majorHAnsi"/>
                <w:sz w:val="22"/>
                <w:szCs w:val="22"/>
              </w:rPr>
            </w:pPr>
            <w:r w:rsidRPr="00CF271C">
              <w:rPr>
                <w:rFonts w:asciiTheme="majorHAnsi" w:hAnsiTheme="majorHAnsi"/>
                <w:sz w:val="22"/>
                <w:szCs w:val="22"/>
              </w:rPr>
              <w:t>Knowledge translation</w:t>
            </w:r>
          </w:p>
          <w:p w14:paraId="5111A30B" w14:textId="77777777" w:rsidR="00EE7172" w:rsidRPr="00CF271C" w:rsidRDefault="00EE7172" w:rsidP="005C21F4">
            <w:pPr>
              <w:pStyle w:val="ListParagraph"/>
              <w:widowControl w:val="0"/>
              <w:numPr>
                <w:ilvl w:val="0"/>
                <w:numId w:val="13"/>
              </w:numPr>
              <w:autoSpaceDE w:val="0"/>
              <w:autoSpaceDN w:val="0"/>
              <w:adjustRightInd w:val="0"/>
              <w:rPr>
                <w:rFonts w:asciiTheme="majorHAnsi" w:hAnsiTheme="majorHAnsi"/>
                <w:sz w:val="22"/>
                <w:szCs w:val="22"/>
              </w:rPr>
            </w:pPr>
            <w:r w:rsidRPr="00CF271C">
              <w:rPr>
                <w:rFonts w:asciiTheme="majorHAnsi" w:hAnsiTheme="majorHAnsi"/>
                <w:sz w:val="22"/>
                <w:szCs w:val="22"/>
              </w:rPr>
              <w:t>Political science</w:t>
            </w:r>
          </w:p>
          <w:p w14:paraId="393250EC" w14:textId="77777777" w:rsidR="00EE7172" w:rsidRPr="00CF271C" w:rsidRDefault="00EE7172" w:rsidP="005C21F4">
            <w:pPr>
              <w:pStyle w:val="ListParagraph"/>
              <w:widowControl w:val="0"/>
              <w:numPr>
                <w:ilvl w:val="0"/>
                <w:numId w:val="13"/>
              </w:numPr>
              <w:autoSpaceDE w:val="0"/>
              <w:autoSpaceDN w:val="0"/>
              <w:adjustRightInd w:val="0"/>
              <w:rPr>
                <w:rFonts w:asciiTheme="majorHAnsi" w:hAnsiTheme="majorHAnsi"/>
                <w:sz w:val="22"/>
                <w:szCs w:val="22"/>
              </w:rPr>
            </w:pPr>
            <w:r w:rsidRPr="00CF271C">
              <w:rPr>
                <w:rFonts w:asciiTheme="majorHAnsi" w:hAnsiTheme="majorHAnsi"/>
                <w:sz w:val="22"/>
                <w:szCs w:val="22"/>
              </w:rPr>
              <w:t>Public administration</w:t>
            </w:r>
          </w:p>
          <w:p w14:paraId="49CCA6EA" w14:textId="761B3F12" w:rsidR="00EE7172" w:rsidRPr="00CF271C" w:rsidRDefault="00EE7172" w:rsidP="005C21F4">
            <w:pPr>
              <w:pStyle w:val="ListParagraph"/>
              <w:widowControl w:val="0"/>
              <w:numPr>
                <w:ilvl w:val="0"/>
                <w:numId w:val="13"/>
              </w:numPr>
              <w:autoSpaceDE w:val="0"/>
              <w:autoSpaceDN w:val="0"/>
              <w:adjustRightInd w:val="0"/>
              <w:rPr>
                <w:rFonts w:asciiTheme="majorHAnsi" w:hAnsiTheme="majorHAnsi"/>
                <w:sz w:val="22"/>
                <w:szCs w:val="22"/>
              </w:rPr>
            </w:pPr>
            <w:r w:rsidRPr="00CF271C">
              <w:rPr>
                <w:rFonts w:asciiTheme="majorHAnsi" w:hAnsiTheme="majorHAnsi"/>
                <w:sz w:val="22"/>
                <w:szCs w:val="22"/>
              </w:rPr>
              <w:t>Other</w:t>
            </w:r>
          </w:p>
        </w:tc>
        <w:tc>
          <w:tcPr>
            <w:tcW w:w="2385" w:type="dxa"/>
          </w:tcPr>
          <w:p w14:paraId="6684B3F2" w14:textId="5ACB7109" w:rsidR="00EE7172" w:rsidRPr="00CF271C" w:rsidRDefault="00EE7172" w:rsidP="00F80F9E">
            <w:pPr>
              <w:widowControl w:val="0"/>
              <w:autoSpaceDE w:val="0"/>
              <w:autoSpaceDN w:val="0"/>
              <w:adjustRightInd w:val="0"/>
              <w:rPr>
                <w:rFonts w:asciiTheme="majorHAnsi" w:hAnsiTheme="majorHAnsi"/>
                <w:sz w:val="22"/>
                <w:szCs w:val="22"/>
              </w:rPr>
            </w:pPr>
            <w:r w:rsidRPr="00CF271C">
              <w:rPr>
                <w:rFonts w:asciiTheme="majorHAnsi" w:hAnsiTheme="majorHAnsi"/>
                <w:sz w:val="22"/>
                <w:szCs w:val="22"/>
              </w:rPr>
              <w:t>How Policy is Described</w:t>
            </w:r>
          </w:p>
        </w:tc>
      </w:tr>
    </w:tbl>
    <w:p w14:paraId="76ED30D7" w14:textId="5634B00D" w:rsidR="00F80F9E" w:rsidRDefault="000F0F56" w:rsidP="00F80F9E">
      <w:pPr>
        <w:widowControl w:val="0"/>
        <w:autoSpaceDE w:val="0"/>
        <w:autoSpaceDN w:val="0"/>
        <w:adjustRightInd w:val="0"/>
        <w:rPr>
          <w:rFonts w:asciiTheme="majorHAnsi" w:hAnsiTheme="majorHAnsi"/>
        </w:rPr>
      </w:pPr>
      <w:r w:rsidRPr="00CF271C">
        <w:rPr>
          <w:rFonts w:asciiTheme="majorHAnsi" w:hAnsiTheme="majorHAnsi"/>
          <w:vertAlign w:val="superscript"/>
        </w:rPr>
        <w:t xml:space="preserve">1 </w:t>
      </w:r>
      <w:r>
        <w:rPr>
          <w:rFonts w:asciiTheme="majorHAnsi" w:hAnsiTheme="majorHAnsi"/>
        </w:rPr>
        <w:t>Based on classification syst</w:t>
      </w:r>
      <w:r w:rsidR="00CF271C">
        <w:rPr>
          <w:rFonts w:asciiTheme="majorHAnsi" w:hAnsiTheme="majorHAnsi"/>
        </w:rPr>
        <w:t xml:space="preserve">em by Nilsen </w:t>
      </w:r>
    </w:p>
    <w:p w14:paraId="445D570D" w14:textId="77777777" w:rsidR="00EE7172" w:rsidRDefault="00EE7172" w:rsidP="00F80F9E">
      <w:pPr>
        <w:widowControl w:val="0"/>
        <w:autoSpaceDE w:val="0"/>
        <w:autoSpaceDN w:val="0"/>
        <w:adjustRightInd w:val="0"/>
        <w:rPr>
          <w:rFonts w:asciiTheme="majorHAnsi" w:hAnsiTheme="majorHAnsi"/>
        </w:rPr>
      </w:pPr>
    </w:p>
    <w:p w14:paraId="49781019" w14:textId="41962901" w:rsidR="00EE7172" w:rsidRDefault="00EE7172" w:rsidP="00F80F9E">
      <w:pPr>
        <w:widowControl w:val="0"/>
        <w:autoSpaceDE w:val="0"/>
        <w:autoSpaceDN w:val="0"/>
        <w:adjustRightInd w:val="0"/>
        <w:rPr>
          <w:rFonts w:asciiTheme="majorHAnsi" w:hAnsiTheme="majorHAnsi"/>
        </w:rPr>
      </w:pPr>
      <w:r>
        <w:rPr>
          <w:rFonts w:asciiTheme="majorHAnsi" w:hAnsiTheme="majorHAnsi"/>
        </w:rPr>
        <w:t>II – Empirical documents</w:t>
      </w:r>
    </w:p>
    <w:tbl>
      <w:tblPr>
        <w:tblStyle w:val="TableGrid"/>
        <w:tblW w:w="0" w:type="auto"/>
        <w:tblLook w:val="04A0" w:firstRow="1" w:lastRow="0" w:firstColumn="1" w:lastColumn="0" w:noHBand="0" w:noVBand="1"/>
      </w:tblPr>
      <w:tblGrid>
        <w:gridCol w:w="943"/>
        <w:gridCol w:w="905"/>
        <w:gridCol w:w="979"/>
        <w:gridCol w:w="1959"/>
        <w:gridCol w:w="2843"/>
        <w:gridCol w:w="2685"/>
      </w:tblGrid>
      <w:tr w:rsidR="00EE7172" w:rsidRPr="00CF271C" w14:paraId="7F6EFF03" w14:textId="77777777" w:rsidTr="00EE7172">
        <w:tc>
          <w:tcPr>
            <w:tcW w:w="943" w:type="dxa"/>
          </w:tcPr>
          <w:p w14:paraId="20299E2E" w14:textId="77777777" w:rsidR="00EE7172" w:rsidRPr="00CF271C" w:rsidRDefault="00EE7172" w:rsidP="00300953">
            <w:pPr>
              <w:widowControl w:val="0"/>
              <w:autoSpaceDE w:val="0"/>
              <w:autoSpaceDN w:val="0"/>
              <w:adjustRightInd w:val="0"/>
              <w:rPr>
                <w:rFonts w:asciiTheme="majorHAnsi" w:hAnsiTheme="majorHAnsi"/>
                <w:sz w:val="22"/>
                <w:szCs w:val="22"/>
              </w:rPr>
            </w:pPr>
            <w:r w:rsidRPr="00CF271C">
              <w:rPr>
                <w:rFonts w:asciiTheme="majorHAnsi" w:hAnsiTheme="majorHAnsi"/>
                <w:sz w:val="22"/>
                <w:szCs w:val="22"/>
              </w:rPr>
              <w:t>Author</w:t>
            </w:r>
          </w:p>
        </w:tc>
        <w:tc>
          <w:tcPr>
            <w:tcW w:w="905" w:type="dxa"/>
          </w:tcPr>
          <w:p w14:paraId="77A5FC16" w14:textId="77777777" w:rsidR="00EE7172" w:rsidRPr="00CF271C" w:rsidRDefault="00EE7172" w:rsidP="00300953">
            <w:pPr>
              <w:widowControl w:val="0"/>
              <w:autoSpaceDE w:val="0"/>
              <w:autoSpaceDN w:val="0"/>
              <w:adjustRightInd w:val="0"/>
              <w:rPr>
                <w:rFonts w:asciiTheme="majorHAnsi" w:hAnsiTheme="majorHAnsi"/>
                <w:sz w:val="22"/>
                <w:szCs w:val="22"/>
              </w:rPr>
            </w:pPr>
            <w:r w:rsidRPr="00CF271C">
              <w:rPr>
                <w:rFonts w:asciiTheme="majorHAnsi" w:hAnsiTheme="majorHAnsi"/>
                <w:sz w:val="22"/>
                <w:szCs w:val="22"/>
              </w:rPr>
              <w:t>Year</w:t>
            </w:r>
          </w:p>
        </w:tc>
        <w:tc>
          <w:tcPr>
            <w:tcW w:w="979" w:type="dxa"/>
          </w:tcPr>
          <w:p w14:paraId="59EEFBC5" w14:textId="669E2E31" w:rsidR="00EE7172" w:rsidRPr="00CF271C" w:rsidRDefault="00EE7172" w:rsidP="00300953">
            <w:pPr>
              <w:widowControl w:val="0"/>
              <w:autoSpaceDE w:val="0"/>
              <w:autoSpaceDN w:val="0"/>
              <w:adjustRightInd w:val="0"/>
              <w:rPr>
                <w:rFonts w:asciiTheme="majorHAnsi" w:hAnsiTheme="majorHAnsi"/>
                <w:sz w:val="22"/>
                <w:szCs w:val="22"/>
              </w:rPr>
            </w:pPr>
            <w:r>
              <w:rPr>
                <w:rFonts w:asciiTheme="majorHAnsi" w:hAnsiTheme="majorHAnsi"/>
                <w:sz w:val="22"/>
                <w:szCs w:val="22"/>
              </w:rPr>
              <w:t>Location</w:t>
            </w:r>
          </w:p>
        </w:tc>
        <w:tc>
          <w:tcPr>
            <w:tcW w:w="1959" w:type="dxa"/>
          </w:tcPr>
          <w:p w14:paraId="239C2BF3" w14:textId="6122A515" w:rsidR="00EE7172" w:rsidRPr="00EE7172" w:rsidRDefault="00EE7172" w:rsidP="00EE7172">
            <w:pPr>
              <w:widowControl w:val="0"/>
              <w:autoSpaceDE w:val="0"/>
              <w:autoSpaceDN w:val="0"/>
              <w:adjustRightInd w:val="0"/>
              <w:rPr>
                <w:rFonts w:asciiTheme="majorHAnsi" w:hAnsiTheme="majorHAnsi"/>
                <w:sz w:val="22"/>
                <w:szCs w:val="22"/>
              </w:rPr>
            </w:pPr>
            <w:r>
              <w:rPr>
                <w:rFonts w:asciiTheme="majorHAnsi" w:hAnsiTheme="majorHAnsi"/>
                <w:sz w:val="22"/>
                <w:szCs w:val="22"/>
              </w:rPr>
              <w:t>Methodology</w:t>
            </w:r>
          </w:p>
        </w:tc>
        <w:tc>
          <w:tcPr>
            <w:tcW w:w="2843" w:type="dxa"/>
          </w:tcPr>
          <w:p w14:paraId="394ED45B" w14:textId="77777777" w:rsidR="00EE7172" w:rsidRPr="00CF271C" w:rsidRDefault="00EE7172" w:rsidP="00300953">
            <w:pPr>
              <w:widowControl w:val="0"/>
              <w:autoSpaceDE w:val="0"/>
              <w:autoSpaceDN w:val="0"/>
              <w:adjustRightInd w:val="0"/>
              <w:rPr>
                <w:rFonts w:asciiTheme="majorHAnsi" w:hAnsiTheme="majorHAnsi"/>
                <w:sz w:val="22"/>
                <w:szCs w:val="22"/>
              </w:rPr>
            </w:pPr>
            <w:r w:rsidRPr="00CF271C">
              <w:rPr>
                <w:rFonts w:asciiTheme="majorHAnsi" w:hAnsiTheme="majorHAnsi"/>
                <w:sz w:val="22"/>
                <w:szCs w:val="22"/>
              </w:rPr>
              <w:t>Field of Scholarship</w:t>
            </w:r>
          </w:p>
          <w:p w14:paraId="2035810D" w14:textId="77777777" w:rsidR="00EE7172" w:rsidRPr="00CF271C" w:rsidRDefault="00EE7172" w:rsidP="00300953">
            <w:pPr>
              <w:pStyle w:val="ListParagraph"/>
              <w:widowControl w:val="0"/>
              <w:numPr>
                <w:ilvl w:val="0"/>
                <w:numId w:val="13"/>
              </w:numPr>
              <w:autoSpaceDE w:val="0"/>
              <w:autoSpaceDN w:val="0"/>
              <w:adjustRightInd w:val="0"/>
              <w:rPr>
                <w:rFonts w:asciiTheme="majorHAnsi" w:hAnsiTheme="majorHAnsi"/>
                <w:sz w:val="22"/>
                <w:szCs w:val="22"/>
              </w:rPr>
            </w:pPr>
            <w:r w:rsidRPr="00CF271C">
              <w:rPr>
                <w:rFonts w:asciiTheme="majorHAnsi" w:hAnsiTheme="majorHAnsi"/>
                <w:sz w:val="22"/>
                <w:szCs w:val="22"/>
              </w:rPr>
              <w:t>Implementation science</w:t>
            </w:r>
          </w:p>
          <w:p w14:paraId="3FA488F8" w14:textId="77777777" w:rsidR="00EE7172" w:rsidRPr="00CF271C" w:rsidRDefault="00EE7172" w:rsidP="00300953">
            <w:pPr>
              <w:pStyle w:val="ListParagraph"/>
              <w:widowControl w:val="0"/>
              <w:numPr>
                <w:ilvl w:val="0"/>
                <w:numId w:val="13"/>
              </w:numPr>
              <w:autoSpaceDE w:val="0"/>
              <w:autoSpaceDN w:val="0"/>
              <w:adjustRightInd w:val="0"/>
              <w:rPr>
                <w:rFonts w:asciiTheme="majorHAnsi" w:hAnsiTheme="majorHAnsi"/>
                <w:sz w:val="22"/>
                <w:szCs w:val="22"/>
              </w:rPr>
            </w:pPr>
            <w:r w:rsidRPr="00CF271C">
              <w:rPr>
                <w:rFonts w:asciiTheme="majorHAnsi" w:hAnsiTheme="majorHAnsi"/>
                <w:sz w:val="22"/>
                <w:szCs w:val="22"/>
              </w:rPr>
              <w:t>Knowledge translation</w:t>
            </w:r>
          </w:p>
          <w:p w14:paraId="2627633E" w14:textId="77777777" w:rsidR="00EE7172" w:rsidRPr="00CF271C" w:rsidRDefault="00EE7172" w:rsidP="00300953">
            <w:pPr>
              <w:pStyle w:val="ListParagraph"/>
              <w:widowControl w:val="0"/>
              <w:numPr>
                <w:ilvl w:val="0"/>
                <w:numId w:val="13"/>
              </w:numPr>
              <w:autoSpaceDE w:val="0"/>
              <w:autoSpaceDN w:val="0"/>
              <w:adjustRightInd w:val="0"/>
              <w:rPr>
                <w:rFonts w:asciiTheme="majorHAnsi" w:hAnsiTheme="majorHAnsi"/>
                <w:sz w:val="22"/>
                <w:szCs w:val="22"/>
              </w:rPr>
            </w:pPr>
            <w:r w:rsidRPr="00CF271C">
              <w:rPr>
                <w:rFonts w:asciiTheme="majorHAnsi" w:hAnsiTheme="majorHAnsi"/>
                <w:sz w:val="22"/>
                <w:szCs w:val="22"/>
              </w:rPr>
              <w:t>Political science</w:t>
            </w:r>
          </w:p>
          <w:p w14:paraId="5017107F" w14:textId="77777777" w:rsidR="00EE7172" w:rsidRPr="00CF271C" w:rsidRDefault="00EE7172" w:rsidP="00300953">
            <w:pPr>
              <w:pStyle w:val="ListParagraph"/>
              <w:widowControl w:val="0"/>
              <w:numPr>
                <w:ilvl w:val="0"/>
                <w:numId w:val="13"/>
              </w:numPr>
              <w:autoSpaceDE w:val="0"/>
              <w:autoSpaceDN w:val="0"/>
              <w:adjustRightInd w:val="0"/>
              <w:rPr>
                <w:rFonts w:asciiTheme="majorHAnsi" w:hAnsiTheme="majorHAnsi"/>
                <w:sz w:val="22"/>
                <w:szCs w:val="22"/>
              </w:rPr>
            </w:pPr>
            <w:r w:rsidRPr="00CF271C">
              <w:rPr>
                <w:rFonts w:asciiTheme="majorHAnsi" w:hAnsiTheme="majorHAnsi"/>
                <w:sz w:val="22"/>
                <w:szCs w:val="22"/>
              </w:rPr>
              <w:t>Public administration</w:t>
            </w:r>
          </w:p>
          <w:p w14:paraId="1FE0C336" w14:textId="77777777" w:rsidR="00EE7172" w:rsidRPr="00CF271C" w:rsidRDefault="00EE7172" w:rsidP="00300953">
            <w:pPr>
              <w:pStyle w:val="ListParagraph"/>
              <w:widowControl w:val="0"/>
              <w:numPr>
                <w:ilvl w:val="0"/>
                <w:numId w:val="13"/>
              </w:numPr>
              <w:autoSpaceDE w:val="0"/>
              <w:autoSpaceDN w:val="0"/>
              <w:adjustRightInd w:val="0"/>
              <w:rPr>
                <w:rFonts w:asciiTheme="majorHAnsi" w:hAnsiTheme="majorHAnsi"/>
                <w:sz w:val="22"/>
                <w:szCs w:val="22"/>
              </w:rPr>
            </w:pPr>
            <w:r w:rsidRPr="00CF271C">
              <w:rPr>
                <w:rFonts w:asciiTheme="majorHAnsi" w:hAnsiTheme="majorHAnsi"/>
                <w:sz w:val="22"/>
                <w:szCs w:val="22"/>
              </w:rPr>
              <w:t>Other</w:t>
            </w:r>
          </w:p>
        </w:tc>
        <w:tc>
          <w:tcPr>
            <w:tcW w:w="2685" w:type="dxa"/>
          </w:tcPr>
          <w:p w14:paraId="0CADB7C0" w14:textId="77777777" w:rsidR="00EE7172" w:rsidRPr="00CF271C" w:rsidRDefault="00EE7172" w:rsidP="00300953">
            <w:pPr>
              <w:widowControl w:val="0"/>
              <w:autoSpaceDE w:val="0"/>
              <w:autoSpaceDN w:val="0"/>
              <w:adjustRightInd w:val="0"/>
              <w:rPr>
                <w:rFonts w:asciiTheme="majorHAnsi" w:hAnsiTheme="majorHAnsi"/>
                <w:sz w:val="22"/>
                <w:szCs w:val="22"/>
              </w:rPr>
            </w:pPr>
            <w:r w:rsidRPr="00CF271C">
              <w:rPr>
                <w:rFonts w:asciiTheme="majorHAnsi" w:hAnsiTheme="majorHAnsi"/>
                <w:sz w:val="22"/>
                <w:szCs w:val="22"/>
              </w:rPr>
              <w:t>How Policy is Described</w:t>
            </w:r>
          </w:p>
        </w:tc>
      </w:tr>
      <w:tr w:rsidR="00EE7172" w:rsidRPr="00CF271C" w14:paraId="3C05E6E7" w14:textId="77777777" w:rsidTr="00EE7172">
        <w:tc>
          <w:tcPr>
            <w:tcW w:w="943" w:type="dxa"/>
          </w:tcPr>
          <w:p w14:paraId="603A141E" w14:textId="77777777" w:rsidR="00EE7172" w:rsidRPr="00CF271C" w:rsidRDefault="00EE7172" w:rsidP="00300953">
            <w:pPr>
              <w:widowControl w:val="0"/>
              <w:autoSpaceDE w:val="0"/>
              <w:autoSpaceDN w:val="0"/>
              <w:adjustRightInd w:val="0"/>
              <w:rPr>
                <w:rFonts w:asciiTheme="majorHAnsi" w:hAnsiTheme="majorHAnsi"/>
                <w:sz w:val="22"/>
                <w:szCs w:val="22"/>
              </w:rPr>
            </w:pPr>
          </w:p>
        </w:tc>
        <w:tc>
          <w:tcPr>
            <w:tcW w:w="905" w:type="dxa"/>
          </w:tcPr>
          <w:p w14:paraId="2F22B0D2" w14:textId="77777777" w:rsidR="00EE7172" w:rsidRPr="00CF271C" w:rsidRDefault="00EE7172" w:rsidP="00300953">
            <w:pPr>
              <w:widowControl w:val="0"/>
              <w:autoSpaceDE w:val="0"/>
              <w:autoSpaceDN w:val="0"/>
              <w:adjustRightInd w:val="0"/>
              <w:rPr>
                <w:rFonts w:asciiTheme="majorHAnsi" w:hAnsiTheme="majorHAnsi"/>
                <w:sz w:val="22"/>
                <w:szCs w:val="22"/>
              </w:rPr>
            </w:pPr>
          </w:p>
        </w:tc>
        <w:tc>
          <w:tcPr>
            <w:tcW w:w="979" w:type="dxa"/>
          </w:tcPr>
          <w:p w14:paraId="60E62DAC" w14:textId="77777777" w:rsidR="00EE7172" w:rsidRPr="00CF271C" w:rsidRDefault="00EE7172" w:rsidP="00300953">
            <w:pPr>
              <w:widowControl w:val="0"/>
              <w:autoSpaceDE w:val="0"/>
              <w:autoSpaceDN w:val="0"/>
              <w:adjustRightInd w:val="0"/>
              <w:rPr>
                <w:rFonts w:asciiTheme="majorHAnsi" w:hAnsiTheme="majorHAnsi"/>
                <w:sz w:val="22"/>
                <w:szCs w:val="22"/>
              </w:rPr>
            </w:pPr>
          </w:p>
        </w:tc>
        <w:tc>
          <w:tcPr>
            <w:tcW w:w="1959" w:type="dxa"/>
          </w:tcPr>
          <w:p w14:paraId="797300F7" w14:textId="77777777" w:rsidR="00EE7172" w:rsidRPr="00CF271C" w:rsidRDefault="00EE7172" w:rsidP="00300953">
            <w:pPr>
              <w:widowControl w:val="0"/>
              <w:autoSpaceDE w:val="0"/>
              <w:autoSpaceDN w:val="0"/>
              <w:adjustRightInd w:val="0"/>
              <w:rPr>
                <w:rFonts w:asciiTheme="majorHAnsi" w:hAnsiTheme="majorHAnsi"/>
                <w:sz w:val="22"/>
                <w:szCs w:val="22"/>
              </w:rPr>
            </w:pPr>
          </w:p>
        </w:tc>
        <w:tc>
          <w:tcPr>
            <w:tcW w:w="2843" w:type="dxa"/>
          </w:tcPr>
          <w:p w14:paraId="4BF8E9A2" w14:textId="77777777" w:rsidR="00EE7172" w:rsidRPr="00CF271C" w:rsidRDefault="00EE7172" w:rsidP="00300953">
            <w:pPr>
              <w:widowControl w:val="0"/>
              <w:autoSpaceDE w:val="0"/>
              <w:autoSpaceDN w:val="0"/>
              <w:adjustRightInd w:val="0"/>
              <w:rPr>
                <w:rFonts w:asciiTheme="majorHAnsi" w:hAnsiTheme="majorHAnsi"/>
                <w:sz w:val="22"/>
                <w:szCs w:val="22"/>
              </w:rPr>
            </w:pPr>
          </w:p>
        </w:tc>
        <w:tc>
          <w:tcPr>
            <w:tcW w:w="2685" w:type="dxa"/>
          </w:tcPr>
          <w:p w14:paraId="2727C6E4" w14:textId="77777777" w:rsidR="00EE7172" w:rsidRPr="00CF271C" w:rsidRDefault="00EE7172" w:rsidP="00300953">
            <w:pPr>
              <w:widowControl w:val="0"/>
              <w:autoSpaceDE w:val="0"/>
              <w:autoSpaceDN w:val="0"/>
              <w:adjustRightInd w:val="0"/>
              <w:rPr>
                <w:rFonts w:asciiTheme="majorHAnsi" w:hAnsiTheme="majorHAnsi"/>
                <w:sz w:val="22"/>
                <w:szCs w:val="22"/>
              </w:rPr>
            </w:pPr>
          </w:p>
        </w:tc>
      </w:tr>
    </w:tbl>
    <w:p w14:paraId="4BE15FEB" w14:textId="77777777" w:rsidR="00EE7172" w:rsidRPr="00F80F9E" w:rsidRDefault="00EE7172" w:rsidP="00F80F9E">
      <w:pPr>
        <w:widowControl w:val="0"/>
        <w:autoSpaceDE w:val="0"/>
        <w:autoSpaceDN w:val="0"/>
        <w:adjustRightInd w:val="0"/>
        <w:rPr>
          <w:rFonts w:asciiTheme="majorHAnsi" w:hAnsiTheme="majorHAnsi"/>
        </w:rPr>
      </w:pPr>
    </w:p>
    <w:sectPr w:rsidR="00EE7172" w:rsidRPr="00F80F9E" w:rsidSect="00F80F9E">
      <w:pgSz w:w="15842" w:h="12242" w:orient="landscape"/>
      <w:pgMar w:top="1440" w:right="1440" w:bottom="1440" w:left="1440"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1300CAE3" w14:textId="77777777" w:rsidR="00FF085A" w:rsidRDefault="00FF085A" w:rsidP="00B41255">
      <w:r>
        <w:separator/>
      </w:r>
    </w:p>
  </w:endnote>
  <w:endnote w:type="continuationSeparator" w:id="0">
    <w:p w14:paraId="23E2A3E5" w14:textId="77777777" w:rsidR="00FF085A" w:rsidRDefault="00FF085A" w:rsidP="00B4125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10000000" w:usb2="00000000" w:usb3="00000000" w:csb0="80000001" w:csb1="00000000"/>
  </w:font>
  <w:font w:name="MS Mincho">
    <w:altName w:val="ＭＳ 明朝"/>
    <w:panose1 w:val="02020609040205080304"/>
    <w:charset w:val="80"/>
    <w:family w:val="modern"/>
    <w:pitch w:val="fixed"/>
    <w:sig w:usb0="E00002FF" w:usb1="6AC7FDFB" w:usb2="08000012" w:usb3="00000000" w:csb0="0002009F" w:csb1="00000000"/>
  </w:font>
  <w:font w:name="Arial">
    <w:panose1 w:val="020B0604020202020204"/>
    <w:charset w:val="00"/>
    <w:family w:val="swiss"/>
    <w:pitch w:val="variable"/>
    <w:sig w:usb0="E0002AFF" w:usb1="C0007843" w:usb2="00000009" w:usb3="00000000" w:csb0="000001FF" w:csb1="00000000"/>
  </w:font>
  <w:font w:name="Lucida Grande">
    <w:panose1 w:val="020B0600040502020204"/>
    <w:charset w:val="00"/>
    <w:family w:val="swiss"/>
    <w:pitch w:val="variable"/>
    <w:sig w:usb0="E1000AEF" w:usb1="5000A1FF" w:usb2="00000000" w:usb3="00000000" w:csb0="000001B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4002E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933F3BE" w14:textId="77777777" w:rsidR="00CF271C" w:rsidRDefault="00CF271C" w:rsidP="008B2E12">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091A9E96" w14:textId="77777777" w:rsidR="00CF271C" w:rsidRDefault="00CF271C" w:rsidP="00B41255">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F869381" w14:textId="77777777" w:rsidR="00CF271C" w:rsidRPr="00B41255" w:rsidRDefault="00CF271C" w:rsidP="0013324E">
    <w:pPr>
      <w:pStyle w:val="Footer"/>
      <w:framePr w:wrap="around" w:vAnchor="text" w:hAnchor="page" w:x="10621" w:y="61"/>
      <w:rPr>
        <w:rStyle w:val="PageNumber"/>
        <w:rFonts w:asciiTheme="majorHAnsi" w:hAnsiTheme="majorHAnsi"/>
        <w:sz w:val="20"/>
        <w:szCs w:val="20"/>
      </w:rPr>
    </w:pPr>
    <w:r w:rsidRPr="00B41255">
      <w:rPr>
        <w:rStyle w:val="PageNumber"/>
        <w:rFonts w:asciiTheme="majorHAnsi" w:hAnsiTheme="majorHAnsi"/>
        <w:sz w:val="20"/>
        <w:szCs w:val="20"/>
      </w:rPr>
      <w:fldChar w:fldCharType="begin"/>
    </w:r>
    <w:r w:rsidRPr="00B41255">
      <w:rPr>
        <w:rStyle w:val="PageNumber"/>
        <w:rFonts w:asciiTheme="majorHAnsi" w:hAnsiTheme="majorHAnsi"/>
        <w:sz w:val="20"/>
        <w:szCs w:val="20"/>
      </w:rPr>
      <w:instrText xml:space="preserve">PAGE  </w:instrText>
    </w:r>
    <w:r w:rsidRPr="00B41255">
      <w:rPr>
        <w:rStyle w:val="PageNumber"/>
        <w:rFonts w:asciiTheme="majorHAnsi" w:hAnsiTheme="majorHAnsi"/>
        <w:sz w:val="20"/>
        <w:szCs w:val="20"/>
      </w:rPr>
      <w:fldChar w:fldCharType="separate"/>
    </w:r>
    <w:r w:rsidR="0092354C">
      <w:rPr>
        <w:rStyle w:val="PageNumber"/>
        <w:rFonts w:asciiTheme="majorHAnsi" w:hAnsiTheme="majorHAnsi"/>
        <w:noProof/>
        <w:sz w:val="20"/>
        <w:szCs w:val="20"/>
      </w:rPr>
      <w:t>1</w:t>
    </w:r>
    <w:r w:rsidRPr="00B41255">
      <w:rPr>
        <w:rStyle w:val="PageNumber"/>
        <w:rFonts w:asciiTheme="majorHAnsi" w:hAnsiTheme="majorHAnsi"/>
        <w:sz w:val="20"/>
        <w:szCs w:val="20"/>
      </w:rPr>
      <w:fldChar w:fldCharType="end"/>
    </w:r>
  </w:p>
  <w:p w14:paraId="48D5A1B1" w14:textId="77777777" w:rsidR="00CF271C" w:rsidRPr="0013324E" w:rsidRDefault="00CF271C" w:rsidP="00B41255">
    <w:pPr>
      <w:pStyle w:val="Footer"/>
      <w:ind w:right="360"/>
      <w:rPr>
        <w:rFonts w:asciiTheme="majorHAnsi" w:hAnsiTheme="majorHAnsi"/>
        <w:sz w:val="20"/>
        <w:szCs w:val="20"/>
      </w:rPr>
    </w:pPr>
    <w:r w:rsidRPr="0013324E">
      <w:rPr>
        <w:rFonts w:asciiTheme="majorHAnsi" w:hAnsiTheme="majorHAnsi"/>
        <w:sz w:val="20"/>
        <w:szCs w:val="20"/>
      </w:rPr>
      <w:t xml:space="preserve">Bullock, </w:t>
    </w:r>
    <w:proofErr w:type="gramStart"/>
    <w:r w:rsidRPr="0013324E">
      <w:rPr>
        <w:rFonts w:asciiTheme="majorHAnsi" w:hAnsiTheme="majorHAnsi"/>
        <w:sz w:val="20"/>
        <w:szCs w:val="20"/>
      </w:rPr>
      <w:t xml:space="preserve">HL  </w:t>
    </w:r>
    <w:r>
      <w:rPr>
        <w:rFonts w:asciiTheme="majorHAnsi" w:hAnsiTheme="majorHAnsi"/>
        <w:sz w:val="20"/>
        <w:szCs w:val="20"/>
      </w:rPr>
      <w:tab/>
    </w:r>
    <w:proofErr w:type="gramEnd"/>
    <w:r w:rsidRPr="0013324E">
      <w:rPr>
        <w:rFonts w:asciiTheme="majorHAnsi" w:hAnsiTheme="majorHAnsi"/>
        <w:sz w:val="20"/>
        <w:szCs w:val="20"/>
      </w:rPr>
      <w:t>CIS Protocol</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0837F57B" w14:textId="77777777" w:rsidR="00FF085A" w:rsidRDefault="00FF085A" w:rsidP="00B41255">
      <w:r>
        <w:separator/>
      </w:r>
    </w:p>
  </w:footnote>
  <w:footnote w:type="continuationSeparator" w:id="0">
    <w:p w14:paraId="22C5F300" w14:textId="77777777" w:rsidR="00FF085A" w:rsidRDefault="00FF085A" w:rsidP="00B4125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335259C"/>
    <w:multiLevelType w:val="hybridMultilevel"/>
    <w:tmpl w:val="FE96783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725580F"/>
    <w:multiLevelType w:val="hybridMultilevel"/>
    <w:tmpl w:val="ED046E1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 w15:restartNumberingAfterBreak="0">
    <w:nsid w:val="09290ED5"/>
    <w:multiLevelType w:val="multilevel"/>
    <w:tmpl w:val="B4C69A06"/>
    <w:lvl w:ilvl="0">
      <w:start w:val="1"/>
      <w:numFmt w:val="bullet"/>
      <w:lvlText w:val=""/>
      <w:lvlJc w:val="left"/>
      <w:pPr>
        <w:ind w:left="360" w:hanging="360"/>
      </w:pPr>
      <w:rPr>
        <w:rFonts w:ascii="Symbol" w:hAnsi="Symbol" w:hint="default"/>
      </w:rPr>
    </w:lvl>
    <w:lvl w:ilvl="1">
      <w:start w:val="1"/>
      <w:numFmt w:val="bullet"/>
      <w:lvlText w:val="o"/>
      <w:lvlJc w:val="left"/>
      <w:pPr>
        <w:ind w:left="1080" w:hanging="360"/>
      </w:pPr>
      <w:rPr>
        <w:rFonts w:ascii="Courier New" w:hAnsi="Courier New" w:hint="default"/>
      </w:rPr>
    </w:lvl>
    <w:lvl w:ilvl="2">
      <w:start w:val="1"/>
      <w:numFmt w:val="bullet"/>
      <w:lvlText w:val=""/>
      <w:lvlJc w:val="left"/>
      <w:pPr>
        <w:ind w:left="1800" w:hanging="360"/>
      </w:pPr>
      <w:rPr>
        <w:rFonts w:ascii="Wingdings" w:hAnsi="Wingdings" w:hint="default"/>
      </w:rPr>
    </w:lvl>
    <w:lvl w:ilvl="3">
      <w:start w:val="1"/>
      <w:numFmt w:val="bullet"/>
      <w:lvlText w:val=""/>
      <w:lvlJc w:val="left"/>
      <w:pPr>
        <w:ind w:left="2520" w:hanging="360"/>
      </w:pPr>
      <w:rPr>
        <w:rFonts w:ascii="Symbol" w:hAnsi="Symbol" w:hint="default"/>
      </w:rPr>
    </w:lvl>
    <w:lvl w:ilvl="4">
      <w:start w:val="1"/>
      <w:numFmt w:val="bullet"/>
      <w:lvlText w:val="o"/>
      <w:lvlJc w:val="left"/>
      <w:pPr>
        <w:ind w:left="3240" w:hanging="360"/>
      </w:pPr>
      <w:rPr>
        <w:rFonts w:ascii="Courier New" w:hAnsi="Courier New" w:hint="default"/>
      </w:rPr>
    </w:lvl>
    <w:lvl w:ilvl="5">
      <w:start w:val="1"/>
      <w:numFmt w:val="bullet"/>
      <w:lvlText w:val=""/>
      <w:lvlJc w:val="left"/>
      <w:pPr>
        <w:ind w:left="3960" w:hanging="360"/>
      </w:pPr>
      <w:rPr>
        <w:rFonts w:ascii="Wingdings" w:hAnsi="Wingdings" w:hint="default"/>
      </w:rPr>
    </w:lvl>
    <w:lvl w:ilvl="6">
      <w:start w:val="1"/>
      <w:numFmt w:val="bullet"/>
      <w:lvlText w:val=""/>
      <w:lvlJc w:val="left"/>
      <w:pPr>
        <w:ind w:left="4680" w:hanging="360"/>
      </w:pPr>
      <w:rPr>
        <w:rFonts w:ascii="Symbol" w:hAnsi="Symbol" w:hint="default"/>
      </w:rPr>
    </w:lvl>
    <w:lvl w:ilvl="7">
      <w:start w:val="1"/>
      <w:numFmt w:val="bullet"/>
      <w:lvlText w:val="o"/>
      <w:lvlJc w:val="left"/>
      <w:pPr>
        <w:ind w:left="5400" w:hanging="360"/>
      </w:pPr>
      <w:rPr>
        <w:rFonts w:ascii="Courier New" w:hAnsi="Courier New" w:hint="default"/>
      </w:rPr>
    </w:lvl>
    <w:lvl w:ilvl="8">
      <w:start w:val="1"/>
      <w:numFmt w:val="bullet"/>
      <w:lvlText w:val=""/>
      <w:lvlJc w:val="left"/>
      <w:pPr>
        <w:ind w:left="6120" w:hanging="360"/>
      </w:pPr>
      <w:rPr>
        <w:rFonts w:ascii="Wingdings" w:hAnsi="Wingdings" w:hint="default"/>
      </w:rPr>
    </w:lvl>
  </w:abstractNum>
  <w:abstractNum w:abstractNumId="3" w15:restartNumberingAfterBreak="0">
    <w:nsid w:val="0C1F3C0E"/>
    <w:multiLevelType w:val="hybridMultilevel"/>
    <w:tmpl w:val="2C6CA8D0"/>
    <w:lvl w:ilvl="0" w:tplc="17BAA54E">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360" w:hanging="360"/>
      </w:pPr>
      <w:rPr>
        <w:rFonts w:ascii="Courier New" w:hAnsi="Courier New" w:hint="default"/>
      </w:rPr>
    </w:lvl>
    <w:lvl w:ilvl="2" w:tplc="04090005" w:tentative="1">
      <w:start w:val="1"/>
      <w:numFmt w:val="bullet"/>
      <w:lvlText w:val=""/>
      <w:lvlJc w:val="left"/>
      <w:pPr>
        <w:ind w:left="360" w:hanging="360"/>
      </w:pPr>
      <w:rPr>
        <w:rFonts w:ascii="Wingdings" w:hAnsi="Wingdings" w:hint="default"/>
      </w:rPr>
    </w:lvl>
    <w:lvl w:ilvl="3" w:tplc="04090001" w:tentative="1">
      <w:start w:val="1"/>
      <w:numFmt w:val="bullet"/>
      <w:lvlText w:val=""/>
      <w:lvlJc w:val="left"/>
      <w:pPr>
        <w:ind w:left="1080" w:hanging="360"/>
      </w:pPr>
      <w:rPr>
        <w:rFonts w:ascii="Symbol" w:hAnsi="Symbol" w:hint="default"/>
      </w:rPr>
    </w:lvl>
    <w:lvl w:ilvl="4" w:tplc="04090003" w:tentative="1">
      <w:start w:val="1"/>
      <w:numFmt w:val="bullet"/>
      <w:lvlText w:val="o"/>
      <w:lvlJc w:val="left"/>
      <w:pPr>
        <w:ind w:left="1800" w:hanging="360"/>
      </w:pPr>
      <w:rPr>
        <w:rFonts w:ascii="Courier New" w:hAnsi="Courier New" w:hint="default"/>
      </w:rPr>
    </w:lvl>
    <w:lvl w:ilvl="5" w:tplc="04090005" w:tentative="1">
      <w:start w:val="1"/>
      <w:numFmt w:val="bullet"/>
      <w:lvlText w:val=""/>
      <w:lvlJc w:val="left"/>
      <w:pPr>
        <w:ind w:left="2520" w:hanging="360"/>
      </w:pPr>
      <w:rPr>
        <w:rFonts w:ascii="Wingdings" w:hAnsi="Wingdings" w:hint="default"/>
      </w:rPr>
    </w:lvl>
    <w:lvl w:ilvl="6" w:tplc="04090001" w:tentative="1">
      <w:start w:val="1"/>
      <w:numFmt w:val="bullet"/>
      <w:lvlText w:val=""/>
      <w:lvlJc w:val="left"/>
      <w:pPr>
        <w:ind w:left="3240" w:hanging="360"/>
      </w:pPr>
      <w:rPr>
        <w:rFonts w:ascii="Symbol" w:hAnsi="Symbol" w:hint="default"/>
      </w:rPr>
    </w:lvl>
    <w:lvl w:ilvl="7" w:tplc="04090003" w:tentative="1">
      <w:start w:val="1"/>
      <w:numFmt w:val="bullet"/>
      <w:lvlText w:val="o"/>
      <w:lvlJc w:val="left"/>
      <w:pPr>
        <w:ind w:left="3960" w:hanging="360"/>
      </w:pPr>
      <w:rPr>
        <w:rFonts w:ascii="Courier New" w:hAnsi="Courier New" w:hint="default"/>
      </w:rPr>
    </w:lvl>
    <w:lvl w:ilvl="8" w:tplc="04090005" w:tentative="1">
      <w:start w:val="1"/>
      <w:numFmt w:val="bullet"/>
      <w:lvlText w:val=""/>
      <w:lvlJc w:val="left"/>
      <w:pPr>
        <w:ind w:left="4680" w:hanging="360"/>
      </w:pPr>
      <w:rPr>
        <w:rFonts w:ascii="Wingdings" w:hAnsi="Wingdings" w:hint="default"/>
      </w:rPr>
    </w:lvl>
  </w:abstractNum>
  <w:abstractNum w:abstractNumId="4" w15:restartNumberingAfterBreak="0">
    <w:nsid w:val="1D933A97"/>
    <w:multiLevelType w:val="hybridMultilevel"/>
    <w:tmpl w:val="FCC6039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417E47E6"/>
    <w:multiLevelType w:val="hybridMultilevel"/>
    <w:tmpl w:val="EEB432A0"/>
    <w:lvl w:ilvl="0" w:tplc="17BAA54E">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360" w:hanging="360"/>
      </w:pPr>
      <w:rPr>
        <w:rFonts w:ascii="Courier New" w:hAnsi="Courier New" w:hint="default"/>
      </w:rPr>
    </w:lvl>
    <w:lvl w:ilvl="2" w:tplc="04090005" w:tentative="1">
      <w:start w:val="1"/>
      <w:numFmt w:val="bullet"/>
      <w:lvlText w:val=""/>
      <w:lvlJc w:val="left"/>
      <w:pPr>
        <w:ind w:left="360" w:hanging="360"/>
      </w:pPr>
      <w:rPr>
        <w:rFonts w:ascii="Wingdings" w:hAnsi="Wingdings" w:hint="default"/>
      </w:rPr>
    </w:lvl>
    <w:lvl w:ilvl="3" w:tplc="04090001" w:tentative="1">
      <w:start w:val="1"/>
      <w:numFmt w:val="bullet"/>
      <w:lvlText w:val=""/>
      <w:lvlJc w:val="left"/>
      <w:pPr>
        <w:ind w:left="1080" w:hanging="360"/>
      </w:pPr>
      <w:rPr>
        <w:rFonts w:ascii="Symbol" w:hAnsi="Symbol" w:hint="default"/>
      </w:rPr>
    </w:lvl>
    <w:lvl w:ilvl="4" w:tplc="04090003" w:tentative="1">
      <w:start w:val="1"/>
      <w:numFmt w:val="bullet"/>
      <w:lvlText w:val="o"/>
      <w:lvlJc w:val="left"/>
      <w:pPr>
        <w:ind w:left="1800" w:hanging="360"/>
      </w:pPr>
      <w:rPr>
        <w:rFonts w:ascii="Courier New" w:hAnsi="Courier New" w:hint="default"/>
      </w:rPr>
    </w:lvl>
    <w:lvl w:ilvl="5" w:tplc="04090005" w:tentative="1">
      <w:start w:val="1"/>
      <w:numFmt w:val="bullet"/>
      <w:lvlText w:val=""/>
      <w:lvlJc w:val="left"/>
      <w:pPr>
        <w:ind w:left="2520" w:hanging="360"/>
      </w:pPr>
      <w:rPr>
        <w:rFonts w:ascii="Wingdings" w:hAnsi="Wingdings" w:hint="default"/>
      </w:rPr>
    </w:lvl>
    <w:lvl w:ilvl="6" w:tplc="04090001" w:tentative="1">
      <w:start w:val="1"/>
      <w:numFmt w:val="bullet"/>
      <w:lvlText w:val=""/>
      <w:lvlJc w:val="left"/>
      <w:pPr>
        <w:ind w:left="3240" w:hanging="360"/>
      </w:pPr>
      <w:rPr>
        <w:rFonts w:ascii="Symbol" w:hAnsi="Symbol" w:hint="default"/>
      </w:rPr>
    </w:lvl>
    <w:lvl w:ilvl="7" w:tplc="04090003" w:tentative="1">
      <w:start w:val="1"/>
      <w:numFmt w:val="bullet"/>
      <w:lvlText w:val="o"/>
      <w:lvlJc w:val="left"/>
      <w:pPr>
        <w:ind w:left="3960" w:hanging="360"/>
      </w:pPr>
      <w:rPr>
        <w:rFonts w:ascii="Courier New" w:hAnsi="Courier New" w:hint="default"/>
      </w:rPr>
    </w:lvl>
    <w:lvl w:ilvl="8" w:tplc="04090005" w:tentative="1">
      <w:start w:val="1"/>
      <w:numFmt w:val="bullet"/>
      <w:lvlText w:val=""/>
      <w:lvlJc w:val="left"/>
      <w:pPr>
        <w:ind w:left="4680" w:hanging="360"/>
      </w:pPr>
      <w:rPr>
        <w:rFonts w:ascii="Wingdings" w:hAnsi="Wingdings" w:hint="default"/>
      </w:rPr>
    </w:lvl>
  </w:abstractNum>
  <w:abstractNum w:abstractNumId="6" w15:restartNumberingAfterBreak="0">
    <w:nsid w:val="4C69196E"/>
    <w:multiLevelType w:val="hybridMultilevel"/>
    <w:tmpl w:val="96CC760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4F041D77"/>
    <w:multiLevelType w:val="hybridMultilevel"/>
    <w:tmpl w:val="090C7DC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4FD3296F"/>
    <w:multiLevelType w:val="hybridMultilevel"/>
    <w:tmpl w:val="77E06EE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15:restartNumberingAfterBreak="0">
    <w:nsid w:val="51060CAD"/>
    <w:multiLevelType w:val="hybridMultilevel"/>
    <w:tmpl w:val="DADEFB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7417569F"/>
    <w:multiLevelType w:val="hybridMultilevel"/>
    <w:tmpl w:val="B4C69A0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1" w15:restartNumberingAfterBreak="0">
    <w:nsid w:val="78290964"/>
    <w:multiLevelType w:val="hybridMultilevel"/>
    <w:tmpl w:val="F2066A1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2" w15:restartNumberingAfterBreak="0">
    <w:nsid w:val="7F6E79BB"/>
    <w:multiLevelType w:val="hybridMultilevel"/>
    <w:tmpl w:val="8E58295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num w:numId="1">
    <w:abstractNumId w:val="8"/>
  </w:num>
  <w:num w:numId="2">
    <w:abstractNumId w:val="11"/>
  </w:num>
  <w:num w:numId="3">
    <w:abstractNumId w:val="12"/>
  </w:num>
  <w:num w:numId="4">
    <w:abstractNumId w:val="1"/>
  </w:num>
  <w:num w:numId="5">
    <w:abstractNumId w:val="4"/>
  </w:num>
  <w:num w:numId="6">
    <w:abstractNumId w:val="6"/>
  </w:num>
  <w:num w:numId="7">
    <w:abstractNumId w:val="9"/>
  </w:num>
  <w:num w:numId="8">
    <w:abstractNumId w:val="7"/>
  </w:num>
  <w:num w:numId="9">
    <w:abstractNumId w:val="0"/>
  </w:num>
  <w:num w:numId="10">
    <w:abstractNumId w:val="10"/>
  </w:num>
  <w:num w:numId="11">
    <w:abstractNumId w:val="2"/>
  </w:num>
  <w:num w:numId="12">
    <w:abstractNumId w:val="5"/>
  </w:num>
  <w:num w:numId="13">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70"/>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E21D3"/>
    <w:rsid w:val="000071F6"/>
    <w:rsid w:val="00020284"/>
    <w:rsid w:val="000273BA"/>
    <w:rsid w:val="00052762"/>
    <w:rsid w:val="00064EB6"/>
    <w:rsid w:val="000810D2"/>
    <w:rsid w:val="000933AB"/>
    <w:rsid w:val="000F0F56"/>
    <w:rsid w:val="00101BC7"/>
    <w:rsid w:val="001030B7"/>
    <w:rsid w:val="0011475D"/>
    <w:rsid w:val="0013200E"/>
    <w:rsid w:val="0013324E"/>
    <w:rsid w:val="00192A22"/>
    <w:rsid w:val="001B2DE6"/>
    <w:rsid w:val="001D0FEA"/>
    <w:rsid w:val="001E77DA"/>
    <w:rsid w:val="001F0497"/>
    <w:rsid w:val="001F06B4"/>
    <w:rsid w:val="001F1E3F"/>
    <w:rsid w:val="002015FE"/>
    <w:rsid w:val="002124F0"/>
    <w:rsid w:val="0021437C"/>
    <w:rsid w:val="0021661D"/>
    <w:rsid w:val="00271DD3"/>
    <w:rsid w:val="00286564"/>
    <w:rsid w:val="00295068"/>
    <w:rsid w:val="002C1CD5"/>
    <w:rsid w:val="002D6A31"/>
    <w:rsid w:val="002D6FB5"/>
    <w:rsid w:val="002E2E63"/>
    <w:rsid w:val="002F299F"/>
    <w:rsid w:val="003152F1"/>
    <w:rsid w:val="0033238F"/>
    <w:rsid w:val="00344821"/>
    <w:rsid w:val="003533CB"/>
    <w:rsid w:val="003745B2"/>
    <w:rsid w:val="003935BC"/>
    <w:rsid w:val="003A1CEF"/>
    <w:rsid w:val="003D3AE2"/>
    <w:rsid w:val="00424D4C"/>
    <w:rsid w:val="00427D3F"/>
    <w:rsid w:val="004321BE"/>
    <w:rsid w:val="004451A8"/>
    <w:rsid w:val="0044691D"/>
    <w:rsid w:val="00472A34"/>
    <w:rsid w:val="0048696D"/>
    <w:rsid w:val="00492857"/>
    <w:rsid w:val="00494298"/>
    <w:rsid w:val="004A252E"/>
    <w:rsid w:val="004C7619"/>
    <w:rsid w:val="004D520A"/>
    <w:rsid w:val="004E0DE8"/>
    <w:rsid w:val="004F4034"/>
    <w:rsid w:val="00503736"/>
    <w:rsid w:val="00522685"/>
    <w:rsid w:val="00541BC8"/>
    <w:rsid w:val="00544332"/>
    <w:rsid w:val="00546391"/>
    <w:rsid w:val="0054778A"/>
    <w:rsid w:val="005545AD"/>
    <w:rsid w:val="00574576"/>
    <w:rsid w:val="00587EDD"/>
    <w:rsid w:val="005C21F4"/>
    <w:rsid w:val="005D3B08"/>
    <w:rsid w:val="00612920"/>
    <w:rsid w:val="00621792"/>
    <w:rsid w:val="00627ABF"/>
    <w:rsid w:val="0063123D"/>
    <w:rsid w:val="00643A22"/>
    <w:rsid w:val="0065632C"/>
    <w:rsid w:val="0070771C"/>
    <w:rsid w:val="0072001C"/>
    <w:rsid w:val="0077381B"/>
    <w:rsid w:val="007A4296"/>
    <w:rsid w:val="007E183F"/>
    <w:rsid w:val="00802792"/>
    <w:rsid w:val="00805947"/>
    <w:rsid w:val="00815577"/>
    <w:rsid w:val="00824E45"/>
    <w:rsid w:val="00834705"/>
    <w:rsid w:val="00843865"/>
    <w:rsid w:val="00846270"/>
    <w:rsid w:val="00854F26"/>
    <w:rsid w:val="008916E7"/>
    <w:rsid w:val="008B2E12"/>
    <w:rsid w:val="008B3CE6"/>
    <w:rsid w:val="008C4D6A"/>
    <w:rsid w:val="008E1AFC"/>
    <w:rsid w:val="008F3A5D"/>
    <w:rsid w:val="008F7DA0"/>
    <w:rsid w:val="00910DEC"/>
    <w:rsid w:val="0091643B"/>
    <w:rsid w:val="0092354C"/>
    <w:rsid w:val="00936EC4"/>
    <w:rsid w:val="00945A6F"/>
    <w:rsid w:val="00955026"/>
    <w:rsid w:val="009700F4"/>
    <w:rsid w:val="009825AE"/>
    <w:rsid w:val="009A1E6F"/>
    <w:rsid w:val="009C4A94"/>
    <w:rsid w:val="009C755A"/>
    <w:rsid w:val="009D0647"/>
    <w:rsid w:val="009E0C62"/>
    <w:rsid w:val="00A11349"/>
    <w:rsid w:val="00A234B8"/>
    <w:rsid w:val="00A51ADB"/>
    <w:rsid w:val="00A54E5C"/>
    <w:rsid w:val="00A72B16"/>
    <w:rsid w:val="00A81CEB"/>
    <w:rsid w:val="00AC0142"/>
    <w:rsid w:val="00AD4E1B"/>
    <w:rsid w:val="00AD7324"/>
    <w:rsid w:val="00AE6401"/>
    <w:rsid w:val="00AF1182"/>
    <w:rsid w:val="00B00C3F"/>
    <w:rsid w:val="00B019AD"/>
    <w:rsid w:val="00B16BEE"/>
    <w:rsid w:val="00B25FEA"/>
    <w:rsid w:val="00B41255"/>
    <w:rsid w:val="00B51C65"/>
    <w:rsid w:val="00B76B07"/>
    <w:rsid w:val="00BA3E77"/>
    <w:rsid w:val="00BC41C3"/>
    <w:rsid w:val="00BD1BF2"/>
    <w:rsid w:val="00BF22CE"/>
    <w:rsid w:val="00BF4991"/>
    <w:rsid w:val="00C32EC8"/>
    <w:rsid w:val="00C33650"/>
    <w:rsid w:val="00C558C9"/>
    <w:rsid w:val="00C57D88"/>
    <w:rsid w:val="00C90A62"/>
    <w:rsid w:val="00CA4469"/>
    <w:rsid w:val="00CC3D2D"/>
    <w:rsid w:val="00CE07BF"/>
    <w:rsid w:val="00CF271C"/>
    <w:rsid w:val="00CF6813"/>
    <w:rsid w:val="00D13329"/>
    <w:rsid w:val="00D46305"/>
    <w:rsid w:val="00D55CDB"/>
    <w:rsid w:val="00D74A24"/>
    <w:rsid w:val="00D801DD"/>
    <w:rsid w:val="00D817E1"/>
    <w:rsid w:val="00D91475"/>
    <w:rsid w:val="00D93014"/>
    <w:rsid w:val="00D93CA5"/>
    <w:rsid w:val="00DA487D"/>
    <w:rsid w:val="00DF189D"/>
    <w:rsid w:val="00DF6912"/>
    <w:rsid w:val="00E45E7C"/>
    <w:rsid w:val="00E542C1"/>
    <w:rsid w:val="00E67A6D"/>
    <w:rsid w:val="00E85D91"/>
    <w:rsid w:val="00EB3D0C"/>
    <w:rsid w:val="00EB40CB"/>
    <w:rsid w:val="00EC0F88"/>
    <w:rsid w:val="00EE7172"/>
    <w:rsid w:val="00F20C72"/>
    <w:rsid w:val="00F35872"/>
    <w:rsid w:val="00F510BF"/>
    <w:rsid w:val="00F518AB"/>
    <w:rsid w:val="00F753F3"/>
    <w:rsid w:val="00F80F9E"/>
    <w:rsid w:val="00F94869"/>
    <w:rsid w:val="00FA18EA"/>
    <w:rsid w:val="00FB16D1"/>
    <w:rsid w:val="00FB2E8C"/>
    <w:rsid w:val="00FC501B"/>
    <w:rsid w:val="00FD1908"/>
    <w:rsid w:val="00FE21D3"/>
    <w:rsid w:val="00FF085A"/>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1AF58DB1"/>
  <w14:defaultImageDpi w14:val="300"/>
  <w15:docId w15:val="{609DDAAD-FE44-0640-82BD-C5EF9D1517C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Theme="minorEastAsia" w:hAnsi="Times New Roman"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5" w:semiHidden="1" w:unhideWhenUsed="1"/>
    <w:lsdException w:name="Grid Table Light" w:semiHidden="1" w:unhideWhenUsed="1"/>
    <w:lsdException w:name="Grid Table 1 Light" w:semiHidden="1" w:unhideWhenUsed="1"/>
    <w:lsdException w:name="Grid Table 2" w:semiHidden="1" w:unhideWhenUsed="1"/>
    <w:lsdException w:name="Grid Table 3" w:semiHidden="1" w:unhideWhenUsed="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D13329"/>
    <w:pPr>
      <w:ind w:left="720"/>
      <w:contextualSpacing/>
    </w:pPr>
  </w:style>
  <w:style w:type="table" w:styleId="TableGrid">
    <w:name w:val="Table Grid"/>
    <w:basedOn w:val="TableNormal"/>
    <w:uiPriority w:val="59"/>
    <w:rsid w:val="0083470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B41255"/>
    <w:pPr>
      <w:tabs>
        <w:tab w:val="center" w:pos="4320"/>
        <w:tab w:val="right" w:pos="8640"/>
      </w:tabs>
    </w:pPr>
  </w:style>
  <w:style w:type="character" w:customStyle="1" w:styleId="HeaderChar">
    <w:name w:val="Header Char"/>
    <w:basedOn w:val="DefaultParagraphFont"/>
    <w:link w:val="Header"/>
    <w:uiPriority w:val="99"/>
    <w:rsid w:val="00B41255"/>
  </w:style>
  <w:style w:type="paragraph" w:styleId="Footer">
    <w:name w:val="footer"/>
    <w:basedOn w:val="Normal"/>
    <w:link w:val="FooterChar"/>
    <w:uiPriority w:val="99"/>
    <w:unhideWhenUsed/>
    <w:rsid w:val="00B41255"/>
    <w:pPr>
      <w:tabs>
        <w:tab w:val="center" w:pos="4320"/>
        <w:tab w:val="right" w:pos="8640"/>
      </w:tabs>
    </w:pPr>
  </w:style>
  <w:style w:type="character" w:customStyle="1" w:styleId="FooterChar">
    <w:name w:val="Footer Char"/>
    <w:basedOn w:val="DefaultParagraphFont"/>
    <w:link w:val="Footer"/>
    <w:uiPriority w:val="99"/>
    <w:rsid w:val="00B41255"/>
  </w:style>
  <w:style w:type="character" w:styleId="PageNumber">
    <w:name w:val="page number"/>
    <w:basedOn w:val="DefaultParagraphFont"/>
    <w:uiPriority w:val="99"/>
    <w:semiHidden/>
    <w:unhideWhenUsed/>
    <w:rsid w:val="00B41255"/>
  </w:style>
  <w:style w:type="character" w:styleId="CommentReference">
    <w:name w:val="annotation reference"/>
    <w:basedOn w:val="DefaultParagraphFont"/>
    <w:uiPriority w:val="99"/>
    <w:semiHidden/>
    <w:unhideWhenUsed/>
    <w:rsid w:val="00C90A62"/>
    <w:rPr>
      <w:sz w:val="18"/>
      <w:szCs w:val="18"/>
    </w:rPr>
  </w:style>
  <w:style w:type="paragraph" w:styleId="CommentText">
    <w:name w:val="annotation text"/>
    <w:basedOn w:val="Normal"/>
    <w:link w:val="CommentTextChar"/>
    <w:uiPriority w:val="99"/>
    <w:semiHidden/>
    <w:unhideWhenUsed/>
    <w:rsid w:val="00C90A62"/>
  </w:style>
  <w:style w:type="character" w:customStyle="1" w:styleId="CommentTextChar">
    <w:name w:val="Comment Text Char"/>
    <w:basedOn w:val="DefaultParagraphFont"/>
    <w:link w:val="CommentText"/>
    <w:uiPriority w:val="99"/>
    <w:semiHidden/>
    <w:rsid w:val="00C90A62"/>
  </w:style>
  <w:style w:type="paragraph" w:styleId="CommentSubject">
    <w:name w:val="annotation subject"/>
    <w:basedOn w:val="CommentText"/>
    <w:next w:val="CommentText"/>
    <w:link w:val="CommentSubjectChar"/>
    <w:uiPriority w:val="99"/>
    <w:semiHidden/>
    <w:unhideWhenUsed/>
    <w:rsid w:val="00C90A62"/>
    <w:rPr>
      <w:b/>
      <w:bCs/>
      <w:sz w:val="20"/>
      <w:szCs w:val="20"/>
    </w:rPr>
  </w:style>
  <w:style w:type="character" w:customStyle="1" w:styleId="CommentSubjectChar">
    <w:name w:val="Comment Subject Char"/>
    <w:basedOn w:val="CommentTextChar"/>
    <w:link w:val="CommentSubject"/>
    <w:uiPriority w:val="99"/>
    <w:semiHidden/>
    <w:rsid w:val="00C90A62"/>
    <w:rPr>
      <w:b/>
      <w:bCs/>
      <w:sz w:val="20"/>
      <w:szCs w:val="20"/>
    </w:rPr>
  </w:style>
  <w:style w:type="paragraph" w:styleId="BalloonText">
    <w:name w:val="Balloon Text"/>
    <w:basedOn w:val="Normal"/>
    <w:link w:val="BalloonTextChar"/>
    <w:uiPriority w:val="99"/>
    <w:semiHidden/>
    <w:unhideWhenUsed/>
    <w:rsid w:val="00C90A62"/>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C90A62"/>
    <w:rPr>
      <w:rFonts w:ascii="Lucida Grande" w:hAnsi="Lucida Grande" w:cs="Lucida Grande"/>
      <w:sz w:val="18"/>
      <w:szCs w:val="18"/>
    </w:rPr>
  </w:style>
  <w:style w:type="character" w:customStyle="1" w:styleId="apple-converted-space">
    <w:name w:val="apple-converted-space"/>
    <w:basedOn w:val="DefaultParagraphFont"/>
    <w:rsid w:val="00541BC8"/>
  </w:style>
  <w:style w:type="character" w:styleId="Hyperlink">
    <w:name w:val="Hyperlink"/>
    <w:basedOn w:val="DefaultParagraphFont"/>
    <w:uiPriority w:val="99"/>
    <w:semiHidden/>
    <w:unhideWhenUsed/>
    <w:rsid w:val="00541BC8"/>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696955683">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ACA81C6-4B51-2540-9342-47DEDC8022F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12</Pages>
  <Words>12699</Words>
  <Characters>72387</Characters>
  <Application>Microsoft Office Word</Application>
  <DocSecurity>0</DocSecurity>
  <Lines>603</Lines>
  <Paragraphs>169</Paragraphs>
  <ScaleCrop>false</ScaleCrop>
  <Company/>
  <LinksUpToDate>false</LinksUpToDate>
  <CharactersWithSpaces>84917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Heather Bullock</dc:creator>
  <cp:keywords/>
  <dc:description/>
  <cp:lastModifiedBy>Bullock, Heather</cp:lastModifiedBy>
  <cp:revision>2</cp:revision>
  <cp:lastPrinted>2016-10-31T18:43:00Z</cp:lastPrinted>
  <dcterms:created xsi:type="dcterms:W3CDTF">2020-08-08T20:30:00Z</dcterms:created>
  <dcterms:modified xsi:type="dcterms:W3CDTF">2020-08-08T20:30:00Z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ndeley Document_1">
    <vt:lpwstr>True</vt:lpwstr>
  </property>
  <property fmtid="{D5CDD505-2E9C-101B-9397-08002B2CF9AE}" pid="3" name="Mendeley Unique User Id_1">
    <vt:lpwstr>95447310-9e91-37f0-b149-a8426df149a6</vt:lpwstr>
  </property>
  <property fmtid="{D5CDD505-2E9C-101B-9397-08002B2CF9AE}" pid="4" name="Mendeley Citation Style_1">
    <vt:lpwstr>http://www.zotero.org/styles/apa</vt:lpwstr>
  </property>
  <property fmtid="{D5CDD505-2E9C-101B-9397-08002B2CF9AE}" pid="5" name="Mendeley Recent Style Id 0_1">
    <vt:lpwstr>http://www.zotero.org/styles/american-medical-association</vt:lpwstr>
  </property>
  <property fmtid="{D5CDD505-2E9C-101B-9397-08002B2CF9AE}" pid="6" name="Mendeley Recent Style Name 0_1">
    <vt:lpwstr>American Medical Association</vt:lpwstr>
  </property>
  <property fmtid="{D5CDD505-2E9C-101B-9397-08002B2CF9AE}" pid="7" name="Mendeley Recent Style Id 1_1">
    <vt:lpwstr>http://www.zotero.org/styles/american-political-science-association</vt:lpwstr>
  </property>
  <property fmtid="{D5CDD505-2E9C-101B-9397-08002B2CF9AE}" pid="8" name="Mendeley Recent Style Name 1_1">
    <vt:lpwstr>American Political Science Association</vt:lpwstr>
  </property>
  <property fmtid="{D5CDD505-2E9C-101B-9397-08002B2CF9AE}" pid="9" name="Mendeley Recent Style Id 2_1">
    <vt:lpwstr>http://www.zotero.org/styles/apa</vt:lpwstr>
  </property>
  <property fmtid="{D5CDD505-2E9C-101B-9397-08002B2CF9AE}" pid="10" name="Mendeley Recent Style Name 2_1">
    <vt:lpwstr>American Psychological Association 6th edition</vt:lpwstr>
  </property>
  <property fmtid="{D5CDD505-2E9C-101B-9397-08002B2CF9AE}" pid="11" name="Mendeley Recent Style Id 3_1">
    <vt:lpwstr>http://www.zotero.org/styles/american-sociological-association</vt:lpwstr>
  </property>
  <property fmtid="{D5CDD505-2E9C-101B-9397-08002B2CF9AE}" pid="12" name="Mendeley Recent Style Name 3_1">
    <vt:lpwstr>American Sociological Association</vt:lpwstr>
  </property>
  <property fmtid="{D5CDD505-2E9C-101B-9397-08002B2CF9AE}" pid="13" name="Mendeley Recent Style Id 4_1">
    <vt:lpwstr>http://www.zotero.org/styles/chicago-author-date</vt:lpwstr>
  </property>
  <property fmtid="{D5CDD505-2E9C-101B-9397-08002B2CF9AE}" pid="14" name="Mendeley Recent Style Name 4_1">
    <vt:lpwstr>Chicago Manual of Style 16th edition (author-date)</vt:lpwstr>
  </property>
  <property fmtid="{D5CDD505-2E9C-101B-9397-08002B2CF9AE}" pid="15" name="Mendeley Recent Style Id 5_1">
    <vt:lpwstr>http://www.zotero.org/styles/harvard1</vt:lpwstr>
  </property>
  <property fmtid="{D5CDD505-2E9C-101B-9397-08002B2CF9AE}" pid="16" name="Mendeley Recent Style Name 5_1">
    <vt:lpwstr>Harvard Reference format 1 (author-date)</vt:lpwstr>
  </property>
  <property fmtid="{D5CDD505-2E9C-101B-9397-08002B2CF9AE}" pid="17" name="Mendeley Recent Style Id 6_1">
    <vt:lpwstr>http://www.zotero.org/styles/ieee</vt:lpwstr>
  </property>
  <property fmtid="{D5CDD505-2E9C-101B-9397-08002B2CF9AE}" pid="18" name="Mendeley Recent Style Name 6_1">
    <vt:lpwstr>IEEE</vt:lpwstr>
  </property>
  <property fmtid="{D5CDD505-2E9C-101B-9397-08002B2CF9AE}" pid="19" name="Mendeley Recent Style Id 7_1">
    <vt:lpwstr>http://www.zotero.org/styles/modern-humanities-research-association</vt:lpwstr>
  </property>
  <property fmtid="{D5CDD505-2E9C-101B-9397-08002B2CF9AE}" pid="20" name="Mendeley Recent Style Name 7_1">
    <vt:lpwstr>Modern Humanities Research Association 3rd edition (note with bibliography)</vt:lpwstr>
  </property>
  <property fmtid="{D5CDD505-2E9C-101B-9397-08002B2CF9AE}" pid="21" name="Mendeley Recent Style Id 8_1">
    <vt:lpwstr>http://www.zotero.org/styles/modern-language-association</vt:lpwstr>
  </property>
  <property fmtid="{D5CDD505-2E9C-101B-9397-08002B2CF9AE}" pid="22" name="Mendeley Recent Style Name 8_1">
    <vt:lpwstr>Modern Language Association 7th edition</vt:lpwstr>
  </property>
  <property fmtid="{D5CDD505-2E9C-101B-9397-08002B2CF9AE}" pid="23" name="Mendeley Recent Style Id 9_1">
    <vt:lpwstr>http://www.zotero.org/styles/nature</vt:lpwstr>
  </property>
  <property fmtid="{D5CDD505-2E9C-101B-9397-08002B2CF9AE}" pid="24" name="Mendeley Recent Style Name 9_1">
    <vt:lpwstr>Nature</vt:lpwstr>
  </property>
</Properties>
</file>