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830DF" w14:textId="77777777" w:rsidR="00445717" w:rsidRPr="006B7284" w:rsidRDefault="00445717" w:rsidP="00445717">
      <w:pPr>
        <w:rPr>
          <w:b/>
          <w:bCs/>
        </w:rPr>
      </w:pPr>
      <w:r w:rsidRPr="006B7284">
        <w:rPr>
          <w:b/>
          <w:bCs/>
        </w:rPr>
        <w:t>Tables</w:t>
      </w:r>
    </w:p>
    <w:p w14:paraId="3B27C496" w14:textId="77777777" w:rsidR="00445717" w:rsidRDefault="00445717" w:rsidP="00445717">
      <w:r w:rsidRPr="000B4A4C">
        <w:rPr>
          <w:b/>
          <w:bCs/>
        </w:rPr>
        <w:t>Table 1</w:t>
      </w:r>
      <w:r>
        <w:t>. The key characteristics of the analyzed T cell states.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445717" w14:paraId="7F85DE83" w14:textId="77777777" w:rsidTr="00AB0348">
        <w:tc>
          <w:tcPr>
            <w:tcW w:w="1795" w:type="dxa"/>
          </w:tcPr>
          <w:p w14:paraId="7FAD85B5" w14:textId="77777777" w:rsidR="00445717" w:rsidRPr="00125352" w:rsidRDefault="00445717" w:rsidP="00AB0348">
            <w:pPr>
              <w:rPr>
                <w:b/>
                <w:bCs/>
                <w:sz w:val="20"/>
                <w:szCs w:val="20"/>
              </w:rPr>
            </w:pPr>
            <w:r w:rsidRPr="00125352">
              <w:rPr>
                <w:rFonts w:ascii="Aptos" w:eastAsia="Times New Roman" w:hAnsi="Aptos" w:cs="Arial"/>
                <w:b/>
                <w:bCs/>
                <w:kern w:val="24"/>
                <w:sz w:val="20"/>
                <w:szCs w:val="20"/>
                <w14:ligatures w14:val="none"/>
              </w:rPr>
              <w:t>T Cell State</w:t>
            </w:r>
          </w:p>
        </w:tc>
        <w:tc>
          <w:tcPr>
            <w:tcW w:w="7555" w:type="dxa"/>
          </w:tcPr>
          <w:p w14:paraId="3EEF5B14" w14:textId="77777777" w:rsidR="00445717" w:rsidRPr="00125352" w:rsidRDefault="00445717" w:rsidP="00AB0348">
            <w:pPr>
              <w:rPr>
                <w:b/>
                <w:bCs/>
                <w:sz w:val="20"/>
                <w:szCs w:val="20"/>
              </w:rPr>
            </w:pPr>
            <w:r w:rsidRPr="00125352">
              <w:rPr>
                <w:rFonts w:ascii="Aptos" w:eastAsia="Times New Roman" w:hAnsi="Aptos" w:cs="Arial"/>
                <w:b/>
                <w:bCs/>
                <w:kern w:val="24"/>
                <w:sz w:val="20"/>
                <w:szCs w:val="20"/>
                <w14:ligatures w14:val="none"/>
              </w:rPr>
              <w:t>Characteristics</w:t>
            </w:r>
          </w:p>
        </w:tc>
      </w:tr>
      <w:tr w:rsidR="00445717" w14:paraId="420ACE4A" w14:textId="77777777" w:rsidTr="00AB0348">
        <w:tc>
          <w:tcPr>
            <w:tcW w:w="1795" w:type="dxa"/>
          </w:tcPr>
          <w:p w14:paraId="4DB63609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ascii="Aptos" w:eastAsia="Times New Roman" w:hAnsi="Aptos" w:cs="Arial"/>
                <w:kern w:val="24"/>
                <w:sz w:val="20"/>
                <w:szCs w:val="20"/>
                <w14:ligatures w14:val="none"/>
              </w:rPr>
              <w:t>TN (naïve)</w:t>
            </w:r>
          </w:p>
        </w:tc>
        <w:tc>
          <w:tcPr>
            <w:tcW w:w="7555" w:type="dxa"/>
          </w:tcPr>
          <w:p w14:paraId="6243C737" w14:textId="77777777" w:rsidR="00445717" w:rsidRPr="00125352" w:rsidRDefault="00445717" w:rsidP="00AB0348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25352">
              <w:rPr>
                <w:rFonts w:eastAsiaTheme="minorEastAsia" w:hAnsi="Aptos"/>
                <w:kern w:val="24"/>
                <w:sz w:val="20"/>
                <w:szCs w:val="20"/>
                <w14:ligatures w14:val="none"/>
              </w:rPr>
              <w:t>Antigen-inexperienced cells that continuously circulate through</w:t>
            </w:r>
          </w:p>
          <w:p w14:paraId="5D3E81EA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kern w:val="24"/>
                <w:sz w:val="20"/>
                <w:szCs w:val="20"/>
                <w14:ligatures w14:val="none"/>
              </w:rPr>
              <w:t>lymphatic vessels and blood, and surveil peripheral tissues</w:t>
            </w:r>
          </w:p>
        </w:tc>
      </w:tr>
      <w:tr w:rsidR="00445717" w14:paraId="0C029C48" w14:textId="77777777" w:rsidTr="00AB0348">
        <w:tc>
          <w:tcPr>
            <w:tcW w:w="1795" w:type="dxa"/>
          </w:tcPr>
          <w:p w14:paraId="3398D662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kern w:val="24"/>
                <w:sz w:val="20"/>
                <w:szCs w:val="20"/>
                <w14:ligatures w14:val="none"/>
              </w:rPr>
              <w:t>TSCM (Stem Cell Memory)</w:t>
            </w:r>
          </w:p>
        </w:tc>
        <w:tc>
          <w:tcPr>
            <w:tcW w:w="7555" w:type="dxa"/>
          </w:tcPr>
          <w:p w14:paraId="09653DDA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kern w:val="24"/>
                <w:sz w:val="20"/>
                <w:szCs w:val="20"/>
                <w14:ligatures w14:val="none"/>
              </w:rPr>
              <w:t>Possess stem cell-like properties, including self-renewal capacity and multipotency, and serve as a long-lived reservoir for memory T cells</w:t>
            </w:r>
          </w:p>
        </w:tc>
      </w:tr>
      <w:tr w:rsidR="00445717" w14:paraId="7D42A097" w14:textId="77777777" w:rsidTr="00AB0348">
        <w:tc>
          <w:tcPr>
            <w:tcW w:w="1795" w:type="dxa"/>
          </w:tcPr>
          <w:p w14:paraId="5B321F97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kern w:val="24"/>
                <w:sz w:val="20"/>
                <w:szCs w:val="20"/>
                <w14:ligatures w14:val="none"/>
              </w:rPr>
              <w:t>TCM (Central Memory)</w:t>
            </w:r>
          </w:p>
        </w:tc>
        <w:tc>
          <w:tcPr>
            <w:tcW w:w="7555" w:type="dxa"/>
          </w:tcPr>
          <w:p w14:paraId="2CF2CEDB" w14:textId="77777777" w:rsidR="00445717" w:rsidRPr="00125352" w:rsidRDefault="00445717" w:rsidP="00AB0348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25352">
              <w:rPr>
                <w:rFonts w:eastAsiaTheme="minorEastAsia" w:hAnsi="Aptos"/>
                <w:kern w:val="24"/>
                <w:sz w:val="20"/>
                <w:szCs w:val="20"/>
                <w14:ligatures w14:val="none"/>
              </w:rPr>
              <w:t>Primarily reside in secondary lymphoid organs and exhibit high expression of homing receptors, enabling their circulation through lymphoid tissues. Similar cytolytic capabilities as TEM but with greater IL-2 production and</w:t>
            </w:r>
          </w:p>
          <w:p w14:paraId="79F669B8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kern w:val="24"/>
                <w:sz w:val="20"/>
                <w:szCs w:val="20"/>
                <w14:ligatures w14:val="none"/>
              </w:rPr>
              <w:t>proliferative potential.</w:t>
            </w:r>
          </w:p>
        </w:tc>
      </w:tr>
      <w:tr w:rsidR="00445717" w14:paraId="7E69D805" w14:textId="77777777" w:rsidTr="00AB0348">
        <w:tc>
          <w:tcPr>
            <w:tcW w:w="1795" w:type="dxa"/>
          </w:tcPr>
          <w:p w14:paraId="0017BEAA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kern w:val="24"/>
                <w:sz w:val="20"/>
                <w:szCs w:val="20"/>
                <w14:ligatures w14:val="none"/>
              </w:rPr>
              <w:t>TEM (Effector Memory)</w:t>
            </w:r>
          </w:p>
        </w:tc>
        <w:tc>
          <w:tcPr>
            <w:tcW w:w="7555" w:type="dxa"/>
          </w:tcPr>
          <w:p w14:paraId="29FA3256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kern w:val="24"/>
                <w:sz w:val="20"/>
                <w:szCs w:val="20"/>
                <w14:ligatures w14:val="none"/>
              </w:rPr>
              <w:t>Localized in peripheral tissues and exhibit immediate effector functions upon antigen re-encounter, providing rapid immune responses at the site of infection or inflammation</w:t>
            </w:r>
          </w:p>
        </w:tc>
      </w:tr>
      <w:tr w:rsidR="00445717" w14:paraId="4C3D563A" w14:textId="77777777" w:rsidTr="00AB0348">
        <w:tc>
          <w:tcPr>
            <w:tcW w:w="1795" w:type="dxa"/>
          </w:tcPr>
          <w:p w14:paraId="3D9129EF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kern w:val="24"/>
                <w:sz w:val="20"/>
                <w:szCs w:val="20"/>
                <w14:ligatures w14:val="none"/>
              </w:rPr>
              <w:t>TEFF (Effector)</w:t>
            </w:r>
          </w:p>
        </w:tc>
        <w:tc>
          <w:tcPr>
            <w:tcW w:w="7555" w:type="dxa"/>
          </w:tcPr>
          <w:p w14:paraId="050281E1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kern w:val="24"/>
                <w:sz w:val="20"/>
                <w:szCs w:val="20"/>
                <w14:ligatures w14:val="none"/>
              </w:rPr>
              <w:t>Terminally differentiated and primed to rapidly respond to antigenic stimulation, exerting effector functions such as cytokine secretion and cytotoxicity</w:t>
            </w:r>
          </w:p>
        </w:tc>
      </w:tr>
      <w:tr w:rsidR="00445717" w14:paraId="35DE3298" w14:textId="77777777" w:rsidTr="00AB0348">
        <w:tc>
          <w:tcPr>
            <w:tcW w:w="1795" w:type="dxa"/>
          </w:tcPr>
          <w:p w14:paraId="6821BF77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TExProg1 (Progenitor 1)</w:t>
            </w:r>
          </w:p>
        </w:tc>
        <w:tc>
          <w:tcPr>
            <w:tcW w:w="7555" w:type="dxa"/>
          </w:tcPr>
          <w:p w14:paraId="71BB349C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Quiescent progenitor subset. Highest IFN-producers, IFN and TNF coproducers. High proliferative potential but with low ongoing cell cycle in the steady state. Little evidence of ex vivo cell death. Not present in the blood.</w:t>
            </w:r>
            <w:r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 xml:space="preserve"> Characterized by the following surface markers: </w:t>
            </w:r>
            <w:r w:rsidRPr="00923003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Ly108/SLAMF6+ CD69+</w:t>
            </w:r>
            <w:r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. Characteristic transcriptional factors include h</w:t>
            </w:r>
            <w:r w:rsidRPr="00923003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 xml:space="preserve">igh </w:t>
            </w:r>
            <w:proofErr w:type="spellStart"/>
            <w:r w:rsidRPr="00923003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Eomes</w:t>
            </w:r>
            <w:proofErr w:type="spellEnd"/>
            <w:r w:rsidRPr="00923003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, TCF1/TCF7, TOX</w:t>
            </w:r>
            <w:r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.</w:t>
            </w:r>
          </w:p>
        </w:tc>
      </w:tr>
      <w:tr w:rsidR="00445717" w14:paraId="177D8C65" w14:textId="77777777" w:rsidTr="00AB0348">
        <w:tc>
          <w:tcPr>
            <w:tcW w:w="1795" w:type="dxa"/>
          </w:tcPr>
          <w:p w14:paraId="2847B6AE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TExProg2 (Progenitor 2)</w:t>
            </w:r>
          </w:p>
        </w:tc>
        <w:tc>
          <w:tcPr>
            <w:tcW w:w="7555" w:type="dxa"/>
          </w:tcPr>
          <w:p w14:paraId="6237F34C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 xml:space="preserve">Progenitor subset with circulatory potential, thus present in the blood. Preferentially expanded by PD-L1 blockade. Some proliferative potential left. Cytokine production </w:t>
            </w:r>
            <w:proofErr w:type="gramStart"/>
            <w:r w:rsidRPr="00125352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starts</w:t>
            </w:r>
            <w:proofErr w:type="gramEnd"/>
            <w:r w:rsidRPr="00125352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 xml:space="preserve"> to decline. Little evidence of ex vivo cell death. Shares around 40% of TExProg1 upregulated DEGs but at a lower amount. Related open-chromatin landscape to TExProg1.</w:t>
            </w:r>
            <w:r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 xml:space="preserve"> Characterized by the following surface markers: </w:t>
            </w:r>
            <w:r w:rsidRPr="00923003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Ly108/SLAMF6+ CD69-</w:t>
            </w:r>
            <w:r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. Characteristic transcriptional factors include h</w:t>
            </w:r>
            <w:r w:rsidRPr="00923003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>igh: TOX</w:t>
            </w:r>
            <w:r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>, i</w:t>
            </w:r>
            <w:r w:rsidRPr="00923003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 xml:space="preserve">nt.: </w:t>
            </w:r>
            <w:r w:rsidRPr="00923003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TCF1/TCF7</w:t>
            </w:r>
            <w:r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.</w:t>
            </w:r>
          </w:p>
        </w:tc>
      </w:tr>
      <w:tr w:rsidR="00445717" w14:paraId="477CDF57" w14:textId="77777777" w:rsidTr="00AB0348">
        <w:tc>
          <w:tcPr>
            <w:tcW w:w="1795" w:type="dxa"/>
          </w:tcPr>
          <w:p w14:paraId="467FB3BE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proofErr w:type="spellStart"/>
            <w:r w:rsidRPr="00125352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TExInt</w:t>
            </w:r>
            <w:proofErr w:type="spellEnd"/>
            <w:r w:rsidRPr="00125352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 xml:space="preserve"> (Intermediate)</w:t>
            </w:r>
          </w:p>
        </w:tc>
        <w:tc>
          <w:tcPr>
            <w:tcW w:w="7555" w:type="dxa"/>
          </w:tcPr>
          <w:p w14:paraId="2C1F4A94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Intermediate state that re-engages some effector biology, showing evidence of recent proliferation, and gradually converting to a more terminally exhausted state. Present in the blood and low cytokine production. Selectively expanded by PD-L1 blockade. Apoptotic cells were readily detectable</w:t>
            </w:r>
            <w:r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 xml:space="preserve">. Characterized by surface markers </w:t>
            </w:r>
            <w:r w:rsidRPr="00923003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Ly108/SLAMF6- CD69-</w:t>
            </w:r>
            <w:r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. Characteristic transcriptional factors include h</w:t>
            </w:r>
            <w:r w:rsidRPr="00923003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>igh T-Bet</w:t>
            </w:r>
            <w:r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 xml:space="preserve">, </w:t>
            </w:r>
            <w:r w:rsidRPr="00923003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>Int. TOX</w:t>
            </w:r>
            <w:r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>, l</w:t>
            </w:r>
            <w:r w:rsidRPr="00923003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>ow: TCF1/TCF7</w:t>
            </w:r>
            <w:r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>.</w:t>
            </w:r>
          </w:p>
        </w:tc>
      </w:tr>
      <w:tr w:rsidR="00445717" w14:paraId="5D08F7D9" w14:textId="77777777" w:rsidTr="00AB0348">
        <w:tc>
          <w:tcPr>
            <w:tcW w:w="1795" w:type="dxa"/>
          </w:tcPr>
          <w:p w14:paraId="1C90E2B3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proofErr w:type="spellStart"/>
            <w:r w:rsidRPr="00125352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TexTerm</w:t>
            </w:r>
            <w:proofErr w:type="spellEnd"/>
            <w:r w:rsidRPr="00125352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 xml:space="preserve"> (Terminal)</w:t>
            </w:r>
          </w:p>
        </w:tc>
        <w:tc>
          <w:tcPr>
            <w:tcW w:w="7555" w:type="dxa"/>
          </w:tcPr>
          <w:p w14:paraId="7D55BB8C" w14:textId="77777777" w:rsidR="00445717" w:rsidRPr="00125352" w:rsidRDefault="00445717" w:rsidP="00AB0348">
            <w:pPr>
              <w:rPr>
                <w:sz w:val="20"/>
                <w:szCs w:val="20"/>
              </w:rPr>
            </w:pPr>
            <w:r w:rsidRPr="00125352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State of irreversible commitment. Not present in the blood and cytokine coproduction rebounds but not to the level of TExProg1. Apoptotic cells were readily detectable.</w:t>
            </w:r>
            <w:r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 xml:space="preserve"> Characterized by surface markers </w:t>
            </w:r>
            <w:r w:rsidRPr="00923003"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Ly108- CD69+</w:t>
            </w:r>
            <w:r>
              <w:rPr>
                <w:rFonts w:eastAsiaTheme="minorEastAsia" w:hAnsi="Aptos"/>
                <w:color w:val="000000" w:themeColor="dark1"/>
                <w:kern w:val="24"/>
                <w:sz w:val="20"/>
                <w:szCs w:val="20"/>
                <w14:ligatures w14:val="none"/>
              </w:rPr>
              <w:t>. Characteristic transcriptional factors are h</w:t>
            </w:r>
            <w:r w:rsidRPr="00923003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 xml:space="preserve">igh: TOX, </w:t>
            </w:r>
            <w:proofErr w:type="spellStart"/>
            <w:r w:rsidRPr="00923003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>Eomes</w:t>
            </w:r>
            <w:proofErr w:type="spellEnd"/>
            <w:r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>, l</w:t>
            </w:r>
            <w:r w:rsidRPr="00923003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>ow: T-Bet</w:t>
            </w:r>
            <w:r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14:ligatures w14:val="none"/>
              </w:rPr>
              <w:t>.</w:t>
            </w:r>
          </w:p>
        </w:tc>
      </w:tr>
    </w:tbl>
    <w:p w14:paraId="3C1921C4" w14:textId="77777777" w:rsidR="00445717" w:rsidRDefault="00445717" w:rsidP="00445717"/>
    <w:p w14:paraId="5C1F9C22" w14:textId="2B311F31" w:rsidR="00445717" w:rsidRDefault="00445717" w:rsidP="00445717">
      <w:r>
        <w:br w:type="column"/>
      </w:r>
    </w:p>
    <w:sectPr w:rsidR="00445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17"/>
    <w:rsid w:val="00445717"/>
    <w:rsid w:val="004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4590"/>
  <w15:chartTrackingRefBased/>
  <w15:docId w15:val="{5C52D2FC-B562-4312-B3F3-882428F1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7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Kareva</dc:creator>
  <cp:keywords/>
  <dc:description/>
  <cp:lastModifiedBy>Irina Kareva</cp:lastModifiedBy>
  <cp:revision>1</cp:revision>
  <dcterms:created xsi:type="dcterms:W3CDTF">2024-12-28T19:52:00Z</dcterms:created>
  <dcterms:modified xsi:type="dcterms:W3CDTF">2024-12-28T19:53:00Z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Harvard Reference format 1 (author-date)</vt:lpwstr>
  </property>
</Properties>
</file>