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F2DF8" w14:textId="77777777" w:rsidR="00DF7582" w:rsidRPr="000761FA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b/>
          <w:bCs/>
          <w:sz w:val="24"/>
        </w:rPr>
      </w:pPr>
      <w:r>
        <w:rPr>
          <w:rFonts w:ascii="Times New Roman" w:hint="eastAsia"/>
          <w:b/>
          <w:bCs/>
          <w:sz w:val="24"/>
        </w:rPr>
        <w:t>Supplementary Figures</w:t>
      </w:r>
    </w:p>
    <w:p w14:paraId="1513743D" w14:textId="77777777" w:rsidR="00DF7582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sz w:val="24"/>
        </w:rPr>
      </w:pPr>
    </w:p>
    <w:p w14:paraId="265F0647" w14:textId="77777777" w:rsidR="00DF7582" w:rsidRPr="000524CE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sz w:val="24"/>
        </w:rPr>
      </w:pPr>
      <w:r>
        <w:rPr>
          <w:rFonts w:ascii="Times New Roman"/>
          <w:noProof/>
          <w:sz w:val="24"/>
        </w:rPr>
        <w:drawing>
          <wp:inline distT="0" distB="0" distL="0" distR="0" wp14:anchorId="4503DBFD" wp14:editId="401B4DE1">
            <wp:extent cx="5728335" cy="5694068"/>
            <wp:effectExtent l="0" t="0" r="5715" b="1905"/>
            <wp:docPr id="1725740912" name="그림 7" descr="텍스트, 스크린샷, 도표, 평행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740912" name="그림 7" descr="텍스트, 스크린샷, 도표, 평행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335" cy="5694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09B86" w14:textId="77777777" w:rsidR="00DF7582" w:rsidRPr="000D3DDE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sz w:val="24"/>
        </w:rPr>
      </w:pPr>
      <w:r>
        <w:rPr>
          <w:rFonts w:ascii="Times New Roman" w:hint="eastAsia"/>
          <w:b/>
          <w:bCs/>
          <w:sz w:val="24"/>
        </w:rPr>
        <w:t xml:space="preserve">Supplementary </w:t>
      </w:r>
      <w:r w:rsidRPr="000D3DDE">
        <w:rPr>
          <w:rFonts w:ascii="Times New Roman"/>
          <w:b/>
          <w:bCs/>
          <w:sz w:val="24"/>
        </w:rPr>
        <w:t>Fig</w:t>
      </w:r>
      <w:r>
        <w:rPr>
          <w:rFonts w:ascii="Times New Roman" w:hint="eastAsia"/>
          <w:b/>
          <w:bCs/>
          <w:sz w:val="24"/>
        </w:rPr>
        <w:t>ure</w:t>
      </w:r>
      <w:r w:rsidRPr="000D3DDE">
        <w:rPr>
          <w:rFonts w:ascii="Times New Roman"/>
          <w:b/>
          <w:bCs/>
          <w:sz w:val="24"/>
        </w:rPr>
        <w:t xml:space="preserve"> 1. The MED12-mutant NSCLC patients harboring RTK, such as ALK or EGFR, sensitive mutations show poor prognosis for RTK inhibitors. </w:t>
      </w:r>
    </w:p>
    <w:p w14:paraId="2EDB3354" w14:textId="77777777" w:rsidR="00DF7582" w:rsidRPr="00BE185F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sz w:val="24"/>
        </w:rPr>
      </w:pPr>
      <w:r>
        <w:rPr>
          <w:rFonts w:ascii="Times New Roman" w:eastAsia="Malgun Gothic" w:hint="eastAsia"/>
          <w:b/>
          <w:bCs/>
          <w:color w:val="000000" w:themeColor="text1"/>
          <w:sz w:val="24"/>
        </w:rPr>
        <w:t>(A)</w:t>
      </w:r>
      <w:r w:rsidRPr="00BE185F">
        <w:rPr>
          <w:rFonts w:ascii="Times New Roman"/>
          <w:color w:val="000000" w:themeColor="text1"/>
          <w:sz w:val="24"/>
        </w:rPr>
        <w:t xml:space="preserve"> Patient cohort selection process using the GENIE BPC NSCLC v2.0-public database. </w:t>
      </w:r>
      <w:r w:rsidRPr="000761FA">
        <w:rPr>
          <w:rFonts w:ascii="Times New Roman" w:eastAsia="Malgun Gothic" w:hint="eastAsia"/>
          <w:b/>
          <w:bCs/>
          <w:color w:val="000000" w:themeColor="text1"/>
          <w:sz w:val="24"/>
        </w:rPr>
        <w:t>(</w:t>
      </w:r>
      <w:r>
        <w:rPr>
          <w:rFonts w:ascii="Times New Roman" w:eastAsia="Malgun Gothic" w:hint="eastAsia"/>
          <w:b/>
          <w:bCs/>
          <w:color w:val="000000" w:themeColor="text1"/>
          <w:sz w:val="24"/>
        </w:rPr>
        <w:t>B)</w:t>
      </w:r>
      <w:r w:rsidRPr="00BE185F">
        <w:rPr>
          <w:rFonts w:ascii="Times New Roman"/>
          <w:color w:val="000000" w:themeColor="text1"/>
          <w:sz w:val="24"/>
        </w:rPr>
        <w:t xml:space="preserve"> </w:t>
      </w:r>
      <w:r w:rsidRPr="00BE185F">
        <w:rPr>
          <w:rFonts w:ascii="Times New Roman" w:hint="eastAsia"/>
          <w:color w:val="000000" w:themeColor="text1"/>
          <w:sz w:val="24"/>
        </w:rPr>
        <w:t>Oncoprint</w:t>
      </w:r>
      <w:r w:rsidRPr="00BE185F">
        <w:rPr>
          <w:rFonts w:ascii="Times New Roman"/>
          <w:color w:val="000000" w:themeColor="text1"/>
          <w:sz w:val="24"/>
        </w:rPr>
        <w:t xml:space="preserve"> </w:t>
      </w:r>
      <w:r w:rsidRPr="00BE185F">
        <w:rPr>
          <w:rFonts w:ascii="Times New Roman" w:hint="eastAsia"/>
          <w:color w:val="000000" w:themeColor="text1"/>
          <w:sz w:val="24"/>
        </w:rPr>
        <w:t>showing</w:t>
      </w:r>
      <w:r w:rsidRPr="00BE185F">
        <w:rPr>
          <w:rFonts w:ascii="Times New Roman"/>
          <w:color w:val="000000" w:themeColor="text1"/>
          <w:sz w:val="24"/>
        </w:rPr>
        <w:t xml:space="preserve"> </w:t>
      </w:r>
      <w:r w:rsidRPr="00BE185F">
        <w:rPr>
          <w:rFonts w:ascii="Times New Roman" w:hint="eastAsia"/>
          <w:color w:val="000000" w:themeColor="text1"/>
          <w:sz w:val="24"/>
        </w:rPr>
        <w:t>d</w:t>
      </w:r>
      <w:r w:rsidRPr="00BE185F">
        <w:rPr>
          <w:rFonts w:ascii="Times New Roman"/>
          <w:color w:val="000000" w:themeColor="text1"/>
          <w:sz w:val="24"/>
        </w:rPr>
        <w:t xml:space="preserve">istribution of patients in the selected cohort based on </w:t>
      </w:r>
      <w:r w:rsidRPr="00BE185F">
        <w:rPr>
          <w:rFonts w:ascii="Times New Roman" w:hint="eastAsia"/>
          <w:color w:val="000000" w:themeColor="text1"/>
          <w:sz w:val="24"/>
        </w:rPr>
        <w:t>EGFR,</w:t>
      </w:r>
      <w:r w:rsidRPr="00BE185F">
        <w:rPr>
          <w:rFonts w:ascii="Times New Roman"/>
          <w:color w:val="000000" w:themeColor="text1"/>
          <w:sz w:val="24"/>
        </w:rPr>
        <w:t xml:space="preserve"> </w:t>
      </w:r>
      <w:r w:rsidRPr="00BE185F">
        <w:rPr>
          <w:rFonts w:ascii="Times New Roman" w:hint="eastAsia"/>
          <w:color w:val="000000" w:themeColor="text1"/>
          <w:sz w:val="24"/>
        </w:rPr>
        <w:t>ALK</w:t>
      </w:r>
      <w:r w:rsidRPr="00BE185F">
        <w:rPr>
          <w:rFonts w:ascii="Times New Roman"/>
          <w:color w:val="000000" w:themeColor="text1"/>
          <w:sz w:val="24"/>
        </w:rPr>
        <w:t xml:space="preserve"> </w:t>
      </w:r>
      <w:r w:rsidRPr="00BE185F">
        <w:rPr>
          <w:rFonts w:ascii="Times New Roman" w:hint="eastAsia"/>
          <w:color w:val="000000" w:themeColor="text1"/>
          <w:sz w:val="24"/>
        </w:rPr>
        <w:t>and</w:t>
      </w:r>
      <w:r w:rsidRPr="00BE185F">
        <w:rPr>
          <w:rFonts w:ascii="Times New Roman"/>
          <w:color w:val="000000" w:themeColor="text1"/>
          <w:sz w:val="24"/>
        </w:rPr>
        <w:t xml:space="preserve"> </w:t>
      </w:r>
      <w:r w:rsidRPr="00BE185F">
        <w:rPr>
          <w:rFonts w:ascii="Times New Roman" w:hint="eastAsia"/>
          <w:color w:val="000000" w:themeColor="text1"/>
          <w:sz w:val="24"/>
        </w:rPr>
        <w:t>MED12</w:t>
      </w:r>
      <w:r w:rsidRPr="00BE185F">
        <w:rPr>
          <w:rFonts w:ascii="Times New Roman"/>
          <w:color w:val="000000" w:themeColor="text1"/>
          <w:sz w:val="24"/>
        </w:rPr>
        <w:t xml:space="preserve"> mutation status. </w:t>
      </w:r>
      <w:r w:rsidRPr="000761FA">
        <w:rPr>
          <w:rFonts w:ascii="Times New Roman" w:eastAsia="Malgun Gothic" w:hint="eastAsia"/>
          <w:b/>
          <w:bCs/>
          <w:color w:val="000000" w:themeColor="text1"/>
          <w:sz w:val="24"/>
        </w:rPr>
        <w:t>(</w:t>
      </w:r>
      <w:r>
        <w:rPr>
          <w:rFonts w:ascii="Times New Roman" w:eastAsia="Malgun Gothic" w:hint="eastAsia"/>
          <w:b/>
          <w:bCs/>
          <w:color w:val="000000" w:themeColor="text1"/>
          <w:sz w:val="24"/>
        </w:rPr>
        <w:t>C)</w:t>
      </w:r>
      <w:r w:rsidRPr="00BE185F">
        <w:rPr>
          <w:rFonts w:ascii="Times New Roman"/>
          <w:color w:val="000000" w:themeColor="text1"/>
          <w:sz w:val="24"/>
        </w:rPr>
        <w:t xml:space="preserve"> MED12 mutation </w:t>
      </w:r>
      <w:r w:rsidRPr="00BE185F">
        <w:rPr>
          <w:rFonts w:ascii="Times New Roman" w:hint="eastAsia"/>
          <w:color w:val="000000" w:themeColor="text1"/>
          <w:sz w:val="24"/>
        </w:rPr>
        <w:t>frequency</w:t>
      </w:r>
      <w:r w:rsidRPr="00BE185F">
        <w:rPr>
          <w:rFonts w:ascii="Times New Roman"/>
          <w:color w:val="000000" w:themeColor="text1"/>
          <w:sz w:val="24"/>
        </w:rPr>
        <w:t xml:space="preserve"> within both EGFR-TKI and ALKi sensitive mutation groups.</w:t>
      </w:r>
    </w:p>
    <w:p w14:paraId="2A4CFA94" w14:textId="77777777" w:rsidR="00DF7582" w:rsidRDefault="00DF7582" w:rsidP="00DF7582">
      <w:pPr>
        <w:widowControl/>
        <w:wordWrap/>
        <w:autoSpaceDE/>
        <w:autoSpaceDN/>
        <w:spacing w:after="160" w:line="259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br w:type="page"/>
      </w:r>
    </w:p>
    <w:p w14:paraId="6635CA2B" w14:textId="77777777" w:rsidR="00DF7582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sz w:val="24"/>
        </w:rPr>
      </w:pPr>
      <w:r>
        <w:rPr>
          <w:rFonts w:ascii="Times New Roman"/>
          <w:noProof/>
          <w:sz w:val="24"/>
        </w:rPr>
        <w:lastRenderedPageBreak/>
        <w:drawing>
          <wp:inline distT="0" distB="0" distL="0" distR="0" wp14:anchorId="728789D3" wp14:editId="54BF62BB">
            <wp:extent cx="4367174" cy="6998826"/>
            <wp:effectExtent l="0" t="0" r="0" b="0"/>
            <wp:docPr id="1970099724" name="그림 8" descr="텍스트, 도표, 스크린샷, 평행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099724" name="그림 8" descr="텍스트, 도표, 스크린샷, 평행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4318" cy="707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9BB9F" w14:textId="77777777" w:rsidR="00DF7582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b/>
          <w:bCs/>
          <w:sz w:val="24"/>
        </w:rPr>
      </w:pPr>
      <w:r>
        <w:rPr>
          <w:rFonts w:ascii="Times New Roman" w:hint="eastAsia"/>
          <w:b/>
          <w:bCs/>
          <w:sz w:val="24"/>
        </w:rPr>
        <w:t xml:space="preserve">Supplementary </w:t>
      </w:r>
      <w:r w:rsidRPr="000D3DDE">
        <w:rPr>
          <w:rFonts w:ascii="Times New Roman"/>
          <w:b/>
          <w:bCs/>
          <w:sz w:val="24"/>
        </w:rPr>
        <w:t>Fig</w:t>
      </w:r>
      <w:r>
        <w:rPr>
          <w:rFonts w:ascii="Times New Roman" w:hint="eastAsia"/>
          <w:b/>
          <w:bCs/>
          <w:sz w:val="24"/>
        </w:rPr>
        <w:t>ure</w:t>
      </w:r>
      <w:r w:rsidRPr="000D3DDE">
        <w:rPr>
          <w:rFonts w:ascii="Times New Roman"/>
          <w:b/>
          <w:bCs/>
          <w:sz w:val="24"/>
        </w:rPr>
        <w:t xml:space="preserve"> </w:t>
      </w:r>
      <w:r>
        <w:rPr>
          <w:rFonts w:ascii="Times New Roman" w:hint="eastAsia"/>
          <w:b/>
          <w:bCs/>
          <w:sz w:val="24"/>
        </w:rPr>
        <w:t>2</w:t>
      </w:r>
      <w:r w:rsidRPr="00BA4362">
        <w:rPr>
          <w:rFonts w:ascii="Times New Roman"/>
          <w:b/>
          <w:bCs/>
          <w:sz w:val="24"/>
        </w:rPr>
        <w:t>. Analysis of growth factors and RTK receptors in MED12 knock-out cell lines</w:t>
      </w:r>
      <w:r>
        <w:rPr>
          <w:rFonts w:ascii="Times New Roman"/>
          <w:b/>
          <w:bCs/>
          <w:sz w:val="24"/>
        </w:rPr>
        <w:t>.</w:t>
      </w:r>
    </w:p>
    <w:p w14:paraId="7CBFA118" w14:textId="77777777" w:rsidR="00DF7582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sz w:val="24"/>
        </w:rPr>
      </w:pPr>
      <w:r>
        <w:rPr>
          <w:rFonts w:ascii="Times New Roman" w:eastAsia="Malgun Gothic" w:hint="eastAsia"/>
          <w:b/>
          <w:bCs/>
          <w:color w:val="000000" w:themeColor="text1"/>
          <w:sz w:val="24"/>
        </w:rPr>
        <w:t>(A)</w:t>
      </w:r>
      <w:r w:rsidRPr="00BE185F">
        <w:rPr>
          <w:rFonts w:ascii="Times New Roman"/>
          <w:sz w:val="24"/>
        </w:rPr>
        <w:t xml:space="preserve"> </w:t>
      </w:r>
      <w:r w:rsidRPr="00BE185F">
        <w:rPr>
          <w:rFonts w:ascii="Times New Roman" w:eastAsia="Malgun Gothic"/>
          <w:color w:val="000000" w:themeColor="text1"/>
          <w:kern w:val="0"/>
          <w:sz w:val="24"/>
        </w:rPr>
        <w:t xml:space="preserve">Human Growth Factor Array Result. Culture media from MED12 knock-out cells (H3122 and PC9 cell lines), as well as their respective parental cell lines, were collected after 48 hours of incubation. </w:t>
      </w:r>
      <w:r w:rsidRPr="000761FA">
        <w:rPr>
          <w:rFonts w:ascii="Times New Roman" w:eastAsia="Malgun Gothic" w:hint="eastAsia"/>
          <w:b/>
          <w:bCs/>
          <w:color w:val="000000" w:themeColor="text1"/>
          <w:sz w:val="24"/>
        </w:rPr>
        <w:t>(</w:t>
      </w:r>
      <w:r>
        <w:rPr>
          <w:rFonts w:ascii="Times New Roman" w:eastAsia="Malgun Gothic" w:hint="eastAsia"/>
          <w:b/>
          <w:bCs/>
          <w:color w:val="000000" w:themeColor="text1"/>
          <w:sz w:val="24"/>
        </w:rPr>
        <w:t>B)</w:t>
      </w:r>
      <w:r w:rsidRPr="00BE185F">
        <w:rPr>
          <w:rFonts w:ascii="Times New Roman" w:eastAsia="Malgun Gothic"/>
          <w:color w:val="000000" w:themeColor="text1"/>
          <w:kern w:val="0"/>
          <w:sz w:val="24"/>
        </w:rPr>
        <w:t xml:space="preserve"> </w:t>
      </w:r>
      <w:r w:rsidRPr="00BE185F">
        <w:rPr>
          <w:rFonts w:ascii="Times New Roman"/>
          <w:sz w:val="24"/>
        </w:rPr>
        <w:t>Western blot analysis for RTK activation in the parental (H3122 and PC9) and MED12 KO (H3122/MED12 KO and PC9/MED12 KO) cell lines.</w:t>
      </w:r>
    </w:p>
    <w:p w14:paraId="5E9409DB" w14:textId="77777777" w:rsidR="00DF7582" w:rsidRDefault="00DF7582" w:rsidP="00DF7582">
      <w:pPr>
        <w:widowControl/>
        <w:wordWrap/>
        <w:autoSpaceDE/>
        <w:autoSpaceDN/>
        <w:spacing w:after="160" w:line="259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br w:type="page"/>
      </w:r>
      <w:r>
        <w:rPr>
          <w:rFonts w:ascii="Times New Roman"/>
          <w:noProof/>
          <w:sz w:val="24"/>
        </w:rPr>
        <w:lastRenderedPageBreak/>
        <w:drawing>
          <wp:inline distT="0" distB="0" distL="0" distR="0" wp14:anchorId="4D3B7C2B" wp14:editId="7E176E76">
            <wp:extent cx="4360545" cy="5841365"/>
            <wp:effectExtent l="0" t="0" r="1905" b="6985"/>
            <wp:docPr id="737729644" name="그림 9" descr="텍스트, 도표, 라인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729644" name="그림 9" descr="텍스트, 도표, 라인, 그래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545" cy="58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B0560" w14:textId="77777777" w:rsidR="00DF7582" w:rsidRPr="00BA4362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sz w:val="24"/>
        </w:rPr>
      </w:pPr>
      <w:r>
        <w:rPr>
          <w:rFonts w:ascii="Times New Roman" w:hint="eastAsia"/>
          <w:b/>
          <w:bCs/>
          <w:sz w:val="24"/>
        </w:rPr>
        <w:t xml:space="preserve">Supplementary </w:t>
      </w:r>
      <w:r w:rsidRPr="000D3DDE">
        <w:rPr>
          <w:rFonts w:ascii="Times New Roman"/>
          <w:b/>
          <w:bCs/>
          <w:sz w:val="24"/>
        </w:rPr>
        <w:t>Fig</w:t>
      </w:r>
      <w:r>
        <w:rPr>
          <w:rFonts w:ascii="Times New Roman" w:hint="eastAsia"/>
          <w:b/>
          <w:bCs/>
          <w:sz w:val="24"/>
        </w:rPr>
        <w:t>ure</w:t>
      </w:r>
      <w:r w:rsidRPr="000D3DDE">
        <w:rPr>
          <w:rFonts w:ascii="Times New Roman"/>
          <w:b/>
          <w:bCs/>
          <w:sz w:val="24"/>
        </w:rPr>
        <w:t xml:space="preserve"> </w:t>
      </w:r>
      <w:r>
        <w:rPr>
          <w:rFonts w:ascii="Times New Roman" w:hint="eastAsia"/>
          <w:b/>
          <w:bCs/>
          <w:sz w:val="24"/>
        </w:rPr>
        <w:t>3</w:t>
      </w:r>
      <w:r w:rsidRPr="000D3DDE">
        <w:rPr>
          <w:rFonts w:ascii="Times New Roman"/>
          <w:b/>
          <w:bCs/>
          <w:sz w:val="24"/>
        </w:rPr>
        <w:t xml:space="preserve">. </w:t>
      </w:r>
      <w:r w:rsidRPr="00BA4362">
        <w:rPr>
          <w:rFonts w:ascii="Times New Roman"/>
          <w:b/>
          <w:bCs/>
          <w:sz w:val="24"/>
        </w:rPr>
        <w:t>Analysis of survival endpoints in the lung adenocarcinoma patients from TCGA PanCancer Atlas dataset.</w:t>
      </w:r>
    </w:p>
    <w:p w14:paraId="091A2685" w14:textId="77777777" w:rsidR="00DF7582" w:rsidRPr="00BE185F" w:rsidRDefault="00DF7582" w:rsidP="00DF7582">
      <w:pPr>
        <w:wordWrap/>
        <w:adjustRightInd w:val="0"/>
        <w:spacing w:line="360" w:lineRule="auto"/>
        <w:jc w:val="left"/>
        <w:rPr>
          <w:rFonts w:ascii="Times New Roman" w:eastAsiaTheme="minorEastAsia"/>
          <w:kern w:val="0"/>
          <w:sz w:val="24"/>
        </w:rPr>
      </w:pPr>
      <w:r>
        <w:rPr>
          <w:rFonts w:ascii="Times New Roman" w:eastAsia="Malgun Gothic" w:hint="eastAsia"/>
          <w:b/>
          <w:bCs/>
          <w:color w:val="000000" w:themeColor="text1"/>
          <w:sz w:val="24"/>
        </w:rPr>
        <w:t>(A)</w:t>
      </w:r>
      <w:r w:rsidRPr="00BE185F">
        <w:rPr>
          <w:rFonts w:ascii="Times New Roman" w:eastAsiaTheme="minorEastAsia"/>
          <w:kern w:val="0"/>
          <w:sz w:val="24"/>
        </w:rPr>
        <w:t xml:space="preserve"> Overall survival according to the presence or absence of MED12 mutation. (Left: No</w:t>
      </w:r>
    </w:p>
    <w:p w14:paraId="4B446C7F" w14:textId="77777777" w:rsidR="00DF7582" w:rsidRPr="00BE185F" w:rsidRDefault="00DF7582" w:rsidP="00DF7582">
      <w:pPr>
        <w:wordWrap/>
        <w:adjustRightInd w:val="0"/>
        <w:spacing w:line="360" w:lineRule="auto"/>
        <w:jc w:val="left"/>
        <w:rPr>
          <w:rFonts w:ascii="Times New Roman" w:eastAsiaTheme="minorEastAsia"/>
          <w:kern w:val="0"/>
          <w:sz w:val="24"/>
        </w:rPr>
      </w:pPr>
      <w:r w:rsidRPr="00BE185F">
        <w:rPr>
          <w:rFonts w:ascii="Times New Roman" w:eastAsiaTheme="minorEastAsia"/>
          <w:kern w:val="0"/>
          <w:sz w:val="24"/>
        </w:rPr>
        <w:t>filtered patients, HR=1.643, p-value=0.0268; Right: anti-cancer drug treated patients,</w:t>
      </w:r>
    </w:p>
    <w:p w14:paraId="1B03161C" w14:textId="77777777" w:rsidR="00DF7582" w:rsidRPr="00BE185F" w:rsidRDefault="00DF7582" w:rsidP="00DF7582">
      <w:pPr>
        <w:wordWrap/>
        <w:adjustRightInd w:val="0"/>
        <w:spacing w:line="360" w:lineRule="auto"/>
        <w:jc w:val="left"/>
        <w:rPr>
          <w:rFonts w:ascii="Times New Roman" w:eastAsiaTheme="minorEastAsia"/>
          <w:kern w:val="0"/>
          <w:sz w:val="24"/>
        </w:rPr>
      </w:pPr>
      <w:r w:rsidRPr="00BE185F">
        <w:rPr>
          <w:rFonts w:ascii="Times New Roman" w:eastAsiaTheme="minorEastAsia"/>
          <w:kern w:val="0"/>
          <w:sz w:val="24"/>
        </w:rPr>
        <w:t xml:space="preserve">HR=1.621, p-value=0.103) </w:t>
      </w:r>
      <w:r w:rsidRPr="000761FA">
        <w:rPr>
          <w:rFonts w:ascii="Times New Roman" w:eastAsia="Malgun Gothic" w:hint="eastAsia"/>
          <w:b/>
          <w:bCs/>
          <w:color w:val="000000" w:themeColor="text1"/>
          <w:sz w:val="24"/>
        </w:rPr>
        <w:t>(</w:t>
      </w:r>
      <w:r>
        <w:rPr>
          <w:rFonts w:ascii="Times New Roman" w:eastAsia="Malgun Gothic" w:hint="eastAsia"/>
          <w:b/>
          <w:bCs/>
          <w:color w:val="000000" w:themeColor="text1"/>
          <w:sz w:val="24"/>
        </w:rPr>
        <w:t>B)</w:t>
      </w:r>
      <w:r w:rsidRPr="00BE185F">
        <w:rPr>
          <w:rFonts w:ascii="Times New Roman" w:eastAsiaTheme="minorEastAsia" w:hint="eastAsia"/>
          <w:kern w:val="0"/>
          <w:sz w:val="24"/>
        </w:rPr>
        <w:t xml:space="preserve"> </w:t>
      </w:r>
      <w:r w:rsidRPr="00BE185F">
        <w:rPr>
          <w:rFonts w:ascii="Times New Roman" w:eastAsiaTheme="minorEastAsia"/>
          <w:kern w:val="0"/>
          <w:sz w:val="24"/>
        </w:rPr>
        <w:t>Progression-free survival according to the presence or absence</w:t>
      </w:r>
      <w:r w:rsidRPr="00BE185F">
        <w:rPr>
          <w:rFonts w:ascii="Times New Roman" w:eastAsiaTheme="minorEastAsia" w:hint="eastAsia"/>
          <w:kern w:val="0"/>
          <w:sz w:val="24"/>
        </w:rPr>
        <w:t xml:space="preserve"> </w:t>
      </w:r>
      <w:r w:rsidRPr="00BE185F">
        <w:rPr>
          <w:rFonts w:ascii="Times New Roman" w:eastAsiaTheme="minorEastAsia"/>
          <w:kern w:val="0"/>
          <w:sz w:val="24"/>
        </w:rPr>
        <w:t>of MED12 mutation. (Left: No filtered patients, HR=1.502, p-value=0.0589; Right: anti-cancer</w:t>
      </w:r>
      <w:r w:rsidRPr="00BE185F">
        <w:rPr>
          <w:rFonts w:ascii="Times New Roman" w:eastAsiaTheme="minorEastAsia" w:hint="eastAsia"/>
          <w:kern w:val="0"/>
          <w:sz w:val="24"/>
        </w:rPr>
        <w:t xml:space="preserve"> </w:t>
      </w:r>
      <w:r w:rsidRPr="00BE185F">
        <w:rPr>
          <w:rFonts w:ascii="Times New Roman" w:eastAsiaTheme="minorEastAsia"/>
          <w:kern w:val="0"/>
          <w:sz w:val="24"/>
        </w:rPr>
        <w:t>drug treated patients, HR=1.521, p-value=0.106)</w:t>
      </w:r>
    </w:p>
    <w:p w14:paraId="6073FF12" w14:textId="77777777" w:rsidR="00DF7582" w:rsidRDefault="00DF7582" w:rsidP="00DF7582">
      <w:pPr>
        <w:widowControl/>
        <w:wordWrap/>
        <w:autoSpaceDE/>
        <w:autoSpaceDN/>
        <w:spacing w:after="160" w:line="259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br w:type="page"/>
      </w:r>
    </w:p>
    <w:p w14:paraId="5D0D39A4" w14:textId="77777777" w:rsidR="00DF7582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sz w:val="24"/>
        </w:rPr>
      </w:pPr>
      <w:r>
        <w:rPr>
          <w:rFonts w:ascii="Times New Roman"/>
          <w:noProof/>
          <w:sz w:val="24"/>
        </w:rPr>
        <w:lastRenderedPageBreak/>
        <w:drawing>
          <wp:inline distT="0" distB="0" distL="0" distR="0" wp14:anchorId="63F593D6" wp14:editId="5F355307">
            <wp:extent cx="5725160" cy="5923280"/>
            <wp:effectExtent l="0" t="0" r="8890" b="1270"/>
            <wp:docPr id="887234873" name="그림 10" descr="텍스트, 도표, 지도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234873" name="그림 10" descr="텍스트, 도표, 지도, 라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92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93C31" w14:textId="77777777" w:rsidR="00DF7582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sz w:val="24"/>
        </w:rPr>
      </w:pPr>
      <w:r>
        <w:rPr>
          <w:rFonts w:ascii="Times New Roman" w:hint="eastAsia"/>
          <w:b/>
          <w:bCs/>
          <w:sz w:val="24"/>
        </w:rPr>
        <w:t xml:space="preserve">Supplementary </w:t>
      </w:r>
      <w:r w:rsidRPr="000D3DDE">
        <w:rPr>
          <w:rFonts w:ascii="Times New Roman"/>
          <w:b/>
          <w:bCs/>
          <w:sz w:val="24"/>
        </w:rPr>
        <w:t>Fig</w:t>
      </w:r>
      <w:r>
        <w:rPr>
          <w:rFonts w:ascii="Times New Roman" w:hint="eastAsia"/>
          <w:b/>
          <w:bCs/>
          <w:sz w:val="24"/>
        </w:rPr>
        <w:t>ure</w:t>
      </w:r>
      <w:r w:rsidRPr="000D3DDE">
        <w:rPr>
          <w:rFonts w:ascii="Times New Roman"/>
          <w:b/>
          <w:bCs/>
          <w:sz w:val="24"/>
        </w:rPr>
        <w:t xml:space="preserve"> </w:t>
      </w:r>
      <w:r>
        <w:rPr>
          <w:rFonts w:ascii="Times New Roman" w:hint="eastAsia"/>
          <w:b/>
          <w:bCs/>
          <w:sz w:val="24"/>
        </w:rPr>
        <w:t>4</w:t>
      </w:r>
      <w:r w:rsidRPr="00BA4362">
        <w:rPr>
          <w:rFonts w:ascii="Times New Roman"/>
          <w:b/>
          <w:bCs/>
          <w:sz w:val="24"/>
        </w:rPr>
        <w:t>. Analysis of survival endpoints in the NSCLC patients from Gene Expression Omnibus (GEO) dataset.</w:t>
      </w:r>
    </w:p>
    <w:p w14:paraId="6337080E" w14:textId="77777777" w:rsidR="00DF7582" w:rsidRPr="00BE185F" w:rsidRDefault="00DF7582" w:rsidP="00DF7582">
      <w:pPr>
        <w:widowControl/>
        <w:wordWrap/>
        <w:autoSpaceDE/>
        <w:autoSpaceDN/>
        <w:spacing w:line="360" w:lineRule="auto"/>
        <w:rPr>
          <w:rFonts w:ascii="Times New Roman"/>
          <w:bCs/>
          <w:sz w:val="24"/>
        </w:rPr>
      </w:pPr>
      <w:r>
        <w:rPr>
          <w:rFonts w:ascii="Times New Roman" w:eastAsia="Malgun Gothic" w:hint="eastAsia"/>
          <w:b/>
          <w:bCs/>
          <w:color w:val="000000" w:themeColor="text1"/>
          <w:sz w:val="24"/>
        </w:rPr>
        <w:t>(A)</w:t>
      </w:r>
      <w:r w:rsidRPr="00BE185F">
        <w:rPr>
          <w:rFonts w:ascii="Times New Roman"/>
          <w:bCs/>
          <w:color w:val="000000" w:themeColor="text1"/>
          <w:sz w:val="24"/>
        </w:rPr>
        <w:t xml:space="preserve"> Overall survival according to the MED12 mRNA expression level. (Left: GSE3141 dataset,</w:t>
      </w:r>
    </w:p>
    <w:p w14:paraId="513CDC46" w14:textId="77777777" w:rsidR="00DF7582" w:rsidRDefault="00DF7582" w:rsidP="00DF7582">
      <w:pPr>
        <w:wordWrap/>
        <w:spacing w:line="360" w:lineRule="auto"/>
        <w:rPr>
          <w:rFonts w:ascii="Times New Roman"/>
          <w:bCs/>
          <w:color w:val="000000" w:themeColor="text1"/>
          <w:sz w:val="24"/>
        </w:rPr>
      </w:pPr>
      <w:r w:rsidRPr="00BE185F">
        <w:rPr>
          <w:rFonts w:ascii="Times New Roman"/>
          <w:bCs/>
          <w:color w:val="000000" w:themeColor="text1"/>
          <w:sz w:val="24"/>
        </w:rPr>
        <w:t>Probe ID=211342_x_at, HR=1.786, p-value=0.031; Right: GSE29013 dataset, Probe ID=203506_s_at, HR=1.961, p-value=0.17)</w:t>
      </w:r>
      <w:r w:rsidRPr="00BE185F">
        <w:rPr>
          <w:rFonts w:ascii="Times New Roman" w:hint="eastAsia"/>
          <w:bCs/>
          <w:color w:val="000000" w:themeColor="text1"/>
          <w:sz w:val="24"/>
        </w:rPr>
        <w:t xml:space="preserve"> </w:t>
      </w:r>
      <w:r w:rsidRPr="000761FA">
        <w:rPr>
          <w:rFonts w:ascii="Times New Roman" w:eastAsia="Malgun Gothic" w:hint="eastAsia"/>
          <w:b/>
          <w:bCs/>
          <w:color w:val="000000" w:themeColor="text1"/>
          <w:sz w:val="24"/>
        </w:rPr>
        <w:t>(</w:t>
      </w:r>
      <w:r>
        <w:rPr>
          <w:rFonts w:ascii="Times New Roman" w:eastAsia="Malgun Gothic" w:hint="eastAsia"/>
          <w:b/>
          <w:bCs/>
          <w:color w:val="000000" w:themeColor="text1"/>
          <w:sz w:val="24"/>
        </w:rPr>
        <w:t>B)</w:t>
      </w:r>
      <w:r w:rsidRPr="00BE185F">
        <w:rPr>
          <w:rFonts w:ascii="Times New Roman"/>
          <w:bCs/>
          <w:color w:val="000000" w:themeColor="text1"/>
          <w:sz w:val="24"/>
        </w:rPr>
        <w:t xml:space="preserve"> First-progression survival according the MED12 mRNA expression level. (Left: GSE29013 dataset, Probe ID=203506_s_at, HR=1.754, p-value=0.15; Right: GSE68465, Probe ID=211342_x_at, HR=1.538, p-value=0.002</w:t>
      </w:r>
    </w:p>
    <w:p w14:paraId="26DB4572" w14:textId="77777777" w:rsidR="00DF7582" w:rsidRPr="000524CE" w:rsidRDefault="00DF7582" w:rsidP="00DF7582">
      <w:pPr>
        <w:wordWrap/>
        <w:spacing w:line="360" w:lineRule="auto"/>
        <w:rPr>
          <w:rFonts w:ascii="Times New Roman"/>
          <w:bCs/>
          <w:color w:val="000000" w:themeColor="text1"/>
          <w:sz w:val="24"/>
        </w:rPr>
      </w:pPr>
    </w:p>
    <w:p w14:paraId="4813CF31" w14:textId="77777777" w:rsidR="008C374B" w:rsidRDefault="008C374B"/>
    <w:sectPr w:rsidR="008C374B" w:rsidSect="00DF7582">
      <w:footerReference w:type="default" r:id="rId8"/>
      <w:pgSz w:w="11901" w:h="16817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3173447"/>
      <w:docPartObj>
        <w:docPartGallery w:val="Page Numbers (Bottom of Page)"/>
        <w:docPartUnique/>
      </w:docPartObj>
    </w:sdtPr>
    <w:sdtContent>
      <w:p w14:paraId="1BBF2F07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60AF8">
          <w:rPr>
            <w:noProof/>
            <w:lang w:val="ko-KR"/>
          </w:rPr>
          <w:t>20</w:t>
        </w:r>
        <w:r>
          <w:fldChar w:fldCharType="end"/>
        </w:r>
      </w:p>
    </w:sdtContent>
  </w:sdt>
  <w:p w14:paraId="107BE03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582"/>
    <w:rsid w:val="000F40FE"/>
    <w:rsid w:val="002A5090"/>
    <w:rsid w:val="003F36CB"/>
    <w:rsid w:val="005C6F5D"/>
    <w:rsid w:val="007620B2"/>
    <w:rsid w:val="008C374B"/>
    <w:rsid w:val="00954821"/>
    <w:rsid w:val="00A800EA"/>
    <w:rsid w:val="00AF416B"/>
    <w:rsid w:val="00DF7582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3702B"/>
  <w15:chartTrackingRefBased/>
  <w15:docId w15:val="{A3A34E6E-15B6-469E-8C0C-A424EBA44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58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7582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7582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7582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7582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7582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7582"/>
    <w:pPr>
      <w:keepNext/>
      <w:keepLines/>
      <w:widowControl/>
      <w:wordWrap/>
      <w:autoSpaceDE/>
      <w:autoSpaceDN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7582"/>
    <w:pPr>
      <w:keepNext/>
      <w:keepLines/>
      <w:widowControl/>
      <w:wordWrap/>
      <w:autoSpaceDE/>
      <w:autoSpaceDN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7582"/>
    <w:pPr>
      <w:keepNext/>
      <w:keepLines/>
      <w:widowControl/>
      <w:wordWrap/>
      <w:autoSpaceDE/>
      <w:autoSpaceDN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7582"/>
    <w:pPr>
      <w:keepNext/>
      <w:keepLines/>
      <w:widowControl/>
      <w:wordWrap/>
      <w:autoSpaceDE/>
      <w:autoSpaceDN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75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75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75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75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75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75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75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75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75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7582"/>
    <w:pPr>
      <w:widowControl/>
      <w:wordWrap/>
      <w:autoSpaceDE/>
      <w:autoSpaceDN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75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7582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75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7582"/>
    <w:pPr>
      <w:widowControl/>
      <w:wordWrap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75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7582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75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758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75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758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DF7582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F7582"/>
    <w:rPr>
      <w:rFonts w:ascii="Batang" w:eastAsia="Batang" w:hAnsi="Times New Roman" w:cs="Times New Roman"/>
      <w:sz w:val="20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296</Words>
  <Characters>1690</Characters>
  <Application>Microsoft Office Word</Application>
  <DocSecurity>0</DocSecurity>
  <Lines>14</Lines>
  <Paragraphs>3</Paragraphs>
  <ScaleCrop>false</ScaleCrop>
  <Company>Springer Nature</Company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2025-04-10T04:45:00Z</dcterms:created>
  <dcterms:modified xsi:type="dcterms:W3CDTF">2025-04-10T04:45:00Z</dcterms:modified>
</cp:coreProperties>
</file>