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14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7"/>
        <w:gridCol w:w="1193"/>
        <w:gridCol w:w="996"/>
        <w:gridCol w:w="1085"/>
        <w:gridCol w:w="1067"/>
        <w:gridCol w:w="1528"/>
        <w:gridCol w:w="1082"/>
        <w:gridCol w:w="1472"/>
      </w:tblGrid>
      <w:tr w:rsidR="00FA5233" w:rsidRPr="00FA5233" w:rsidTr="00FA5233">
        <w:trPr>
          <w:trHeight w:val="870"/>
        </w:trPr>
        <w:tc>
          <w:tcPr>
            <w:tcW w:w="0" w:type="auto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Field</w:t>
            </w:r>
          </w:p>
        </w:tc>
        <w:tc>
          <w:tcPr>
            <w:tcW w:w="0" w:type="auto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Pathology</w:t>
            </w:r>
            <w:proofErr w:type="spellEnd"/>
          </w:p>
        </w:tc>
        <w:tc>
          <w:tcPr>
            <w:tcW w:w="0" w:type="auto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 xml:space="preserve">Systems </w:t>
            </w: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Medicine</w:t>
            </w:r>
            <w:proofErr w:type="spellEnd"/>
          </w:p>
        </w:tc>
        <w:tc>
          <w:tcPr>
            <w:tcW w:w="0" w:type="auto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Systems Biology</w:t>
            </w:r>
          </w:p>
        </w:tc>
        <w:tc>
          <w:tcPr>
            <w:tcW w:w="0" w:type="auto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Molecular</w:t>
            </w:r>
            <w:proofErr w:type="spellEnd"/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 xml:space="preserve"> Biology</w:t>
            </w:r>
          </w:p>
        </w:tc>
        <w:tc>
          <w:tcPr>
            <w:tcW w:w="0" w:type="auto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Hematology</w:t>
            </w:r>
            <w:proofErr w:type="spellEnd"/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 xml:space="preserve">/ </w:t>
            </w: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Oncology</w:t>
            </w:r>
            <w:proofErr w:type="spellEnd"/>
          </w:p>
        </w:tc>
        <w:tc>
          <w:tcPr>
            <w:tcW w:w="0" w:type="auto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 xml:space="preserve">Human </w:t>
            </w: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Genetics</w:t>
            </w:r>
            <w:proofErr w:type="spellEnd"/>
          </w:p>
        </w:tc>
        <w:tc>
          <w:tcPr>
            <w:tcW w:w="1573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de-DE"/>
              </w:rPr>
            </w:pP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lang w:eastAsia="de-DE"/>
              </w:rPr>
              <w:t>Bioinformatics</w:t>
            </w:r>
            <w:proofErr w:type="spellEnd"/>
          </w:p>
        </w:tc>
      </w:tr>
      <w:tr w:rsidR="00FA5233" w:rsidRPr="00FA5233" w:rsidTr="00FA5233">
        <w:trPr>
          <w:trHeight w:val="84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Quote</w:t>
            </w:r>
          </w:p>
        </w:tc>
        <w:tc>
          <w:tcPr>
            <w:tcW w:w="8289" w:type="dxa"/>
            <w:gridSpan w:val="7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 w:eastAsia="de-DE"/>
              </w:rPr>
              <w:t>“I wish for a visualization format for Patient-Reported Outcomes (PROs) that effectively and efficiently supports me in discussing a patient case within the setting of the Molecular Tumor Board. It should help me identify changes in a patient’s progress early on and enable improved and more targeted therapy decisions.”</w:t>
            </w:r>
          </w:p>
        </w:tc>
      </w:tr>
      <w:tr w:rsidR="00FA5233" w:rsidRPr="00FA5233" w:rsidTr="00FA5233">
        <w:trPr>
          <w:trHeight w:val="426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Fictitious</w:t>
            </w:r>
            <w:proofErr w:type="spellEnd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name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Dr. Gabriele Schmitt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Dr. Matthias Müller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Dr. Sabrina Weber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Dr. Malte Fischer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Dr. Stefan Becker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Dr. Sheng Wagner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Dr. Sebastian Meyer</w:t>
            </w:r>
          </w:p>
        </w:tc>
      </w:tr>
      <w:tr w:rsidR="00FA5233" w:rsidRPr="00FA5233" w:rsidTr="00FA5233">
        <w:trPr>
          <w:trHeight w:val="288"/>
        </w:trPr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Position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Medical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specialist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Scientific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employee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Scientific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employee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Scientific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employee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Medical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specialist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Medical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specialist</w:t>
            </w:r>
            <w:proofErr w:type="spellEnd"/>
          </w:p>
        </w:tc>
        <w:tc>
          <w:tcPr>
            <w:tcW w:w="1573" w:type="dxa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Scientific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employee</w:t>
            </w:r>
            <w:proofErr w:type="spellEnd"/>
          </w:p>
        </w:tc>
      </w:tr>
      <w:tr w:rsidR="00FA5233" w:rsidRPr="00FA5233" w:rsidTr="00FA5233">
        <w:trPr>
          <w:trHeight w:val="294"/>
        </w:trPr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573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FA5233" w:rsidRPr="00FA5233" w:rsidTr="00FA5233">
        <w:trPr>
          <w:trHeight w:val="546"/>
        </w:trPr>
        <w:tc>
          <w:tcPr>
            <w:tcW w:w="0" w:type="auto"/>
            <w:tcBorders>
              <w:top w:val="nil"/>
              <w:left w:val="single" w:sz="8" w:space="0" w:color="BFBFBF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Institute/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Institute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of</w:t>
            </w:r>
            <w:proofErr w:type="spellEnd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Pathology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Core Unit for Systems Medicine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Department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for</w:t>
            </w:r>
            <w:proofErr w:type="spellEnd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 Systems Biology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Institute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for</w:t>
            </w:r>
            <w:proofErr w:type="spellEnd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Molecular</w:t>
            </w:r>
            <w:proofErr w:type="spellEnd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 Biology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Clinic for Hematology &amp; Internal Oncology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Institute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of</w:t>
            </w:r>
            <w:proofErr w:type="spellEnd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 Human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Genetics</w:t>
            </w:r>
            <w:proofErr w:type="spellEnd"/>
          </w:p>
        </w:tc>
        <w:tc>
          <w:tcPr>
            <w:tcW w:w="1573" w:type="dxa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Institute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for</w:t>
            </w:r>
            <w:proofErr w:type="spellEnd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Bioinformatics</w:t>
            </w:r>
            <w:proofErr w:type="spellEnd"/>
          </w:p>
        </w:tc>
      </w:tr>
      <w:tr w:rsidR="00FA5233" w:rsidRPr="00FA5233" w:rsidTr="00FA5233">
        <w:trPr>
          <w:trHeight w:val="294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Clinic</w:t>
            </w:r>
            <w:proofErr w:type="spellEnd"/>
          </w:p>
        </w:tc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573" w:type="dxa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</w:tc>
      </w:tr>
      <w:tr w:rsidR="00FA5233" w:rsidRPr="00FA5233" w:rsidTr="00FA5233">
        <w:trPr>
          <w:trHeight w:val="6726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Typical</w:t>
            </w:r>
            <w:proofErr w:type="spellEnd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tasks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Clinically-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oncologically</w:t>
            </w:r>
            <w:proofErr w:type="spellEnd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 xml:space="preserve"> relevant molecular tumor diagnostics; differential diagnostic distinction; investigation of changes in patients' genetic information; genetic characterization of tumors; support for diagnostic assessment and therapeutic decision-making; statements about disease progression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Connection of system-oriented information with clinical patient data; simulation of pathological processes and the underlying mechanisms on the computer to non-invasively test intervention options for their effectiveness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Use of computer algorithms and mathematical models to collect, process, and analyze large amounts of clinical and biological data, and to build a profound (mechanistic) understanding of severe diseases; the models developed in this way can assist physicians in making faster decisions about the optimal (and personalized) patient treatment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Conducting molecular biological analyses; performing DNA sequencing; collecting and evaluating data; interpretation of research findings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Prevention and research of tumors; confirmation of diagnosis/monitoring of cancer/proof of treatment success via biopsy, imaging techniques, colonoscopy, histology and cytology, tumor markers; counseling of patients and relatives regarding possible measures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Differential diagnostic clarification, individual risk assessment, and human genetic counseling for genetically predisposed or associated tumor disposition; conducting, evaluating, and reporting on molecular genetic investigations; conducting analyses and reporting on the detection of somatic mutations in various tissues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Simulation of biochemical processes and biological data, such as the structure of DNA molecules or proteins on the screen; handling various bioinformatics databases; visualization of the structure of specific molecules or other compounds and application of these models in further procedures; development of software tools for data preparation, evaluation, and analysis</w:t>
            </w:r>
          </w:p>
        </w:tc>
      </w:tr>
      <w:tr w:rsidR="00FA5233" w:rsidRPr="00FA5233" w:rsidTr="00FA5233">
        <w:trPr>
          <w:trHeight w:val="294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50-59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years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30-40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years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30-40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years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30-40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years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50-59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years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50-59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years</w:t>
            </w:r>
            <w:proofErr w:type="spellEnd"/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30-45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years</w:t>
            </w:r>
            <w:proofErr w:type="spellEnd"/>
          </w:p>
        </w:tc>
      </w:tr>
      <w:tr w:rsidR="00FA5233" w:rsidRPr="00FA5233" w:rsidTr="00FA5233">
        <w:trPr>
          <w:trHeight w:val="294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Language</w:t>
            </w:r>
          </w:p>
        </w:tc>
        <w:tc>
          <w:tcPr>
            <w:tcW w:w="8289" w:type="dxa"/>
            <w:gridSpan w:val="7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German</w:t>
            </w:r>
          </w:p>
        </w:tc>
      </w:tr>
      <w:tr w:rsidR="00FA5233" w:rsidRPr="00FA5233" w:rsidTr="00FA5233">
        <w:trPr>
          <w:trHeight w:val="426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 xml:space="preserve">Professional </w:t>
            </w: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experience</w:t>
            </w:r>
            <w:proofErr w:type="spellEnd"/>
          </w:p>
        </w:tc>
        <w:tc>
          <w:tcPr>
            <w:tcW w:w="8289" w:type="dxa"/>
            <w:gridSpan w:val="7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High</w:t>
            </w:r>
          </w:p>
        </w:tc>
      </w:tr>
      <w:tr w:rsidR="00FA5233" w:rsidRPr="00FA5233" w:rsidTr="00FA5233">
        <w:trPr>
          <w:trHeight w:val="426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 xml:space="preserve">MTB </w:t>
            </w: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experience</w:t>
            </w:r>
            <w:proofErr w:type="spellEnd"/>
          </w:p>
        </w:tc>
        <w:tc>
          <w:tcPr>
            <w:tcW w:w="8289" w:type="dxa"/>
            <w:gridSpan w:val="7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High,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frequent</w:t>
            </w:r>
            <w:proofErr w:type="spellEnd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participation</w:t>
            </w:r>
            <w:proofErr w:type="spellEnd"/>
          </w:p>
        </w:tc>
      </w:tr>
      <w:tr w:rsidR="00FA5233" w:rsidRPr="00FA5233" w:rsidTr="00FA5233">
        <w:trPr>
          <w:trHeight w:val="426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cBioPortal</w:t>
            </w:r>
            <w:proofErr w:type="spellEnd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experience</w:t>
            </w:r>
            <w:proofErr w:type="spellEnd"/>
          </w:p>
        </w:tc>
        <w:tc>
          <w:tcPr>
            <w:tcW w:w="8289" w:type="dxa"/>
            <w:gridSpan w:val="7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Medium-High</w:t>
            </w:r>
          </w:p>
        </w:tc>
      </w:tr>
      <w:tr w:rsidR="00FA5233" w:rsidRPr="00FA5233" w:rsidTr="00FA5233">
        <w:trPr>
          <w:trHeight w:val="426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 xml:space="preserve">PROMs </w:t>
            </w: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experience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Medium-High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None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None</w:t>
            </w:r>
          </w:p>
        </w:tc>
      </w:tr>
      <w:tr w:rsidR="00FA5233" w:rsidRPr="00FA5233" w:rsidTr="00FA5233">
        <w:trPr>
          <w:trHeight w:val="288"/>
        </w:trPr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Goals</w:t>
            </w:r>
          </w:p>
        </w:tc>
        <w:tc>
          <w:tcPr>
            <w:tcW w:w="8289" w:type="dxa"/>
            <w:gridSpan w:val="7"/>
            <w:tcBorders>
              <w:top w:val="single" w:sz="8" w:space="0" w:color="BFBFBF"/>
              <w:left w:val="nil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Primary:</w:t>
            </w:r>
          </w:p>
        </w:tc>
      </w:tr>
      <w:tr w:rsidR="00FA5233" w:rsidRPr="00FA5233" w:rsidTr="00FA5233">
        <w:trPr>
          <w:trHeight w:val="288"/>
        </w:trPr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289" w:type="dxa"/>
            <w:gridSpan w:val="7"/>
            <w:tcBorders>
              <w:top w:val="nil"/>
              <w:left w:val="nil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ind w:firstLineChars="500" w:firstLine="800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·</w:t>
            </w:r>
            <w:r w:rsidRPr="00FA5233">
              <w:rPr>
                <w:rFonts w:eastAsia="Times New Roman" w:cstheme="minorHAnsi"/>
                <w:color w:val="000000"/>
                <w:sz w:val="14"/>
                <w:szCs w:val="14"/>
                <w:lang w:val="en-US" w:eastAsia="de-DE"/>
              </w:rPr>
              <w:t xml:space="preserve">        </w:t>
            </w: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Improved treatment decisions by incorporating the patient's perspective</w:t>
            </w:r>
          </w:p>
        </w:tc>
      </w:tr>
      <w:tr w:rsidR="00FA5233" w:rsidRPr="00FA5233" w:rsidTr="00FA5233">
        <w:trPr>
          <w:trHeight w:val="288"/>
        </w:trPr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8289" w:type="dxa"/>
            <w:gridSpan w:val="7"/>
            <w:tcBorders>
              <w:top w:val="nil"/>
              <w:left w:val="nil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ind w:firstLineChars="500" w:firstLine="800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·</w:t>
            </w:r>
            <w:r w:rsidRPr="00FA5233">
              <w:rPr>
                <w:rFonts w:eastAsia="Times New Roman" w:cstheme="minorHAnsi"/>
                <w:color w:val="000000"/>
                <w:sz w:val="14"/>
                <w:szCs w:val="14"/>
                <w:lang w:val="en-US" w:eastAsia="de-DE"/>
              </w:rPr>
              <w:t xml:space="preserve">        </w:t>
            </w: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Improvement in the quality of care</w:t>
            </w:r>
          </w:p>
        </w:tc>
      </w:tr>
      <w:tr w:rsidR="00FA5233" w:rsidRPr="00FA5233" w:rsidTr="00FA5233">
        <w:trPr>
          <w:trHeight w:val="288"/>
        </w:trPr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8289" w:type="dxa"/>
            <w:gridSpan w:val="7"/>
            <w:tcBorders>
              <w:top w:val="nil"/>
              <w:left w:val="nil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  <w:p w:rsid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</w:p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</w:pPr>
            <w:bookmarkStart w:id="0" w:name="_GoBack"/>
            <w:bookmarkEnd w:id="0"/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lastRenderedPageBreak/>
              <w:t>Secondary</w:t>
            </w:r>
            <w:proofErr w:type="spellEnd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:</w:t>
            </w:r>
          </w:p>
        </w:tc>
      </w:tr>
      <w:tr w:rsidR="00FA5233" w:rsidRPr="00FA5233" w:rsidTr="00FA5233">
        <w:trPr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8289" w:type="dxa"/>
            <w:gridSpan w:val="7"/>
            <w:tcBorders>
              <w:top w:val="nil"/>
              <w:left w:val="nil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ind w:firstLineChars="500" w:firstLine="800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·</w:t>
            </w:r>
            <w:r w:rsidRPr="00FA5233">
              <w:rPr>
                <w:rFonts w:eastAsia="Times New Roman" w:cstheme="minorHAnsi"/>
                <w:color w:val="000000"/>
                <w:sz w:val="14"/>
                <w:szCs w:val="14"/>
                <w:lang w:val="en-US" w:eastAsia="de-DE"/>
              </w:rPr>
              <w:t xml:space="preserve">        </w:t>
            </w: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Support for shared decision-making or improved communication when discussing treatment results/outcomes with the patient (downstream)</w:t>
            </w:r>
          </w:p>
        </w:tc>
      </w:tr>
      <w:tr w:rsidR="00FA5233" w:rsidRPr="00FA5233" w:rsidTr="00FA5233">
        <w:trPr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8289" w:type="dxa"/>
            <w:gridSpan w:val="7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ind w:firstLineChars="500" w:firstLine="800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·</w:t>
            </w:r>
            <w:r w:rsidRPr="00FA5233">
              <w:rPr>
                <w:rFonts w:eastAsia="Times New Roman" w:cstheme="minorHAnsi"/>
                <w:color w:val="000000"/>
                <w:sz w:val="14"/>
                <w:szCs w:val="14"/>
                <w:lang w:val="en-US" w:eastAsia="de-DE"/>
              </w:rPr>
              <w:t xml:space="preserve">        </w:t>
            </w: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Use of aggregated PROMs scores in clinical trials to inform patients about the benefits and risks of treatment</w:t>
            </w:r>
          </w:p>
        </w:tc>
      </w:tr>
      <w:tr w:rsidR="00FA5233" w:rsidRPr="00FA5233" w:rsidTr="00FA5233">
        <w:trPr>
          <w:trHeight w:val="288"/>
        </w:trPr>
        <w:tc>
          <w:tcPr>
            <w:tcW w:w="0" w:type="auto"/>
            <w:vMerge w:val="restar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FA523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de-DE"/>
              </w:rPr>
              <w:t>Fears</w:t>
            </w:r>
            <w:proofErr w:type="spellEnd"/>
          </w:p>
        </w:tc>
        <w:tc>
          <w:tcPr>
            <w:tcW w:w="8289" w:type="dxa"/>
            <w:gridSpan w:val="7"/>
            <w:tcBorders>
              <w:top w:val="single" w:sz="8" w:space="0" w:color="BFBFBF"/>
              <w:left w:val="nil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ind w:firstLineChars="500" w:firstLine="800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·</w:t>
            </w:r>
            <w:r w:rsidRPr="00FA5233">
              <w:rPr>
                <w:rFonts w:eastAsia="Times New Roman" w:cstheme="minorHAnsi"/>
                <w:color w:val="000000"/>
                <w:sz w:val="14"/>
                <w:szCs w:val="14"/>
                <w:lang w:val="en-US" w:eastAsia="de-DE"/>
              </w:rPr>
              <w:t xml:space="preserve">        </w:t>
            </w: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 xml:space="preserve">Poor integration in </w:t>
            </w:r>
            <w:proofErr w:type="spellStart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cBioPortal</w:t>
            </w:r>
            <w:proofErr w:type="spellEnd"/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, cumbersome access</w:t>
            </w:r>
          </w:p>
        </w:tc>
      </w:tr>
      <w:tr w:rsidR="00FA5233" w:rsidRPr="00FA5233" w:rsidTr="00FA5233">
        <w:trPr>
          <w:trHeight w:val="288"/>
        </w:trPr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8289" w:type="dxa"/>
            <w:gridSpan w:val="7"/>
            <w:tcBorders>
              <w:top w:val="nil"/>
              <w:left w:val="nil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ind w:firstLineChars="500" w:firstLine="800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·</w:t>
            </w:r>
            <w:r w:rsidRPr="00FA5233">
              <w:rPr>
                <w:rFonts w:eastAsia="Times New Roman" w:cstheme="minorHAnsi"/>
                <w:color w:val="000000"/>
                <w:sz w:val="14"/>
                <w:szCs w:val="14"/>
                <w:lang w:val="en-US" w:eastAsia="de-DE"/>
              </w:rPr>
              <w:t xml:space="preserve">        </w:t>
            </w: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Poorly designed user interface (confusing, incomprehensible designations, etc.)</w:t>
            </w:r>
          </w:p>
        </w:tc>
      </w:tr>
      <w:tr w:rsidR="00FA5233" w:rsidRPr="00FA5233" w:rsidTr="00FA5233">
        <w:trPr>
          <w:trHeight w:val="294"/>
        </w:trPr>
        <w:tc>
          <w:tcPr>
            <w:tcW w:w="0" w:type="auto"/>
            <w:vMerge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8289" w:type="dxa"/>
            <w:gridSpan w:val="7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:rsidR="00FA5233" w:rsidRPr="00FA5233" w:rsidRDefault="00FA5233" w:rsidP="00FA5233">
            <w:pPr>
              <w:spacing w:after="0" w:line="240" w:lineRule="auto"/>
              <w:ind w:firstLineChars="500" w:firstLine="800"/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</w:pP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eastAsia="de-DE"/>
              </w:rPr>
              <w:t>·</w:t>
            </w:r>
            <w:r w:rsidRPr="00FA5233">
              <w:rPr>
                <w:rFonts w:eastAsia="Times New Roman" w:cstheme="minorHAnsi"/>
                <w:color w:val="000000"/>
                <w:sz w:val="14"/>
                <w:szCs w:val="14"/>
                <w:lang w:val="en-US" w:eastAsia="de-DE"/>
              </w:rPr>
              <w:t xml:space="preserve">        </w:t>
            </w:r>
            <w:r w:rsidRPr="00FA5233">
              <w:rPr>
                <w:rFonts w:eastAsia="Times New Roman" w:cstheme="minorHAnsi"/>
                <w:color w:val="000000"/>
                <w:sz w:val="16"/>
                <w:szCs w:val="16"/>
                <w:lang w:val="en-US" w:eastAsia="de-DE"/>
              </w:rPr>
              <w:t>Incomplete or outdated information of PROMs</w:t>
            </w:r>
          </w:p>
        </w:tc>
      </w:tr>
    </w:tbl>
    <w:p w:rsidR="001A72D9" w:rsidRPr="00FA5233" w:rsidRDefault="001A72D9">
      <w:pPr>
        <w:rPr>
          <w:rFonts w:cstheme="minorHAnsi"/>
          <w:lang w:val="en-US"/>
        </w:rPr>
      </w:pPr>
    </w:p>
    <w:sectPr w:rsidR="001A72D9" w:rsidRPr="00FA523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ECC"/>
    <w:rsid w:val="001A72D9"/>
    <w:rsid w:val="00386ECC"/>
    <w:rsid w:val="008D7CD7"/>
    <w:rsid w:val="00FA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FC1F2"/>
  <w15:chartTrackingRefBased/>
  <w15:docId w15:val="{1DD95704-6B83-44A0-A867-3E29382BF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44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530</Words>
  <Characters>3344</Characters>
  <Application>Microsoft Office Word</Application>
  <DocSecurity>0</DocSecurity>
  <Lines>27</Lines>
  <Paragraphs>7</Paragraphs>
  <ScaleCrop>false</ScaleCrop>
  <Company>HP</Company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</dc:creator>
  <cp:keywords/>
  <dc:description/>
  <cp:lastModifiedBy>Markus</cp:lastModifiedBy>
  <cp:revision>2</cp:revision>
  <dcterms:created xsi:type="dcterms:W3CDTF">2025-05-05T08:02:00Z</dcterms:created>
  <dcterms:modified xsi:type="dcterms:W3CDTF">2025-05-05T08:04:00Z</dcterms:modified>
</cp:coreProperties>
</file>