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3576CF" w14:textId="77777777" w:rsidR="00182C5E" w:rsidRDefault="0000000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Table S1. The list of Diosgenin targets.</w:t>
      </w:r>
    </w:p>
    <w:p w14:paraId="55392222" w14:textId="77777777" w:rsidR="00182C5E" w:rsidRDefault="0000000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Table S2. The intersection of the targets of </w:t>
      </w:r>
      <w:r>
        <w:rPr>
          <w:rFonts w:ascii="Times New Roman" w:hAnsi="Times New Roman" w:cs="Times New Roman"/>
        </w:rPr>
        <w:t>Diosgenin</w:t>
      </w:r>
      <w:r>
        <w:rPr>
          <w:rFonts w:ascii="Times New Roman" w:hAnsi="Times New Roman" w:cs="Times New Roman" w:hint="eastAsia"/>
        </w:rPr>
        <w:t xml:space="preserve"> and the pulmonary fibrosis-related genes.</w:t>
      </w:r>
    </w:p>
    <w:p w14:paraId="19E26F6F" w14:textId="77777777" w:rsidR="00182C5E" w:rsidRDefault="0000000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Table S3 and S4. The details of all the IVs, including SNP rsids, effect sizes (beta coefficients), alleles (effect and other), standard errors (SEs), effect allele frequencies (EAFs), and P-values for the exposure and outcome data sets.</w:t>
      </w:r>
    </w:p>
    <w:p w14:paraId="350B3DB5" w14:textId="77777777" w:rsidR="00182C5E" w:rsidRDefault="0000000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Table S5. All the MR results for the exposure and outcome data sets.</w:t>
      </w:r>
    </w:p>
    <w:p w14:paraId="0143CACD" w14:textId="77777777" w:rsidR="00182C5E" w:rsidRDefault="0000000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Table S6. The </w:t>
      </w:r>
      <w:r>
        <w:rPr>
          <w:rFonts w:ascii="Times New Roman" w:hAnsi="Times New Roman" w:cs="Times New Roman"/>
        </w:rPr>
        <w:t>heterogeneity</w:t>
      </w:r>
      <w:r>
        <w:rPr>
          <w:rFonts w:ascii="Times New Roman" w:hAnsi="Times New Roman" w:cs="Times New Roman" w:hint="eastAsia"/>
        </w:rPr>
        <w:t xml:space="preserve"> analysis results of the MR results.</w:t>
      </w:r>
    </w:p>
    <w:p w14:paraId="405B6CFD" w14:textId="77777777" w:rsidR="00182C5E" w:rsidRDefault="0000000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Table S7. The </w:t>
      </w:r>
      <w:r>
        <w:rPr>
          <w:rFonts w:ascii="Times New Roman" w:hAnsi="Times New Roman" w:cs="Times New Roman"/>
        </w:rPr>
        <w:t>pleiotropy</w:t>
      </w:r>
      <w:r>
        <w:rPr>
          <w:rFonts w:ascii="Times New Roman" w:hAnsi="Times New Roman" w:cs="Times New Roman" w:hint="eastAsia"/>
        </w:rPr>
        <w:t xml:space="preserve"> analysis results of the MR results.</w:t>
      </w:r>
    </w:p>
    <w:p w14:paraId="0B1747B1" w14:textId="77777777" w:rsidR="00182C5E" w:rsidRDefault="00182C5E">
      <w:pPr>
        <w:spacing w:line="360" w:lineRule="auto"/>
        <w:rPr>
          <w:rFonts w:ascii="Times New Roman" w:hAnsi="Times New Roman" w:cs="Times New Roman"/>
        </w:rPr>
      </w:pPr>
    </w:p>
    <w:sectPr w:rsidR="00182C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M5MTRhNGVmZThhMTVjYTBhNzM4OGQ5ZGExYTllM2MifQ=="/>
  </w:docVars>
  <w:rsids>
    <w:rsidRoot w:val="62012CDA"/>
    <w:rsid w:val="00182C5E"/>
    <w:rsid w:val="007A5875"/>
    <w:rsid w:val="00F52724"/>
    <w:rsid w:val="2B753929"/>
    <w:rsid w:val="6201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4E113C"/>
  <w15:docId w15:val="{2F25E0D3-B4B6-475A-B07C-B8BA17055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486</Characters>
  <Application>Microsoft Office Word</Application>
  <DocSecurity>0</DocSecurity>
  <Lines>4</Lines>
  <Paragraphs>1</Paragraphs>
  <ScaleCrop>false</ScaleCrop>
  <Company>Springer Nature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顾培新</dc:creator>
  <cp:lastModifiedBy>Sachin Maharnur</cp:lastModifiedBy>
  <cp:revision>2</cp:revision>
  <dcterms:created xsi:type="dcterms:W3CDTF">2024-07-12T22:35:00Z</dcterms:created>
  <dcterms:modified xsi:type="dcterms:W3CDTF">2024-12-20T12:12:00Z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4C3F3B083D9C4A9E80119E7ED798BF2F_13</vt:lpwstr>
  </property>
</Properties>
</file>