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C79" w:rsidRDefault="00BC2C79" w:rsidP="00BC2C79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>S</w:t>
      </w:r>
      <w:r>
        <w:rPr>
          <w:rFonts w:ascii="Arial" w:hAnsi="Arial" w:cs="Arial"/>
          <w:b/>
        </w:rPr>
        <w:t>upplementary information for the manuscript entitled:</w:t>
      </w:r>
    </w:p>
    <w:p w:rsidR="00BC2C79" w:rsidRPr="001A2093" w:rsidRDefault="00BC2C79" w:rsidP="00BC2C79">
      <w:pPr>
        <w:spacing w:line="480" w:lineRule="auto"/>
        <w:rPr>
          <w:rFonts w:ascii="Arial" w:hAnsi="Arial" w:cs="Arial"/>
          <w:b/>
        </w:rPr>
      </w:pPr>
    </w:p>
    <w:p w:rsidR="00BC2C79" w:rsidRPr="002F26E7" w:rsidRDefault="00BC2C79" w:rsidP="00BC2C79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</w:rPr>
      </w:pPr>
      <w:r w:rsidRPr="00915DCA">
        <w:rPr>
          <w:rFonts w:ascii="Arial" w:hAnsi="Arial" w:cs="Arial"/>
          <w:b/>
          <w:color w:val="000000" w:themeColor="text1"/>
        </w:rPr>
        <w:t xml:space="preserve">CRY1 fuels </w:t>
      </w:r>
      <w:r w:rsidRPr="002F26E7">
        <w:rPr>
          <w:rFonts w:ascii="Arial" w:hAnsi="Arial" w:cs="Arial"/>
          <w:b/>
        </w:rPr>
        <w:t xml:space="preserve">resistance to T cell-based immunotherapy in </w:t>
      </w:r>
      <w:proofErr w:type="spellStart"/>
      <w:r w:rsidRPr="002F26E7">
        <w:rPr>
          <w:rFonts w:ascii="Arial" w:hAnsi="Arial" w:cs="Arial"/>
          <w:b/>
        </w:rPr>
        <w:t>NANOG</w:t>
      </w:r>
      <w:r w:rsidRPr="002F26E7">
        <w:rPr>
          <w:rFonts w:ascii="Arial" w:hAnsi="Arial" w:cs="Arial"/>
          <w:b/>
          <w:vertAlign w:val="superscript"/>
        </w:rPr>
        <w:t>high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 w:hint="eastAsia"/>
          <w:b/>
        </w:rPr>
        <w:t>c</w:t>
      </w:r>
      <w:r>
        <w:rPr>
          <w:rFonts w:ascii="Arial" w:hAnsi="Arial" w:cs="Arial"/>
          <w:b/>
        </w:rPr>
        <w:t>ancers</w:t>
      </w:r>
    </w:p>
    <w:p w:rsidR="00BC2C79" w:rsidRPr="00BC2C79" w:rsidRDefault="00BC2C79" w:rsidP="00BC2C79">
      <w:pPr>
        <w:widowControl/>
        <w:wordWrap/>
        <w:autoSpaceDE/>
        <w:autoSpaceDN/>
        <w:spacing w:line="480" w:lineRule="auto"/>
        <w:rPr>
          <w:rFonts w:ascii="Arial" w:hAnsi="Arial" w:cs="Arial"/>
        </w:rPr>
      </w:pPr>
    </w:p>
    <w:p w:rsidR="00BC2C79" w:rsidRDefault="00BC2C79" w:rsidP="00BC2C79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</w:rPr>
      </w:pPr>
      <w:r w:rsidRPr="00173BD5">
        <w:rPr>
          <w:rFonts w:ascii="Arial" w:hAnsi="Arial" w:cs="Arial" w:hint="eastAsia"/>
          <w:b/>
        </w:rPr>
        <w:t>S</w:t>
      </w:r>
      <w:r w:rsidRPr="00173BD5">
        <w:rPr>
          <w:rFonts w:ascii="Arial" w:hAnsi="Arial" w:cs="Arial"/>
          <w:b/>
        </w:rPr>
        <w:t xml:space="preserve">e </w:t>
      </w:r>
      <w:proofErr w:type="spellStart"/>
      <w:r w:rsidRPr="00173BD5">
        <w:rPr>
          <w:rFonts w:ascii="Arial" w:hAnsi="Arial" w:cs="Arial"/>
          <w:b/>
        </w:rPr>
        <w:t>Jin</w:t>
      </w:r>
      <w:proofErr w:type="spellEnd"/>
      <w:r w:rsidRPr="00173BD5">
        <w:rPr>
          <w:rFonts w:ascii="Arial" w:hAnsi="Arial" w:cs="Arial"/>
          <w:b/>
        </w:rPr>
        <w:t xml:space="preserve"> Oh et al.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</w:rPr>
      </w:pP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Supplementary Figure 1</w:t>
      </w:r>
      <w:r w:rsidRPr="00AE7E45">
        <w:rPr>
          <w:rFonts w:ascii="Arial" w:hAnsi="Arial" w:cs="Arial"/>
          <w:sz w:val="20"/>
          <w:szCs w:val="20"/>
        </w:rPr>
        <w:t xml:space="preserve">. </w:t>
      </w:r>
      <w:r w:rsidRPr="00BC2C79">
        <w:rPr>
          <w:rFonts w:ascii="Arial" w:hAnsi="Arial" w:cs="Arial"/>
          <w:sz w:val="20"/>
          <w:szCs w:val="20"/>
        </w:rPr>
        <w:t>Diagram depicting the schedule of in vivo treatment</w:t>
      </w:r>
      <w:r>
        <w:rPr>
          <w:rFonts w:ascii="Arial" w:hAnsi="Arial" w:cs="Arial"/>
          <w:sz w:val="20"/>
          <w:szCs w:val="20"/>
        </w:rPr>
        <w:t>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Supplementary Figure 2</w:t>
      </w:r>
      <w:r w:rsidRPr="00AE7E45">
        <w:rPr>
          <w:rFonts w:ascii="Arial" w:hAnsi="Arial" w:cs="Arial"/>
          <w:sz w:val="20"/>
          <w:szCs w:val="20"/>
        </w:rPr>
        <w:t xml:space="preserve">. </w:t>
      </w:r>
      <w:bookmarkStart w:id="0" w:name="_Hlk89879697"/>
      <w:r w:rsidRPr="00BC2C79">
        <w:rPr>
          <w:rFonts w:ascii="Arial" w:hAnsi="Arial" w:cs="Arial"/>
          <w:sz w:val="20"/>
          <w:szCs w:val="20"/>
        </w:rPr>
        <w:t>MHC class I expression are unaffected by CRY1 in PD-1 blockade-resistant tumor cells</w:t>
      </w:r>
      <w:r>
        <w:rPr>
          <w:rFonts w:ascii="Arial" w:hAnsi="Arial" w:cs="Arial"/>
          <w:sz w:val="20"/>
          <w:szCs w:val="20"/>
        </w:rPr>
        <w:t>.</w:t>
      </w:r>
    </w:p>
    <w:bookmarkEnd w:id="0"/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Supplementary Figure 3</w:t>
      </w:r>
      <w:r w:rsidRPr="00AE7E45">
        <w:rPr>
          <w:rFonts w:ascii="Arial" w:hAnsi="Arial" w:cs="Arial"/>
          <w:sz w:val="20"/>
          <w:szCs w:val="20"/>
        </w:rPr>
        <w:t>.</w:t>
      </w:r>
      <w:r w:rsidRPr="002E0CD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C2C79">
        <w:rPr>
          <w:rFonts w:ascii="Arial" w:hAnsi="Arial" w:cs="Arial"/>
          <w:color w:val="000000" w:themeColor="text1"/>
          <w:sz w:val="20"/>
          <w:szCs w:val="20"/>
        </w:rPr>
        <w:t>CRY1 plays a crucial role in NANOG-driven immune-refractory properties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Supplementary Figure 4</w:t>
      </w:r>
      <w:r w:rsidRPr="00AE7E4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C2C79">
        <w:rPr>
          <w:rFonts w:ascii="Arial" w:hAnsi="Arial" w:cs="Arial"/>
          <w:sz w:val="20"/>
          <w:szCs w:val="20"/>
        </w:rPr>
        <w:t>NANOG represses the expression of E3 ligases</w:t>
      </w:r>
      <w:r>
        <w:rPr>
          <w:rFonts w:ascii="Arial" w:hAnsi="Arial" w:cs="Arial"/>
          <w:sz w:val="20"/>
          <w:szCs w:val="20"/>
        </w:rPr>
        <w:t>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Supplementary Figure 5</w:t>
      </w:r>
      <w:r w:rsidRPr="00AE7E4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C2C79">
        <w:rPr>
          <w:rFonts w:ascii="Arial" w:hAnsi="Arial" w:cs="Arial"/>
          <w:sz w:val="20"/>
          <w:szCs w:val="20"/>
        </w:rPr>
        <w:t>Efficiency of siRNAs targeting APC3 or TRIM17</w:t>
      </w:r>
      <w:r>
        <w:rPr>
          <w:rFonts w:ascii="Arial" w:hAnsi="Arial" w:cs="Arial"/>
          <w:sz w:val="20"/>
          <w:szCs w:val="20"/>
        </w:rPr>
        <w:t>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sz w:val="20"/>
          <w:szCs w:val="20"/>
        </w:rPr>
        <w:t xml:space="preserve">Supplementary Fig. 6. CRY1 regulates the expression of effector molecules that induces immune-refractory phenotypes in </w:t>
      </w:r>
      <w:proofErr w:type="spellStart"/>
      <w:r w:rsidRPr="00BC2C79">
        <w:rPr>
          <w:rFonts w:ascii="Arial" w:hAnsi="Arial" w:cs="Arial"/>
          <w:sz w:val="20"/>
          <w:szCs w:val="20"/>
        </w:rPr>
        <w:t>NANOGhigh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 tumor cells</w:t>
      </w:r>
      <w:r>
        <w:rPr>
          <w:rFonts w:ascii="Arial" w:hAnsi="Arial" w:cs="Arial"/>
          <w:sz w:val="20"/>
          <w:szCs w:val="20"/>
        </w:rPr>
        <w:t>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sz w:val="20"/>
          <w:szCs w:val="20"/>
        </w:rPr>
        <w:t>Supplementary Fig. 7. CRY1 inhibition sensitizes innate immunotherapy-resistant tumors to PD-1 blockade</w:t>
      </w:r>
      <w:r>
        <w:rPr>
          <w:rFonts w:ascii="Arial" w:hAnsi="Arial" w:cs="Arial"/>
          <w:sz w:val="20"/>
          <w:szCs w:val="20"/>
        </w:rPr>
        <w:t>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sz w:val="20"/>
          <w:szCs w:val="20"/>
        </w:rPr>
        <w:t>Supplementary Fig. 8. CRY1 inhibition enhances anti-tumor response to adoptive T cell therapy</w:t>
      </w:r>
      <w:r>
        <w:rPr>
          <w:rFonts w:ascii="Arial" w:hAnsi="Arial" w:cs="Arial"/>
          <w:sz w:val="20"/>
          <w:szCs w:val="20"/>
        </w:rPr>
        <w:t>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sz w:val="20"/>
          <w:szCs w:val="20"/>
        </w:rPr>
        <w:t>Supplementary Fig. 9. Gating strategy for identification of apoptotic tumor cells by CTL-mediated killing</w:t>
      </w:r>
      <w:r>
        <w:rPr>
          <w:rFonts w:ascii="Arial" w:hAnsi="Arial" w:cs="Arial"/>
          <w:sz w:val="20"/>
          <w:szCs w:val="20"/>
        </w:rPr>
        <w:t>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 w:hint="eastAsia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upplementary Fig. 10. Uncropped blot images.</w:t>
      </w:r>
    </w:p>
    <w:p w:rsidR="00BC2C79" w:rsidRDefault="00BC2C79">
      <w:pPr>
        <w:widowControl/>
        <w:wordWrap/>
        <w:autoSpaceDE/>
        <w:autoSpaceDN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C2C79" w:rsidRP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 w:rsidRPr="00BC2C79">
        <w:rPr>
          <w:rFonts w:ascii="Arial" w:hAnsi="Arial" w:cs="Arial" w:hint="eastAsia"/>
          <w:b/>
          <w:sz w:val="20"/>
          <w:szCs w:val="20"/>
        </w:rPr>
        <w:lastRenderedPageBreak/>
        <w:t>S</w:t>
      </w:r>
      <w:r w:rsidRPr="00BC2C79">
        <w:rPr>
          <w:rFonts w:ascii="Arial" w:hAnsi="Arial" w:cs="Arial"/>
          <w:b/>
          <w:sz w:val="20"/>
          <w:szCs w:val="20"/>
        </w:rPr>
        <w:t>upplementary Figures and Figure legends</w:t>
      </w:r>
    </w:p>
    <w:p w:rsidR="00BC2C79" w:rsidRDefault="00004A9B" w:rsidP="00004A9B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004A9B">
        <w:rPr>
          <w:rFonts w:ascii="Arial" w:hAnsi="Arial" w:cs="Arial"/>
          <w:sz w:val="20"/>
          <w:szCs w:val="20"/>
        </w:rPr>
        <w:drawing>
          <wp:inline distT="0" distB="0" distL="0" distR="0" wp14:anchorId="315A9F9C" wp14:editId="7CAA0261">
            <wp:extent cx="4651651" cy="1066892"/>
            <wp:effectExtent l="0" t="0" r="0" b="0"/>
            <wp:docPr id="17" name="그림 16">
              <a:extLst xmlns:a="http://schemas.openxmlformats.org/drawingml/2006/main">
                <a:ext uri="{FF2B5EF4-FFF2-40B4-BE49-F238E27FC236}">
                  <a16:creationId xmlns:a16="http://schemas.microsoft.com/office/drawing/2014/main" id="{8359804C-2CA4-453A-950E-DE63B0D8DE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6">
                      <a:extLst>
                        <a:ext uri="{FF2B5EF4-FFF2-40B4-BE49-F238E27FC236}">
                          <a16:creationId xmlns:a16="http://schemas.microsoft.com/office/drawing/2014/main" id="{8359804C-2CA4-453A-950E-DE63B0D8DE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1651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b/>
          <w:sz w:val="20"/>
          <w:szCs w:val="20"/>
        </w:rPr>
        <w:t>Supplementary Fig. 1. Diagram depicting the schedule of in vivo treatment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BC2C79">
        <w:rPr>
          <w:rFonts w:ascii="Arial" w:hAnsi="Arial" w:cs="Arial"/>
          <w:sz w:val="20"/>
          <w:szCs w:val="20"/>
        </w:rPr>
        <w:t>Schematic of the therapy regiment in C57BL/6 mice implanted with PD-1 blockade-resistant tumor cells were treated with indicated reagents.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BC2C79" w:rsidRDefault="00BC2C79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BC2C79" w:rsidRDefault="00004A9B" w:rsidP="00004A9B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004A9B">
        <w:rPr>
          <w:rFonts w:ascii="Arial" w:hAnsi="Arial" w:cs="Arial"/>
          <w:b/>
          <w:sz w:val="20"/>
          <w:szCs w:val="20"/>
        </w:rPr>
        <w:lastRenderedPageBreak/>
        <w:drawing>
          <wp:inline distT="0" distB="0" distL="0" distR="0" wp14:anchorId="30A92A68" wp14:editId="64CC9FF0">
            <wp:extent cx="2901948" cy="1841152"/>
            <wp:effectExtent l="0" t="0" r="0" b="0"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1C8D1252-A77D-4805-ABF4-059F802B2B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1C8D1252-A77D-4805-ABF4-059F802B2B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1948" cy="184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b/>
          <w:sz w:val="20"/>
          <w:szCs w:val="20"/>
        </w:rPr>
        <w:t>Supplementary Fig. 2. MHC class I expression are unaffected by CRY1 in PD-1 blockade-resistant tumor cells</w:t>
      </w:r>
      <w:r w:rsidRPr="00BC2C79">
        <w:rPr>
          <w:rFonts w:ascii="Arial" w:hAnsi="Arial" w:cs="Arial" w:hint="eastAsia"/>
          <w:b/>
          <w:sz w:val="20"/>
          <w:szCs w:val="20"/>
        </w:rPr>
        <w:t>.</w:t>
      </w:r>
      <w:r w:rsidRPr="00BC2C79">
        <w:rPr>
          <w:rFonts w:ascii="Arial" w:hAnsi="Arial" w:cs="Arial"/>
          <w:sz w:val="20"/>
          <w:szCs w:val="20"/>
        </w:rPr>
        <w:t xml:space="preserve"> </w:t>
      </w:r>
      <w:r w:rsidRPr="00BC2C79">
        <w:rPr>
          <w:rFonts w:ascii="Arial" w:hAnsi="Arial" w:cs="Arial"/>
          <w:sz w:val="20"/>
          <w:szCs w:val="20"/>
        </w:rPr>
        <w:t>The MHC class I expression on PD-1 blockade-resistant tumor cells transfected with siRNA-targeting GFP or Cry1 was measured by flow cytometry. All experiments were performed in triplicate. The p-values were calculated using one-way ANOVA. Data represent the mean ±SD. Source data are provided as a Source Data file.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</w:p>
    <w:p w:rsidR="00BC2C79" w:rsidRDefault="00BC2C79">
      <w:pPr>
        <w:widowControl/>
        <w:wordWrap/>
        <w:autoSpaceDE/>
        <w:autoSpaceDN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C2C79" w:rsidRDefault="00004A9B" w:rsidP="00004A9B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004A9B">
        <w:rPr>
          <w:rFonts w:ascii="Arial" w:hAnsi="Arial" w:cs="Arial"/>
          <w:sz w:val="20"/>
          <w:szCs w:val="20"/>
        </w:rPr>
        <w:lastRenderedPageBreak/>
        <w:drawing>
          <wp:inline distT="0" distB="0" distL="0" distR="0" wp14:anchorId="18A398C1" wp14:editId="5727EA9F">
            <wp:extent cx="5200339" cy="2005758"/>
            <wp:effectExtent l="0" t="0" r="0" b="0"/>
            <wp:docPr id="61" name="그림 60">
              <a:extLst xmlns:a="http://schemas.openxmlformats.org/drawingml/2006/main">
                <a:ext uri="{FF2B5EF4-FFF2-40B4-BE49-F238E27FC236}">
                  <a16:creationId xmlns:a16="http://schemas.microsoft.com/office/drawing/2014/main" id="{C0181E57-02CC-4F49-AAB1-F9D4AEB21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그림 60">
                      <a:extLst>
                        <a:ext uri="{FF2B5EF4-FFF2-40B4-BE49-F238E27FC236}">
                          <a16:creationId xmlns:a16="http://schemas.microsoft.com/office/drawing/2014/main" id="{C0181E57-02CC-4F49-AAB1-F9D4AEB21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339" cy="20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b/>
          <w:sz w:val="20"/>
          <w:szCs w:val="20"/>
        </w:rPr>
        <w:t>Supplementary Fig. 3. CRY1 plays a crucial role in NANOG-driven immune-refractory properties</w:t>
      </w:r>
      <w:r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 w:hint="eastAsia"/>
          <w:b/>
          <w:sz w:val="20"/>
          <w:szCs w:val="20"/>
        </w:rPr>
        <w:t xml:space="preserve"> </w:t>
      </w:r>
      <w:r w:rsidRPr="00BC2C79">
        <w:rPr>
          <w:rFonts w:ascii="Arial" w:hAnsi="Arial" w:cs="Arial"/>
          <w:b/>
          <w:sz w:val="20"/>
          <w:szCs w:val="20"/>
        </w:rPr>
        <w:t>a</w:t>
      </w:r>
      <w:r w:rsidRPr="00BC2C79">
        <w:rPr>
          <w:rFonts w:ascii="Arial" w:hAnsi="Arial" w:cs="Arial"/>
          <w:sz w:val="20"/>
          <w:szCs w:val="20"/>
        </w:rPr>
        <w:t>-</w:t>
      </w:r>
      <w:r w:rsidRPr="00BC2C79">
        <w:rPr>
          <w:rFonts w:ascii="Arial" w:hAnsi="Arial" w:cs="Arial"/>
          <w:b/>
          <w:sz w:val="20"/>
          <w:szCs w:val="20"/>
        </w:rPr>
        <w:t>d</w:t>
      </w:r>
      <w:r w:rsidRPr="00BC2C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C2C79">
        <w:rPr>
          <w:rFonts w:ascii="Arial" w:hAnsi="Arial" w:cs="Arial"/>
          <w:sz w:val="20"/>
          <w:szCs w:val="20"/>
        </w:rPr>
        <w:t>CaSki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 NANOG cells were transfected with siRNA-targeting GFP or CRY1. </w:t>
      </w:r>
      <w:proofErr w:type="spellStart"/>
      <w:r w:rsidRPr="00BC2C79">
        <w:rPr>
          <w:rFonts w:ascii="Arial" w:hAnsi="Arial" w:cs="Arial"/>
          <w:b/>
          <w:sz w:val="20"/>
          <w:szCs w:val="20"/>
        </w:rPr>
        <w:t>a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 Levels of indicated proteins determined by Western blot. β-actin was included as an internal loading control. Numbers below blot images indicate the expression as measured by fold change. </w:t>
      </w:r>
      <w:r w:rsidRPr="00BC2C79">
        <w:rPr>
          <w:rFonts w:ascii="Arial" w:hAnsi="Arial" w:cs="Arial"/>
          <w:b/>
          <w:sz w:val="20"/>
          <w:szCs w:val="20"/>
        </w:rPr>
        <w:t>b</w:t>
      </w:r>
      <w:r w:rsidRPr="00BC2C79">
        <w:rPr>
          <w:rFonts w:ascii="Arial" w:hAnsi="Arial" w:cs="Arial"/>
          <w:sz w:val="20"/>
          <w:szCs w:val="20"/>
        </w:rPr>
        <w:t xml:space="preserve"> Sphere-forming capacity of the cells in low-density suspension culture. </w:t>
      </w:r>
      <w:r w:rsidRPr="00BC2C79">
        <w:rPr>
          <w:rFonts w:ascii="Arial" w:hAnsi="Arial" w:cs="Arial"/>
          <w:b/>
          <w:sz w:val="20"/>
          <w:szCs w:val="20"/>
        </w:rPr>
        <w:t>c</w:t>
      </w:r>
      <w:r w:rsidRPr="00BC2C79">
        <w:rPr>
          <w:rFonts w:ascii="Arial" w:hAnsi="Arial" w:cs="Arial"/>
          <w:sz w:val="20"/>
          <w:szCs w:val="20"/>
        </w:rPr>
        <w:t xml:space="preserve"> Flow cytometry analysis of the frequency of apoptotic (active caspase-3</w:t>
      </w:r>
      <w:r w:rsidRPr="00BC2C79">
        <w:rPr>
          <w:rFonts w:ascii="Arial" w:hAnsi="Arial" w:cs="Arial"/>
          <w:sz w:val="20"/>
          <w:szCs w:val="20"/>
          <w:vertAlign w:val="superscript"/>
        </w:rPr>
        <w:t>+</w:t>
      </w:r>
      <w:r w:rsidRPr="00BC2C79">
        <w:rPr>
          <w:rFonts w:ascii="Arial" w:hAnsi="Arial" w:cs="Arial"/>
          <w:sz w:val="20"/>
          <w:szCs w:val="20"/>
        </w:rPr>
        <w:t xml:space="preserve">) cells after intracellular delivery of </w:t>
      </w:r>
      <w:proofErr w:type="spellStart"/>
      <w:r w:rsidRPr="00BC2C79">
        <w:rPr>
          <w:rFonts w:ascii="Arial" w:hAnsi="Arial" w:cs="Arial"/>
          <w:sz w:val="20"/>
          <w:szCs w:val="20"/>
        </w:rPr>
        <w:t>GrB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 for 4 h. </w:t>
      </w:r>
      <w:r w:rsidRPr="00BC2C79">
        <w:rPr>
          <w:rFonts w:ascii="Arial" w:hAnsi="Arial" w:cs="Arial"/>
          <w:b/>
          <w:sz w:val="20"/>
          <w:szCs w:val="20"/>
        </w:rPr>
        <w:t>d</w:t>
      </w:r>
      <w:r w:rsidRPr="00BC2C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C2C79">
        <w:rPr>
          <w:rFonts w:ascii="Arial" w:hAnsi="Arial" w:cs="Arial"/>
          <w:sz w:val="20"/>
          <w:szCs w:val="20"/>
        </w:rPr>
        <w:t>Transwell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-based T cell chemotaxis assay by using </w:t>
      </w:r>
      <w:proofErr w:type="spellStart"/>
      <w:r w:rsidRPr="00BC2C79">
        <w:rPr>
          <w:rFonts w:ascii="Arial" w:hAnsi="Arial" w:cs="Arial"/>
          <w:i/>
          <w:sz w:val="20"/>
          <w:szCs w:val="20"/>
        </w:rPr>
        <w:t>siGFP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- of </w:t>
      </w:r>
      <w:proofErr w:type="spellStart"/>
      <w:r w:rsidRPr="00BC2C79">
        <w:rPr>
          <w:rFonts w:ascii="Arial" w:hAnsi="Arial" w:cs="Arial"/>
          <w:i/>
          <w:sz w:val="20"/>
          <w:szCs w:val="20"/>
        </w:rPr>
        <w:t>siCRY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 #1-transfected tumor cells-derived conditioned media. All experiments were performed in triplicate. The p-values were calculated using two-tailed Student’s </w:t>
      </w:r>
      <w:r w:rsidRPr="00BC2C79">
        <w:rPr>
          <w:rFonts w:ascii="Arial" w:hAnsi="Arial" w:cs="Arial"/>
          <w:i/>
          <w:sz w:val="20"/>
          <w:szCs w:val="20"/>
        </w:rPr>
        <w:t>t</w:t>
      </w:r>
      <w:r w:rsidRPr="00BC2C79">
        <w:rPr>
          <w:rFonts w:ascii="Arial" w:hAnsi="Arial" w:cs="Arial"/>
          <w:sz w:val="20"/>
          <w:szCs w:val="20"/>
        </w:rPr>
        <w:t xml:space="preserve"> test. (</w:t>
      </w:r>
      <w:r w:rsidRPr="00BC2C79">
        <w:rPr>
          <w:rFonts w:ascii="Arial" w:hAnsi="Arial" w:cs="Arial"/>
          <w:b/>
          <w:sz w:val="20"/>
          <w:szCs w:val="20"/>
        </w:rPr>
        <w:t>b</w:t>
      </w:r>
      <w:r w:rsidRPr="00BC2C79">
        <w:rPr>
          <w:rFonts w:ascii="Arial" w:hAnsi="Arial" w:cs="Arial"/>
          <w:sz w:val="20"/>
          <w:szCs w:val="20"/>
        </w:rPr>
        <w:t xml:space="preserve"> and </w:t>
      </w:r>
      <w:r w:rsidRPr="00BC2C79">
        <w:rPr>
          <w:rFonts w:ascii="Arial" w:hAnsi="Arial" w:cs="Arial"/>
          <w:b/>
          <w:sz w:val="20"/>
          <w:szCs w:val="20"/>
        </w:rPr>
        <w:t>d</w:t>
      </w:r>
      <w:r w:rsidRPr="00BC2C79">
        <w:rPr>
          <w:rFonts w:ascii="Arial" w:hAnsi="Arial" w:cs="Arial"/>
          <w:sz w:val="20"/>
          <w:szCs w:val="20"/>
        </w:rPr>
        <w:t>), or two-way ANOVA (</w:t>
      </w:r>
      <w:r w:rsidRPr="00BC2C79">
        <w:rPr>
          <w:rFonts w:ascii="Arial" w:hAnsi="Arial" w:cs="Arial"/>
          <w:b/>
          <w:sz w:val="20"/>
          <w:szCs w:val="20"/>
        </w:rPr>
        <w:t>c</w:t>
      </w:r>
      <w:r w:rsidRPr="00BC2C79">
        <w:rPr>
          <w:rFonts w:ascii="Arial" w:hAnsi="Arial" w:cs="Arial"/>
          <w:sz w:val="20"/>
          <w:szCs w:val="20"/>
        </w:rPr>
        <w:t>). Data represent the mean ±SD. Source data are provided as a Source Data file.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BC2C79" w:rsidRDefault="00BC2C79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BC2C79" w:rsidRDefault="00004A9B" w:rsidP="00004A9B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004A9B">
        <w:rPr>
          <w:rFonts w:ascii="Arial" w:hAnsi="Arial" w:cs="Arial"/>
          <w:b/>
          <w:sz w:val="20"/>
          <w:szCs w:val="20"/>
        </w:rPr>
        <w:lastRenderedPageBreak/>
        <w:drawing>
          <wp:inline distT="0" distB="0" distL="0" distR="0" wp14:anchorId="44ABC30A" wp14:editId="0C66392B">
            <wp:extent cx="2786113" cy="2078916"/>
            <wp:effectExtent l="0" t="0" r="0" b="0"/>
            <wp:docPr id="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E5C7E9DD-5085-4CEF-B5B0-BFD0B7E24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E5C7E9DD-5085-4CEF-B5B0-BFD0B7E24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6113" cy="20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b/>
          <w:sz w:val="20"/>
          <w:szCs w:val="20"/>
        </w:rPr>
        <w:t>Supplementary Fig. 4. NANOG represses the expression of E3 ligases</w:t>
      </w:r>
      <w:r>
        <w:rPr>
          <w:rFonts w:ascii="Arial" w:hAnsi="Arial" w:cs="Arial" w:hint="eastAsia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C2C79">
        <w:rPr>
          <w:rFonts w:ascii="Arial" w:hAnsi="Arial" w:cs="Arial"/>
          <w:sz w:val="20"/>
          <w:szCs w:val="20"/>
        </w:rPr>
        <w:t xml:space="preserve">mRNA levels of indicated genes in </w:t>
      </w:r>
      <w:proofErr w:type="spellStart"/>
      <w:r w:rsidRPr="00BC2C79">
        <w:rPr>
          <w:rFonts w:ascii="Arial" w:hAnsi="Arial" w:cs="Arial"/>
          <w:sz w:val="20"/>
          <w:szCs w:val="20"/>
        </w:rPr>
        <w:t>CaSki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 no insert and </w:t>
      </w:r>
      <w:proofErr w:type="spellStart"/>
      <w:r w:rsidRPr="00BC2C79">
        <w:rPr>
          <w:rFonts w:ascii="Arial" w:hAnsi="Arial" w:cs="Arial"/>
          <w:sz w:val="20"/>
          <w:szCs w:val="20"/>
        </w:rPr>
        <w:t>CaSki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 NANOG cells determined by </w:t>
      </w:r>
      <w:proofErr w:type="spellStart"/>
      <w:r w:rsidRPr="00BC2C79">
        <w:rPr>
          <w:rFonts w:ascii="Arial" w:hAnsi="Arial" w:cs="Arial"/>
          <w:sz w:val="20"/>
          <w:szCs w:val="20"/>
        </w:rPr>
        <w:t>qRT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-PCR. This experiment was performed in triplicate. The p-values were calculated using two-tailed Student’s </w:t>
      </w:r>
      <w:r w:rsidRPr="00BC2C79">
        <w:rPr>
          <w:rFonts w:ascii="Arial" w:hAnsi="Arial" w:cs="Arial"/>
          <w:i/>
          <w:sz w:val="20"/>
          <w:szCs w:val="20"/>
        </w:rPr>
        <w:t>t</w:t>
      </w:r>
      <w:r w:rsidRPr="00BC2C79">
        <w:rPr>
          <w:rFonts w:ascii="Arial" w:hAnsi="Arial" w:cs="Arial"/>
          <w:sz w:val="20"/>
          <w:szCs w:val="20"/>
        </w:rPr>
        <w:t xml:space="preserve"> test. Data represent the mean ±SD. Source data are provided as a Source Data file</w:t>
      </w:r>
      <w:r>
        <w:rPr>
          <w:rFonts w:ascii="Arial" w:hAnsi="Arial" w:cs="Arial"/>
          <w:sz w:val="20"/>
          <w:szCs w:val="20"/>
        </w:rPr>
        <w:t>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BC2C79" w:rsidRDefault="00BC2C79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BC2C79" w:rsidRDefault="00004A9B" w:rsidP="00004A9B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004A9B">
        <w:rPr>
          <w:rFonts w:ascii="Arial" w:hAnsi="Arial" w:cs="Arial"/>
          <w:b/>
          <w:sz w:val="20"/>
          <w:szCs w:val="20"/>
        </w:rPr>
        <w:lastRenderedPageBreak/>
        <w:drawing>
          <wp:inline distT="0" distB="0" distL="0" distR="0" wp14:anchorId="25EBF194" wp14:editId="679F73EF">
            <wp:extent cx="2694666" cy="1530229"/>
            <wp:effectExtent l="0" t="0" r="0" b="0"/>
            <wp:docPr id="12" name="그림 11">
              <a:extLst xmlns:a="http://schemas.openxmlformats.org/drawingml/2006/main">
                <a:ext uri="{FF2B5EF4-FFF2-40B4-BE49-F238E27FC236}">
                  <a16:creationId xmlns:a16="http://schemas.microsoft.com/office/drawing/2014/main" id="{322E2EB6-DDB1-4D63-951C-7FEBDA05CB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>
                      <a:extLst>
                        <a:ext uri="{FF2B5EF4-FFF2-40B4-BE49-F238E27FC236}">
                          <a16:creationId xmlns:a16="http://schemas.microsoft.com/office/drawing/2014/main" id="{322E2EB6-DDB1-4D63-951C-7FEBDA05CB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4666" cy="15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b/>
          <w:sz w:val="20"/>
          <w:szCs w:val="20"/>
        </w:rPr>
        <w:t xml:space="preserve">Supplementary Fig. 5. Efficiency of siRNAs targeting </w:t>
      </w:r>
      <w:r w:rsidRPr="00BC2C79">
        <w:rPr>
          <w:rFonts w:ascii="Arial" w:hAnsi="Arial" w:cs="Arial"/>
          <w:b/>
          <w:i/>
          <w:sz w:val="20"/>
          <w:szCs w:val="20"/>
        </w:rPr>
        <w:t>APC3</w:t>
      </w:r>
      <w:r w:rsidRPr="00BC2C79">
        <w:rPr>
          <w:rFonts w:ascii="Arial" w:hAnsi="Arial" w:cs="Arial"/>
          <w:b/>
          <w:sz w:val="20"/>
          <w:szCs w:val="20"/>
        </w:rPr>
        <w:t xml:space="preserve"> or </w:t>
      </w:r>
      <w:r w:rsidRPr="00BC2C79">
        <w:rPr>
          <w:rFonts w:ascii="Arial" w:hAnsi="Arial" w:cs="Arial"/>
          <w:b/>
          <w:i/>
          <w:sz w:val="20"/>
          <w:szCs w:val="20"/>
        </w:rPr>
        <w:t>TRIM17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BC2C79">
        <w:rPr>
          <w:rFonts w:ascii="Arial" w:hAnsi="Arial" w:cs="Arial"/>
          <w:b/>
          <w:sz w:val="20"/>
          <w:szCs w:val="20"/>
        </w:rPr>
        <w:t>a</w:t>
      </w:r>
      <w:r w:rsidRPr="00BC2C79">
        <w:rPr>
          <w:rFonts w:ascii="Arial" w:hAnsi="Arial" w:cs="Arial"/>
          <w:sz w:val="20"/>
          <w:szCs w:val="20"/>
        </w:rPr>
        <w:t xml:space="preserve"> and </w:t>
      </w:r>
      <w:r w:rsidRPr="00BC2C79">
        <w:rPr>
          <w:rFonts w:ascii="Arial" w:hAnsi="Arial" w:cs="Arial"/>
          <w:b/>
          <w:sz w:val="20"/>
          <w:szCs w:val="20"/>
        </w:rPr>
        <w:t>b</w:t>
      </w:r>
      <w:r w:rsidRPr="00BC2C79">
        <w:rPr>
          <w:rFonts w:ascii="Arial" w:hAnsi="Arial" w:cs="Arial"/>
          <w:sz w:val="20"/>
          <w:szCs w:val="20"/>
        </w:rPr>
        <w:t xml:space="preserve"> Levels of the APC3 (a) or TRIM17 (b) protein in </w:t>
      </w:r>
      <w:proofErr w:type="spellStart"/>
      <w:r w:rsidRPr="00BC2C79">
        <w:rPr>
          <w:rFonts w:ascii="Arial" w:hAnsi="Arial" w:cs="Arial"/>
          <w:sz w:val="20"/>
          <w:szCs w:val="20"/>
        </w:rPr>
        <w:t>CaSki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 P3 cells transfected with indicated siRNAs determined by Western blot. β-actin was included as an internal loading control. Numbers below blot images indicate the expression as measured by fold change. This experiment was performed in triplicate.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BC2C79" w:rsidRDefault="00BC2C79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BC2C79" w:rsidRDefault="00004A9B" w:rsidP="00004A9B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004A9B">
        <w:rPr>
          <w:rFonts w:ascii="Arial" w:hAnsi="Arial" w:cs="Arial"/>
          <w:b/>
          <w:sz w:val="20"/>
          <w:szCs w:val="20"/>
        </w:rPr>
        <w:lastRenderedPageBreak/>
        <w:drawing>
          <wp:inline distT="0" distB="0" distL="0" distR="0" wp14:anchorId="77E1A4B2" wp14:editId="26784105">
            <wp:extent cx="4237087" cy="2188654"/>
            <wp:effectExtent l="0" t="0" r="0" b="0"/>
            <wp:docPr id="1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2BF3D895-F5B8-42BA-9CA0-1DF90DE274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2BF3D895-F5B8-42BA-9CA0-1DF90DE274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21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C2C79">
        <w:rPr>
          <w:rFonts w:ascii="Arial" w:hAnsi="Arial" w:cs="Arial"/>
          <w:b/>
          <w:sz w:val="20"/>
          <w:szCs w:val="20"/>
        </w:rPr>
        <w:t xml:space="preserve">Supplementary Fig. 6. CRY1 regulates the expression of effector molecules that induces immune-refractory phenotypes in </w:t>
      </w:r>
      <w:proofErr w:type="spellStart"/>
      <w:r w:rsidRPr="00BC2C79">
        <w:rPr>
          <w:rFonts w:ascii="Arial" w:hAnsi="Arial" w:cs="Arial"/>
          <w:b/>
          <w:sz w:val="20"/>
          <w:szCs w:val="20"/>
        </w:rPr>
        <w:t>NANOG</w:t>
      </w:r>
      <w:r w:rsidRPr="00BC2C79">
        <w:rPr>
          <w:rFonts w:ascii="Arial" w:hAnsi="Arial" w:cs="Arial"/>
          <w:b/>
          <w:sz w:val="20"/>
          <w:szCs w:val="20"/>
          <w:vertAlign w:val="superscript"/>
        </w:rPr>
        <w:t>high</w:t>
      </w:r>
      <w:proofErr w:type="spellEnd"/>
      <w:r w:rsidRPr="00BC2C79">
        <w:rPr>
          <w:rFonts w:ascii="Arial" w:hAnsi="Arial" w:cs="Arial"/>
          <w:b/>
          <w:sz w:val="20"/>
          <w:szCs w:val="20"/>
        </w:rPr>
        <w:t xml:space="preserve"> tumor cells</w:t>
      </w:r>
      <w:r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BC2C79">
        <w:rPr>
          <w:rFonts w:ascii="Arial" w:hAnsi="Arial" w:cs="Arial"/>
          <w:b/>
          <w:sz w:val="20"/>
          <w:szCs w:val="20"/>
        </w:rPr>
        <w:t>a</w:t>
      </w:r>
      <w:proofErr w:type="spellEnd"/>
      <w:r w:rsidRPr="00BC2C79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BC2C79">
        <w:rPr>
          <w:rFonts w:ascii="Arial" w:hAnsi="Arial" w:cs="Arial"/>
          <w:sz w:val="20"/>
          <w:szCs w:val="20"/>
        </w:rPr>
        <w:t>The</w:t>
      </w:r>
      <w:proofErr w:type="gramEnd"/>
      <w:r w:rsidRPr="00BC2C79">
        <w:rPr>
          <w:rFonts w:ascii="Arial" w:hAnsi="Arial" w:cs="Arial"/>
          <w:sz w:val="20"/>
          <w:szCs w:val="20"/>
        </w:rPr>
        <w:t xml:space="preserve"> levels of NANOG and CRY1 proteins determined by Western blot. </w:t>
      </w:r>
      <w:r w:rsidRPr="00BC2C79">
        <w:rPr>
          <w:rFonts w:ascii="Arial" w:hAnsi="Arial" w:cs="Arial"/>
          <w:b/>
          <w:sz w:val="20"/>
          <w:szCs w:val="20"/>
        </w:rPr>
        <w:t>b</w:t>
      </w:r>
      <w:r w:rsidRPr="00BC2C79">
        <w:rPr>
          <w:rFonts w:ascii="Arial" w:hAnsi="Arial" w:cs="Arial"/>
          <w:sz w:val="20"/>
          <w:szCs w:val="20"/>
        </w:rPr>
        <w:t xml:space="preserve"> Relative levels of indicated proteins in indicated tumor cells transfected with siRNA-targeting </w:t>
      </w:r>
      <w:r w:rsidRPr="00BC2C79">
        <w:rPr>
          <w:rFonts w:ascii="Arial" w:hAnsi="Arial" w:cs="Arial"/>
          <w:i/>
          <w:sz w:val="20"/>
          <w:szCs w:val="20"/>
        </w:rPr>
        <w:t>GFP</w:t>
      </w:r>
      <w:r w:rsidRPr="00BC2C79">
        <w:rPr>
          <w:rFonts w:ascii="Arial" w:hAnsi="Arial" w:cs="Arial"/>
          <w:sz w:val="20"/>
          <w:szCs w:val="20"/>
        </w:rPr>
        <w:t xml:space="preserve"> or </w:t>
      </w:r>
      <w:r w:rsidRPr="00BC2C79">
        <w:rPr>
          <w:rFonts w:ascii="Arial" w:hAnsi="Arial" w:cs="Arial"/>
          <w:i/>
          <w:sz w:val="20"/>
          <w:szCs w:val="20"/>
        </w:rPr>
        <w:t>CRY1</w:t>
      </w:r>
      <w:r w:rsidRPr="00BC2C79">
        <w:rPr>
          <w:rFonts w:ascii="Arial" w:hAnsi="Arial" w:cs="Arial"/>
          <w:sz w:val="20"/>
          <w:szCs w:val="20"/>
        </w:rPr>
        <w:t xml:space="preserve"> were measured by Western blot. β-actin was included as an internal loading control. Numbers below blot images indicate the expression as measured by fold change. All experiment was performed in triplicate.</w:t>
      </w:r>
    </w:p>
    <w:p w:rsidR="00BC2C79" w:rsidRDefault="00BC2C79" w:rsidP="00BC2C7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BC2C79" w:rsidRDefault="00BC2C79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BC2C79" w:rsidRDefault="00004A9B" w:rsidP="00004A9B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004A9B">
        <w:rPr>
          <w:rFonts w:ascii="Arial" w:hAnsi="Arial" w:cs="Arial"/>
          <w:b/>
          <w:sz w:val="20"/>
          <w:szCs w:val="20"/>
        </w:rPr>
        <w:lastRenderedPageBreak/>
        <w:drawing>
          <wp:inline distT="0" distB="0" distL="0" distR="0" wp14:anchorId="015E58A4" wp14:editId="1B7B2FB2">
            <wp:extent cx="5310076" cy="3767655"/>
            <wp:effectExtent l="0" t="0" r="0" b="0"/>
            <wp:docPr id="6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9E5399C3-0C5C-417D-98C3-31D7F24D57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9E5399C3-0C5C-417D-98C3-31D7F24D57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0076" cy="37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79" w:rsidRDefault="002B76BA" w:rsidP="002B76BA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2B76BA">
        <w:rPr>
          <w:rFonts w:ascii="Arial" w:hAnsi="Arial" w:cs="Arial"/>
          <w:b/>
          <w:sz w:val="20"/>
          <w:szCs w:val="20"/>
        </w:rPr>
        <w:t>Supplementary Fig. 7. CRY1 inhibition sensitizes innate immunotherapy-resistant tumors to PD-1 blockade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2B76BA">
        <w:rPr>
          <w:rFonts w:ascii="Arial" w:hAnsi="Arial" w:cs="Arial"/>
          <w:b/>
          <w:sz w:val="20"/>
          <w:szCs w:val="20"/>
        </w:rPr>
        <w:t>a</w:t>
      </w:r>
      <w:r w:rsidRPr="002B76BA">
        <w:rPr>
          <w:rFonts w:ascii="Arial" w:hAnsi="Arial" w:cs="Arial"/>
          <w:sz w:val="20"/>
          <w:szCs w:val="20"/>
        </w:rPr>
        <w:t xml:space="preserve"> Schematic of the therapy regiment for C57BL/6 mice implanted with B16F10 tumor cells were treated with indicated reagents. </w:t>
      </w:r>
      <w:r w:rsidRPr="002B76BA">
        <w:rPr>
          <w:rFonts w:ascii="Arial" w:hAnsi="Arial" w:cs="Arial"/>
          <w:b/>
          <w:sz w:val="20"/>
          <w:szCs w:val="20"/>
        </w:rPr>
        <w:t>b</w:t>
      </w:r>
      <w:r w:rsidRPr="002B76BA">
        <w:rPr>
          <w:rFonts w:ascii="Arial" w:hAnsi="Arial" w:cs="Arial"/>
          <w:sz w:val="20"/>
          <w:szCs w:val="20"/>
        </w:rPr>
        <w:t xml:space="preserve"> Tumor growth, </w:t>
      </w:r>
      <w:r w:rsidRPr="002B76BA">
        <w:rPr>
          <w:rFonts w:ascii="Arial" w:hAnsi="Arial" w:cs="Arial"/>
          <w:b/>
          <w:sz w:val="20"/>
          <w:szCs w:val="20"/>
        </w:rPr>
        <w:t>c</w:t>
      </w:r>
      <w:r w:rsidRPr="002B76BA">
        <w:rPr>
          <w:rFonts w:ascii="Arial" w:hAnsi="Arial" w:cs="Arial"/>
          <w:sz w:val="20"/>
          <w:szCs w:val="20"/>
        </w:rPr>
        <w:t xml:space="preserve"> the mouse body weight, </w:t>
      </w:r>
      <w:r w:rsidRPr="002B76BA">
        <w:rPr>
          <w:rFonts w:ascii="Arial" w:hAnsi="Arial" w:cs="Arial"/>
          <w:b/>
          <w:sz w:val="20"/>
          <w:szCs w:val="20"/>
        </w:rPr>
        <w:t>d</w:t>
      </w:r>
      <w:r w:rsidRPr="002B76BA">
        <w:rPr>
          <w:rFonts w:ascii="Arial" w:hAnsi="Arial" w:cs="Arial"/>
          <w:sz w:val="20"/>
          <w:szCs w:val="20"/>
        </w:rPr>
        <w:t xml:space="preserve"> tumor mass at 18 days after challenge, and e survival of mice. For in vivo experiments, five mice from each group were used. Results in the graphs represent 3 independent experiments performed in triplicate. The p-values were calculated using one-way ANOVA (</w:t>
      </w:r>
      <w:r w:rsidRPr="002B76BA">
        <w:rPr>
          <w:rFonts w:ascii="Arial" w:hAnsi="Arial" w:cs="Arial"/>
          <w:b/>
          <w:sz w:val="20"/>
          <w:szCs w:val="20"/>
        </w:rPr>
        <w:t>c</w:t>
      </w:r>
      <w:r w:rsidRPr="002B76BA">
        <w:rPr>
          <w:rFonts w:ascii="Arial" w:hAnsi="Arial" w:cs="Arial"/>
          <w:sz w:val="20"/>
          <w:szCs w:val="20"/>
        </w:rPr>
        <w:t xml:space="preserve"> and </w:t>
      </w:r>
      <w:r w:rsidRPr="002B76BA">
        <w:rPr>
          <w:rFonts w:ascii="Arial" w:hAnsi="Arial" w:cs="Arial"/>
          <w:b/>
          <w:sz w:val="20"/>
          <w:szCs w:val="20"/>
        </w:rPr>
        <w:t>d</w:t>
      </w:r>
      <w:r w:rsidRPr="002B76BA">
        <w:rPr>
          <w:rFonts w:ascii="Arial" w:hAnsi="Arial" w:cs="Arial"/>
          <w:sz w:val="20"/>
          <w:szCs w:val="20"/>
        </w:rPr>
        <w:t>), two-way ANOVA (</w:t>
      </w:r>
      <w:r w:rsidRPr="002B76BA">
        <w:rPr>
          <w:rFonts w:ascii="Arial" w:hAnsi="Arial" w:cs="Arial"/>
          <w:b/>
          <w:sz w:val="20"/>
          <w:szCs w:val="20"/>
        </w:rPr>
        <w:t>b</w:t>
      </w:r>
      <w:r w:rsidRPr="002B76BA">
        <w:rPr>
          <w:rFonts w:ascii="Arial" w:hAnsi="Arial" w:cs="Arial"/>
          <w:sz w:val="20"/>
          <w:szCs w:val="20"/>
        </w:rPr>
        <w:t xml:space="preserve">), or </w:t>
      </w:r>
      <w:proofErr w:type="spellStart"/>
      <w:r w:rsidRPr="002B76BA">
        <w:rPr>
          <w:rFonts w:ascii="Arial" w:hAnsi="Arial" w:cs="Arial"/>
          <w:sz w:val="20"/>
          <w:szCs w:val="20"/>
        </w:rPr>
        <w:t>Gehan</w:t>
      </w:r>
      <w:proofErr w:type="spellEnd"/>
      <w:r w:rsidRPr="002B76BA">
        <w:rPr>
          <w:rFonts w:ascii="Arial" w:hAnsi="Arial" w:cs="Arial"/>
          <w:sz w:val="20"/>
          <w:szCs w:val="20"/>
        </w:rPr>
        <w:t>-Breslow-</w:t>
      </w:r>
      <w:proofErr w:type="spellStart"/>
      <w:r w:rsidRPr="002B76BA">
        <w:rPr>
          <w:rFonts w:ascii="Arial" w:hAnsi="Arial" w:cs="Arial"/>
          <w:sz w:val="20"/>
          <w:szCs w:val="20"/>
        </w:rPr>
        <w:t>wilcoxon</w:t>
      </w:r>
      <w:proofErr w:type="spellEnd"/>
      <w:r w:rsidRPr="002B76BA">
        <w:rPr>
          <w:rFonts w:ascii="Arial" w:hAnsi="Arial" w:cs="Arial"/>
          <w:sz w:val="20"/>
          <w:szCs w:val="20"/>
        </w:rPr>
        <w:t xml:space="preserve"> test (</w:t>
      </w:r>
      <w:r w:rsidRPr="002B76BA">
        <w:rPr>
          <w:rFonts w:ascii="Arial" w:hAnsi="Arial" w:cs="Arial"/>
          <w:b/>
          <w:sz w:val="20"/>
          <w:szCs w:val="20"/>
        </w:rPr>
        <w:t>e</w:t>
      </w:r>
      <w:r w:rsidRPr="002B76BA">
        <w:rPr>
          <w:rFonts w:ascii="Arial" w:hAnsi="Arial" w:cs="Arial"/>
          <w:sz w:val="20"/>
          <w:szCs w:val="20"/>
        </w:rPr>
        <w:t>). Data represent the mean ±SD. Source data are provided as a Source Data file.</w:t>
      </w:r>
    </w:p>
    <w:p w:rsidR="002B76BA" w:rsidRDefault="002B76BA" w:rsidP="002B76BA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2B76BA" w:rsidRDefault="002B76BA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2B76BA" w:rsidRDefault="00004A9B" w:rsidP="00004A9B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004A9B">
        <w:rPr>
          <w:rFonts w:ascii="Arial" w:hAnsi="Arial" w:cs="Arial"/>
          <w:b/>
          <w:sz w:val="20"/>
          <w:szCs w:val="20"/>
        </w:rPr>
        <w:lastRenderedPageBreak/>
        <w:drawing>
          <wp:inline distT="0" distB="0" distL="0" distR="0" wp14:anchorId="77F94DED" wp14:editId="322F80AC">
            <wp:extent cx="4846740" cy="3846909"/>
            <wp:effectExtent l="0" t="0" r="0" b="0"/>
            <wp:docPr id="4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ED2EB443-5694-4681-89AB-736D75C14B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ED2EB443-5694-4681-89AB-736D75C14B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6740" cy="38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6BA" w:rsidRDefault="002B76BA" w:rsidP="002B76BA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2B76BA">
        <w:rPr>
          <w:rFonts w:ascii="Arial" w:hAnsi="Arial" w:cs="Arial"/>
          <w:b/>
          <w:sz w:val="20"/>
          <w:szCs w:val="20"/>
        </w:rPr>
        <w:t>Supplementary Fig. 8. CRY1 inhibition enhances anti-tumor response to adoptive T cell therapy</w:t>
      </w:r>
      <w:r>
        <w:rPr>
          <w:rFonts w:ascii="Arial" w:hAnsi="Arial" w:cs="Arial" w:hint="eastAsia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B76BA">
        <w:rPr>
          <w:rFonts w:ascii="Arial" w:hAnsi="Arial" w:cs="Arial"/>
          <w:b/>
          <w:sz w:val="20"/>
          <w:szCs w:val="20"/>
        </w:rPr>
        <w:t>a</w:t>
      </w:r>
      <w:r w:rsidRPr="002B76BA">
        <w:rPr>
          <w:rFonts w:ascii="Arial" w:hAnsi="Arial" w:cs="Arial"/>
          <w:sz w:val="20"/>
          <w:szCs w:val="20"/>
        </w:rPr>
        <w:t xml:space="preserve"> Schematic of the therapy regimen in NOD-SCID mice implanted with MDA-MB-231 P3 cells. </w:t>
      </w:r>
      <w:r w:rsidRPr="002B76BA">
        <w:rPr>
          <w:rFonts w:ascii="Arial" w:hAnsi="Arial" w:cs="Arial"/>
          <w:b/>
          <w:sz w:val="20"/>
          <w:szCs w:val="20"/>
        </w:rPr>
        <w:t>b</w:t>
      </w:r>
      <w:r w:rsidRPr="002B76BA">
        <w:rPr>
          <w:rFonts w:ascii="Arial" w:hAnsi="Arial" w:cs="Arial"/>
          <w:sz w:val="20"/>
          <w:szCs w:val="20"/>
        </w:rPr>
        <w:t>-</w:t>
      </w:r>
      <w:r w:rsidRPr="002B76BA">
        <w:rPr>
          <w:rFonts w:ascii="Arial" w:hAnsi="Arial" w:cs="Arial"/>
          <w:b/>
          <w:sz w:val="20"/>
          <w:szCs w:val="20"/>
        </w:rPr>
        <w:t>e</w:t>
      </w:r>
      <w:r w:rsidRPr="002B76B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2B76BA">
        <w:rPr>
          <w:rFonts w:ascii="Arial" w:hAnsi="Arial" w:cs="Arial"/>
          <w:sz w:val="20"/>
          <w:szCs w:val="20"/>
        </w:rPr>
        <w:t>The</w:t>
      </w:r>
      <w:proofErr w:type="gramEnd"/>
      <w:r w:rsidRPr="002B76BA">
        <w:rPr>
          <w:rFonts w:ascii="Arial" w:hAnsi="Arial" w:cs="Arial"/>
          <w:sz w:val="20"/>
          <w:szCs w:val="20"/>
        </w:rPr>
        <w:t xml:space="preserve"> tumor growth (</w:t>
      </w:r>
      <w:r w:rsidRPr="002B76BA">
        <w:rPr>
          <w:rFonts w:ascii="Arial" w:hAnsi="Arial" w:cs="Arial"/>
          <w:b/>
          <w:sz w:val="20"/>
          <w:szCs w:val="20"/>
        </w:rPr>
        <w:t>b</w:t>
      </w:r>
      <w:r w:rsidRPr="002B76BA">
        <w:rPr>
          <w:rFonts w:ascii="Arial" w:hAnsi="Arial" w:cs="Arial"/>
          <w:sz w:val="20"/>
          <w:szCs w:val="20"/>
        </w:rPr>
        <w:t>), the mouse body weight (</w:t>
      </w:r>
      <w:r w:rsidRPr="002B76BA">
        <w:rPr>
          <w:rFonts w:ascii="Arial" w:hAnsi="Arial" w:cs="Arial"/>
          <w:b/>
          <w:sz w:val="20"/>
          <w:szCs w:val="20"/>
        </w:rPr>
        <w:t>c</w:t>
      </w:r>
      <w:r w:rsidRPr="002B76BA">
        <w:rPr>
          <w:rFonts w:ascii="Arial" w:hAnsi="Arial" w:cs="Arial"/>
          <w:sz w:val="20"/>
          <w:szCs w:val="20"/>
        </w:rPr>
        <w:t>), the tumor mass at 23 days after challenge (</w:t>
      </w:r>
      <w:r w:rsidRPr="002B76BA">
        <w:rPr>
          <w:rFonts w:ascii="Arial" w:hAnsi="Arial" w:cs="Arial"/>
          <w:b/>
          <w:sz w:val="20"/>
          <w:szCs w:val="20"/>
        </w:rPr>
        <w:t>d</w:t>
      </w:r>
      <w:r w:rsidRPr="002B76BA">
        <w:rPr>
          <w:rFonts w:ascii="Arial" w:hAnsi="Arial" w:cs="Arial"/>
          <w:sz w:val="20"/>
          <w:szCs w:val="20"/>
        </w:rPr>
        <w:t>), and the survival (</w:t>
      </w:r>
      <w:r w:rsidRPr="002B76BA">
        <w:rPr>
          <w:rFonts w:ascii="Arial" w:hAnsi="Arial" w:cs="Arial"/>
          <w:b/>
          <w:sz w:val="20"/>
          <w:szCs w:val="20"/>
        </w:rPr>
        <w:t>e</w:t>
      </w:r>
      <w:r w:rsidRPr="002B76BA">
        <w:rPr>
          <w:rFonts w:ascii="Arial" w:hAnsi="Arial" w:cs="Arial"/>
          <w:sz w:val="20"/>
          <w:szCs w:val="20"/>
        </w:rPr>
        <w:t>) of MDA-MB-231 P3 tumor cells-bearing mice administrated with vehicle or KS15, with or without MART-1 specific CTL. For in vivo experiments, five mice from each group were used. Results in the graphs represent 3 independent experiments performed in triplicate. The p-values were calculated using one-way ANOVA (</w:t>
      </w:r>
      <w:r w:rsidRPr="002B76BA">
        <w:rPr>
          <w:rFonts w:ascii="Arial" w:hAnsi="Arial" w:cs="Arial"/>
          <w:b/>
          <w:sz w:val="20"/>
          <w:szCs w:val="20"/>
        </w:rPr>
        <w:t>c</w:t>
      </w:r>
      <w:r w:rsidRPr="002B76BA">
        <w:rPr>
          <w:rFonts w:ascii="Arial" w:hAnsi="Arial" w:cs="Arial"/>
          <w:sz w:val="20"/>
          <w:szCs w:val="20"/>
        </w:rPr>
        <w:t xml:space="preserve"> and </w:t>
      </w:r>
      <w:r w:rsidRPr="002B76BA">
        <w:rPr>
          <w:rFonts w:ascii="Arial" w:hAnsi="Arial" w:cs="Arial"/>
          <w:b/>
          <w:sz w:val="20"/>
          <w:szCs w:val="20"/>
        </w:rPr>
        <w:t>d</w:t>
      </w:r>
      <w:r w:rsidRPr="002B76BA">
        <w:rPr>
          <w:rFonts w:ascii="Arial" w:hAnsi="Arial" w:cs="Arial"/>
          <w:sz w:val="20"/>
          <w:szCs w:val="20"/>
        </w:rPr>
        <w:t>), two-way ANOVA (</w:t>
      </w:r>
      <w:r w:rsidRPr="002B76BA">
        <w:rPr>
          <w:rFonts w:ascii="Arial" w:hAnsi="Arial" w:cs="Arial"/>
          <w:b/>
          <w:sz w:val="20"/>
          <w:szCs w:val="20"/>
        </w:rPr>
        <w:t>b</w:t>
      </w:r>
      <w:r w:rsidRPr="002B76BA">
        <w:rPr>
          <w:rFonts w:ascii="Arial" w:hAnsi="Arial" w:cs="Arial"/>
          <w:sz w:val="20"/>
          <w:szCs w:val="20"/>
        </w:rPr>
        <w:t xml:space="preserve">), or </w:t>
      </w:r>
      <w:proofErr w:type="spellStart"/>
      <w:r w:rsidRPr="002B76BA">
        <w:rPr>
          <w:rFonts w:ascii="Arial" w:hAnsi="Arial" w:cs="Arial"/>
          <w:sz w:val="20"/>
          <w:szCs w:val="20"/>
        </w:rPr>
        <w:t>Gehan</w:t>
      </w:r>
      <w:proofErr w:type="spellEnd"/>
      <w:r w:rsidRPr="002B76BA">
        <w:rPr>
          <w:rFonts w:ascii="Arial" w:hAnsi="Arial" w:cs="Arial"/>
          <w:sz w:val="20"/>
          <w:szCs w:val="20"/>
        </w:rPr>
        <w:t>-Breslow-</w:t>
      </w:r>
      <w:proofErr w:type="spellStart"/>
      <w:r w:rsidRPr="002B76BA">
        <w:rPr>
          <w:rFonts w:ascii="Arial" w:hAnsi="Arial" w:cs="Arial"/>
          <w:sz w:val="20"/>
          <w:szCs w:val="20"/>
        </w:rPr>
        <w:t>wilcoxon</w:t>
      </w:r>
      <w:proofErr w:type="spellEnd"/>
      <w:r w:rsidRPr="002B76BA">
        <w:rPr>
          <w:rFonts w:ascii="Arial" w:hAnsi="Arial" w:cs="Arial"/>
          <w:sz w:val="20"/>
          <w:szCs w:val="20"/>
        </w:rPr>
        <w:t xml:space="preserve"> test (</w:t>
      </w:r>
      <w:r w:rsidRPr="002B76BA">
        <w:rPr>
          <w:rFonts w:ascii="Arial" w:hAnsi="Arial" w:cs="Arial"/>
          <w:b/>
          <w:sz w:val="20"/>
          <w:szCs w:val="20"/>
        </w:rPr>
        <w:t>e</w:t>
      </w:r>
      <w:r w:rsidRPr="002B76BA">
        <w:rPr>
          <w:rFonts w:ascii="Arial" w:hAnsi="Arial" w:cs="Arial"/>
          <w:sz w:val="20"/>
          <w:szCs w:val="20"/>
        </w:rPr>
        <w:t>) are indicated. Data represent the mean ±SD. Source data are provided as a Source Data file.</w:t>
      </w:r>
    </w:p>
    <w:p w:rsidR="002B76BA" w:rsidRDefault="002B76BA" w:rsidP="002B76BA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2B76BA" w:rsidRDefault="002B76BA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2B76BA" w:rsidRDefault="00004A9B" w:rsidP="00004A9B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004A9B">
        <w:rPr>
          <w:rFonts w:ascii="Arial" w:hAnsi="Arial" w:cs="Arial"/>
          <w:b/>
          <w:sz w:val="20"/>
          <w:szCs w:val="20"/>
        </w:rPr>
        <w:lastRenderedPageBreak/>
        <w:drawing>
          <wp:inline distT="0" distB="0" distL="0" distR="0" wp14:anchorId="3ABAEEC1" wp14:editId="5ACC6BB2">
            <wp:extent cx="5731510" cy="1537335"/>
            <wp:effectExtent l="0" t="0" r="0" b="0"/>
            <wp:docPr id="5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27CA89BC-A5C6-4A43-8889-8991A0EA0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27CA89BC-A5C6-4A43-8889-8991A0EA06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6BA" w:rsidRDefault="00004A9B" w:rsidP="00004A9B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004A9B">
        <w:rPr>
          <w:rFonts w:ascii="Arial" w:hAnsi="Arial" w:cs="Arial"/>
          <w:b/>
          <w:sz w:val="20"/>
          <w:szCs w:val="20"/>
        </w:rPr>
        <w:t>Supplementary Fig. 9. Gating strategy for identification of apoptotic tumor cells by CTL-mediated killing</w:t>
      </w:r>
      <w:r>
        <w:rPr>
          <w:rFonts w:ascii="Arial" w:hAnsi="Arial" w:cs="Arial" w:hint="eastAsia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04A9B">
        <w:rPr>
          <w:rFonts w:ascii="Arial" w:hAnsi="Arial" w:cs="Arial"/>
          <w:sz w:val="20"/>
          <w:szCs w:val="20"/>
        </w:rPr>
        <w:t>Representative flow cytometry analysis showing the gating strategy. T cells and tumor cells population was initially gated based on the FSC-A and SSC-A, and single cells were gated based on SSC-A and SSC-H. After then, CFSE</w:t>
      </w:r>
      <w:r w:rsidRPr="00004A9B">
        <w:rPr>
          <w:rFonts w:ascii="Arial" w:hAnsi="Arial" w:cs="Arial"/>
          <w:sz w:val="20"/>
          <w:szCs w:val="20"/>
          <w:vertAlign w:val="superscript"/>
        </w:rPr>
        <w:t>+</w:t>
      </w:r>
      <w:r w:rsidRPr="00004A9B">
        <w:rPr>
          <w:rFonts w:ascii="Arial" w:hAnsi="Arial" w:cs="Arial"/>
          <w:sz w:val="20"/>
          <w:szCs w:val="20"/>
        </w:rPr>
        <w:t xml:space="preserve"> tumor cells were gated in the plot CFSF (FITC). Finally, the CSFE</w:t>
      </w:r>
      <w:r w:rsidRPr="00004A9B">
        <w:rPr>
          <w:rFonts w:ascii="Arial" w:hAnsi="Arial" w:cs="Arial"/>
          <w:sz w:val="20"/>
          <w:szCs w:val="20"/>
          <w:vertAlign w:val="superscript"/>
        </w:rPr>
        <w:t>+</w:t>
      </w:r>
      <w:r w:rsidRPr="00004A9B">
        <w:rPr>
          <w:rFonts w:ascii="Arial" w:hAnsi="Arial" w:cs="Arial"/>
          <w:sz w:val="20"/>
          <w:szCs w:val="20"/>
        </w:rPr>
        <w:t xml:space="preserve"> and active caspase-3</w:t>
      </w:r>
      <w:r w:rsidRPr="00004A9B">
        <w:rPr>
          <w:rFonts w:ascii="Arial" w:hAnsi="Arial" w:cs="Arial"/>
          <w:sz w:val="20"/>
          <w:szCs w:val="20"/>
          <w:vertAlign w:val="superscript"/>
        </w:rPr>
        <w:t>+</w:t>
      </w:r>
      <w:r w:rsidRPr="00004A9B">
        <w:rPr>
          <w:rFonts w:ascii="Arial" w:hAnsi="Arial" w:cs="Arial"/>
          <w:sz w:val="20"/>
          <w:szCs w:val="20"/>
        </w:rPr>
        <w:t xml:space="preserve"> population was measured in the active caspase-3</w:t>
      </w:r>
      <w:r w:rsidRPr="00004A9B">
        <w:rPr>
          <w:rFonts w:ascii="Arial" w:hAnsi="Arial" w:cs="Arial"/>
          <w:sz w:val="20"/>
          <w:szCs w:val="20"/>
          <w:vertAlign w:val="superscript"/>
        </w:rPr>
        <w:t>+</w:t>
      </w:r>
      <w:r w:rsidRPr="00004A9B">
        <w:rPr>
          <w:rFonts w:ascii="Arial" w:hAnsi="Arial" w:cs="Arial"/>
          <w:sz w:val="20"/>
          <w:szCs w:val="20"/>
        </w:rPr>
        <w:t xml:space="preserve"> (APC).</w:t>
      </w:r>
    </w:p>
    <w:p w:rsidR="00004A9B" w:rsidRDefault="00004A9B" w:rsidP="00004A9B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004A9B" w:rsidRDefault="00004A9B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004A9B" w:rsidRDefault="00004A9B" w:rsidP="00004A9B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 w:hint="eastAsia"/>
          <w:b/>
          <w:sz w:val="20"/>
          <w:szCs w:val="20"/>
        </w:rPr>
        <w:lastRenderedPageBreak/>
        <w:t>S</w:t>
      </w:r>
      <w:r>
        <w:rPr>
          <w:rFonts w:ascii="Arial" w:hAnsi="Arial" w:cs="Arial"/>
          <w:b/>
          <w:sz w:val="20"/>
          <w:szCs w:val="20"/>
        </w:rPr>
        <w:t>upplementary Fig. 10. Uncropped blot images</w:t>
      </w:r>
      <w:r w:rsidR="00087F89">
        <w:rPr>
          <w:rFonts w:ascii="Arial" w:hAnsi="Arial" w:cs="Arial"/>
          <w:b/>
          <w:sz w:val="20"/>
          <w:szCs w:val="20"/>
        </w:rPr>
        <w:t>.</w:t>
      </w:r>
    </w:p>
    <w:p w:rsidR="00087F89" w:rsidRDefault="00087F89" w:rsidP="00004A9B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 w:rsidRPr="00087F89">
        <w:rPr>
          <w:rFonts w:ascii="Arial" w:hAnsi="Arial" w:cs="Arial"/>
          <w:b/>
          <w:sz w:val="20"/>
          <w:szCs w:val="20"/>
        </w:rPr>
        <w:drawing>
          <wp:inline distT="0" distB="0" distL="0" distR="0" wp14:anchorId="096F90AA" wp14:editId="5121A022">
            <wp:extent cx="5731510" cy="7793355"/>
            <wp:effectExtent l="0" t="0" r="2540" b="0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6D244B90-A6C4-46FA-B65E-27E9A98CD4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6D244B90-A6C4-46FA-B65E-27E9A98CD4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F89" w:rsidRDefault="00087F89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087F89" w:rsidRDefault="00087F89" w:rsidP="00087F8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 w:hint="eastAsia"/>
          <w:b/>
          <w:sz w:val="20"/>
          <w:szCs w:val="20"/>
        </w:rPr>
        <w:lastRenderedPageBreak/>
        <w:t>S</w:t>
      </w:r>
      <w:r>
        <w:rPr>
          <w:rFonts w:ascii="Arial" w:hAnsi="Arial" w:cs="Arial"/>
          <w:b/>
          <w:sz w:val="20"/>
          <w:szCs w:val="20"/>
        </w:rPr>
        <w:t>upplementary Fig. 10. Uncropped blot images</w:t>
      </w:r>
      <w:r>
        <w:rPr>
          <w:rFonts w:ascii="Arial" w:hAnsi="Arial" w:cs="Arial"/>
          <w:b/>
          <w:sz w:val="20"/>
          <w:szCs w:val="20"/>
        </w:rPr>
        <w:t xml:space="preserve"> (continued).</w:t>
      </w:r>
    </w:p>
    <w:p w:rsidR="000666E2" w:rsidRDefault="000666E2" w:rsidP="00087F8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 w:rsidRPr="000666E2">
        <w:rPr>
          <w:rFonts w:ascii="Arial" w:hAnsi="Arial" w:cs="Arial"/>
          <w:b/>
          <w:sz w:val="20"/>
          <w:szCs w:val="20"/>
        </w:rPr>
        <w:drawing>
          <wp:inline distT="0" distB="0" distL="0" distR="0" wp14:anchorId="42DAF3A3" wp14:editId="21DA193B">
            <wp:extent cx="5731510" cy="5073650"/>
            <wp:effectExtent l="0" t="0" r="2540" b="0"/>
            <wp:docPr id="8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506518BB-45BA-4B1A-9D2F-2EFD3333A7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506518BB-45BA-4B1A-9D2F-2EFD3333A7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E2" w:rsidRDefault="000666E2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0666E2" w:rsidRDefault="000666E2" w:rsidP="000666E2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 w:hint="eastAsia"/>
          <w:b/>
          <w:sz w:val="20"/>
          <w:szCs w:val="20"/>
        </w:rPr>
        <w:lastRenderedPageBreak/>
        <w:t>S</w:t>
      </w:r>
      <w:r>
        <w:rPr>
          <w:rFonts w:ascii="Arial" w:hAnsi="Arial" w:cs="Arial"/>
          <w:b/>
          <w:sz w:val="20"/>
          <w:szCs w:val="20"/>
        </w:rPr>
        <w:t>upplementary Fig. 10. Uncropped blot images (continued).</w:t>
      </w:r>
    </w:p>
    <w:p w:rsidR="000666E2" w:rsidRDefault="000666E2" w:rsidP="00087F89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 w:rsidRPr="000666E2">
        <w:rPr>
          <w:rFonts w:ascii="Arial" w:hAnsi="Arial" w:cs="Arial"/>
          <w:b/>
          <w:sz w:val="20"/>
          <w:szCs w:val="20"/>
        </w:rPr>
        <w:drawing>
          <wp:inline distT="0" distB="0" distL="0" distR="0" wp14:anchorId="181F738C" wp14:editId="2FF652EF">
            <wp:extent cx="5731510" cy="7400925"/>
            <wp:effectExtent l="0" t="0" r="2540" b="0"/>
            <wp:docPr id="9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6A67B68A-9D84-4BD7-BFA7-1E2C127FB2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6A67B68A-9D84-4BD7-BFA7-1E2C127FB2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E2" w:rsidRDefault="000666E2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0666E2" w:rsidRDefault="000666E2" w:rsidP="000666E2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 w:hint="eastAsia"/>
          <w:b/>
          <w:sz w:val="20"/>
          <w:szCs w:val="20"/>
        </w:rPr>
        <w:lastRenderedPageBreak/>
        <w:t>S</w:t>
      </w:r>
      <w:r>
        <w:rPr>
          <w:rFonts w:ascii="Arial" w:hAnsi="Arial" w:cs="Arial"/>
          <w:b/>
          <w:sz w:val="20"/>
          <w:szCs w:val="20"/>
        </w:rPr>
        <w:t>upplementary Fig. 10. Uncropped blot images (continued).</w:t>
      </w:r>
    </w:p>
    <w:p w:rsidR="000666E2" w:rsidRDefault="000666E2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 w:rsidRPr="000666E2">
        <w:rPr>
          <w:rFonts w:ascii="Arial" w:hAnsi="Arial" w:cs="Arial"/>
          <w:b/>
          <w:sz w:val="20"/>
          <w:szCs w:val="20"/>
        </w:rPr>
        <w:drawing>
          <wp:inline distT="0" distB="0" distL="0" distR="0" wp14:anchorId="4D0CB22F" wp14:editId="7B1C99A1">
            <wp:extent cx="5267401" cy="2688569"/>
            <wp:effectExtent l="0" t="0" r="0" b="0"/>
            <wp:docPr id="138" name="그림 137">
              <a:extLst xmlns:a="http://schemas.openxmlformats.org/drawingml/2006/main">
                <a:ext uri="{FF2B5EF4-FFF2-40B4-BE49-F238E27FC236}">
                  <a16:creationId xmlns:a16="http://schemas.microsoft.com/office/drawing/2014/main" id="{B99F2D5E-6F1B-46A0-8810-99CB075277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그림 137">
                      <a:extLst>
                        <a:ext uri="{FF2B5EF4-FFF2-40B4-BE49-F238E27FC236}">
                          <a16:creationId xmlns:a16="http://schemas.microsoft.com/office/drawing/2014/main" id="{B99F2D5E-6F1B-46A0-8810-99CB075277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401" cy="268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E2" w:rsidRDefault="000666E2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0666E2" w:rsidRDefault="000666E2" w:rsidP="000666E2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 w:hint="eastAsia"/>
          <w:b/>
          <w:sz w:val="20"/>
          <w:szCs w:val="20"/>
        </w:rPr>
        <w:lastRenderedPageBreak/>
        <w:t>S</w:t>
      </w:r>
      <w:r>
        <w:rPr>
          <w:rFonts w:ascii="Arial" w:hAnsi="Arial" w:cs="Arial"/>
          <w:b/>
          <w:sz w:val="20"/>
          <w:szCs w:val="20"/>
        </w:rPr>
        <w:t>upplementary Fig. 10. Uncropped blot images (continued).</w:t>
      </w:r>
    </w:p>
    <w:p w:rsidR="000666E2" w:rsidRPr="000666E2" w:rsidRDefault="000666E2">
      <w:pPr>
        <w:widowControl/>
        <w:wordWrap/>
        <w:autoSpaceDE/>
        <w:autoSpaceDN/>
        <w:jc w:val="both"/>
        <w:rPr>
          <w:rFonts w:ascii="Arial" w:hAnsi="Arial" w:cs="Arial"/>
          <w:b/>
          <w:sz w:val="20"/>
          <w:szCs w:val="20"/>
        </w:rPr>
      </w:pPr>
      <w:r w:rsidRPr="000666E2">
        <w:rPr>
          <w:rFonts w:ascii="Arial" w:hAnsi="Arial" w:cs="Arial"/>
          <w:b/>
          <w:sz w:val="20"/>
          <w:szCs w:val="20"/>
        </w:rPr>
        <w:drawing>
          <wp:inline distT="0" distB="0" distL="0" distR="0" wp14:anchorId="7E36F4A4" wp14:editId="3A4067D4">
            <wp:extent cx="5731510" cy="5992495"/>
            <wp:effectExtent l="0" t="0" r="2540" b="0"/>
            <wp:docPr id="314" name="그림 313">
              <a:extLst xmlns:a="http://schemas.openxmlformats.org/drawingml/2006/main">
                <a:ext uri="{FF2B5EF4-FFF2-40B4-BE49-F238E27FC236}">
                  <a16:creationId xmlns:a16="http://schemas.microsoft.com/office/drawing/2014/main" id="{7B2B8032-C966-4B7A-A66B-8B9CA72468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그림 313">
                      <a:extLst>
                        <a:ext uri="{FF2B5EF4-FFF2-40B4-BE49-F238E27FC236}">
                          <a16:creationId xmlns:a16="http://schemas.microsoft.com/office/drawing/2014/main" id="{7B2B8032-C966-4B7A-A66B-8B9CA72468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D24E1" w:rsidRPr="000666E2" w:rsidRDefault="006D24E1" w:rsidP="00087F89">
      <w:pPr>
        <w:widowControl/>
        <w:wordWrap/>
        <w:autoSpaceDE/>
        <w:autoSpaceDN/>
        <w:spacing w:line="480" w:lineRule="auto"/>
        <w:jc w:val="both"/>
        <w:rPr>
          <w:rFonts w:ascii="Arial" w:hAnsi="Arial" w:cs="Arial" w:hint="eastAsia"/>
          <w:b/>
          <w:sz w:val="20"/>
          <w:szCs w:val="20"/>
        </w:rPr>
      </w:pPr>
    </w:p>
    <w:p w:rsidR="00004A9B" w:rsidRDefault="00004A9B" w:rsidP="00004A9B">
      <w:pPr>
        <w:widowControl/>
        <w:wordWrap/>
        <w:autoSpaceDE/>
        <w:autoSpaceDN/>
        <w:spacing w:line="480" w:lineRule="auto"/>
        <w:jc w:val="both"/>
        <w:rPr>
          <w:rFonts w:ascii="Arial" w:hAnsi="Arial" w:cs="Arial" w:hint="eastAsia"/>
          <w:b/>
          <w:sz w:val="20"/>
          <w:szCs w:val="20"/>
        </w:rPr>
      </w:pPr>
    </w:p>
    <w:p w:rsidR="00004A9B" w:rsidRPr="00004A9B" w:rsidRDefault="00004A9B" w:rsidP="00004A9B">
      <w:pPr>
        <w:widowControl/>
        <w:wordWrap/>
        <w:autoSpaceDE/>
        <w:autoSpaceDN/>
        <w:spacing w:line="480" w:lineRule="auto"/>
        <w:jc w:val="both"/>
        <w:rPr>
          <w:rFonts w:ascii="Arial" w:hAnsi="Arial" w:cs="Arial" w:hint="eastAsia"/>
          <w:b/>
          <w:sz w:val="20"/>
          <w:szCs w:val="20"/>
        </w:rPr>
      </w:pPr>
    </w:p>
    <w:p w:rsidR="00B00E8A" w:rsidRPr="00BC2C79" w:rsidRDefault="00B00E8A"/>
    <w:sectPr w:rsidR="00B00E8A" w:rsidRPr="00BC2C7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0BF" w:rsidRDefault="00A760BF" w:rsidP="000666E2">
      <w:pPr>
        <w:spacing w:after="0" w:line="240" w:lineRule="auto"/>
      </w:pPr>
      <w:r>
        <w:separator/>
      </w:r>
    </w:p>
  </w:endnote>
  <w:endnote w:type="continuationSeparator" w:id="0">
    <w:p w:rsidR="00A760BF" w:rsidRDefault="00A760BF" w:rsidP="00066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0BF" w:rsidRDefault="00A760BF" w:rsidP="000666E2">
      <w:pPr>
        <w:spacing w:after="0" w:line="240" w:lineRule="auto"/>
      </w:pPr>
      <w:r>
        <w:separator/>
      </w:r>
    </w:p>
  </w:footnote>
  <w:footnote w:type="continuationSeparator" w:id="0">
    <w:p w:rsidR="00A760BF" w:rsidRDefault="00A760BF" w:rsidP="000666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C79"/>
    <w:rsid w:val="00004A9B"/>
    <w:rsid w:val="000666E2"/>
    <w:rsid w:val="00087F89"/>
    <w:rsid w:val="002B76BA"/>
    <w:rsid w:val="006D24E1"/>
    <w:rsid w:val="00A760BF"/>
    <w:rsid w:val="00B00E8A"/>
    <w:rsid w:val="00BC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ECC20"/>
  <w15:chartTrackingRefBased/>
  <w15:docId w15:val="{B66C691D-A2E5-45CF-9C4E-AB4A34BD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C2C79"/>
    <w:pPr>
      <w:widowControl w:val="0"/>
      <w:wordWrap w:val="0"/>
      <w:autoSpaceDE w:val="0"/>
      <w:autoSpaceDN w:val="0"/>
      <w:jc w:val="left"/>
    </w:pPr>
    <w:rPr>
      <w:color w:val="000000"/>
      <w:kern w:val="0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66E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66E2"/>
    <w:rPr>
      <w:color w:val="000000"/>
      <w:kern w:val="0"/>
      <w:sz w:val="22"/>
    </w:rPr>
  </w:style>
  <w:style w:type="paragraph" w:styleId="a4">
    <w:name w:val="footer"/>
    <w:basedOn w:val="a"/>
    <w:link w:val="Char0"/>
    <w:uiPriority w:val="99"/>
    <w:unhideWhenUsed/>
    <w:rsid w:val="000666E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66E2"/>
    <w:rPr>
      <w:color w:val="000000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920</Words>
  <Characters>5245</Characters>
  <Application>Microsoft Office Word</Application>
  <DocSecurity>0</DocSecurity>
  <Lines>43</Lines>
  <Paragraphs>12</Paragraphs>
  <ScaleCrop>false</ScaleCrop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면역종양학실험실</dc:creator>
  <cp:keywords/>
  <dc:description/>
  <cp:lastModifiedBy>면역종양학실험실</cp:lastModifiedBy>
  <cp:revision>6</cp:revision>
  <dcterms:created xsi:type="dcterms:W3CDTF">2024-12-05T02:12:00Z</dcterms:created>
  <dcterms:modified xsi:type="dcterms:W3CDTF">2024-12-05T02:31:00Z</dcterms:modified>
</cp:coreProperties>
</file>