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4CEC3A" w:rsidP="7D26841A" w:rsidRDefault="574CEC3A" w14:paraId="42EA17AC" w14:textId="1E202659">
      <w:pPr>
        <w:pStyle w:val="Title"/>
        <w:keepNext w:val="1"/>
        <w:keepLines w:val="1"/>
        <w:spacing w:after="60"/>
        <w:jc w:val="center"/>
        <w:rPr>
          <w:rFonts w:ascii="Calibri" w:hAnsi="Calibri" w:eastAsia="Calibri" w:cs="Calibri"/>
          <w:b w:val="0"/>
          <w:bCs w:val="0"/>
          <w:i w:val="0"/>
          <w:iCs w:val="0"/>
          <w:caps w:val="0"/>
          <w:smallCaps w:val="0"/>
          <w:noProof w:val="0"/>
          <w:color w:val="000000" w:themeColor="text1" w:themeTint="FF" w:themeShade="FF"/>
          <w:sz w:val="52"/>
          <w:szCs w:val="52"/>
          <w:lang w:val="en-US"/>
        </w:rPr>
      </w:pPr>
      <w:r w:rsidRPr="7D26841A" w:rsidR="574CEC3A">
        <w:rPr>
          <w:rFonts w:ascii="Calibri" w:hAnsi="Calibri" w:eastAsia="Calibri" w:cs="Calibri"/>
          <w:b w:val="0"/>
          <w:bCs w:val="0"/>
          <w:i w:val="0"/>
          <w:iCs w:val="0"/>
          <w:caps w:val="0"/>
          <w:smallCaps w:val="0"/>
          <w:noProof w:val="0"/>
          <w:color w:val="000000" w:themeColor="text1" w:themeTint="FF" w:themeShade="FF"/>
          <w:sz w:val="52"/>
          <w:szCs w:val="52"/>
          <w:lang w:val="en-US"/>
        </w:rPr>
        <w:t>Fishery nutrient profiles provide a practical tool for nutrition-sensitive fisheries management</w:t>
      </w:r>
    </w:p>
    <w:p w:rsidR="7D26841A" w:rsidP="7D26841A" w:rsidRDefault="7D26841A" w14:paraId="584A5591" w14:textId="0220639F">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574CEC3A" w:rsidP="7D26841A" w:rsidRDefault="574CEC3A" w14:paraId="433FC40E" w14:textId="0CD82BFF">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r w:rsidRPr="7D26841A" w:rsidR="574CEC3A">
        <w:rPr>
          <w:rFonts w:ascii="Calibri" w:hAnsi="Calibri" w:eastAsia="Calibri" w:cs="Calibri"/>
          <w:b w:val="1"/>
          <w:bCs w:val="1"/>
          <w:i w:val="0"/>
          <w:iCs w:val="0"/>
          <w:caps w:val="0"/>
          <w:smallCaps w:val="0"/>
          <w:noProof w:val="0"/>
          <w:color w:val="000000" w:themeColor="text1" w:themeTint="FF" w:themeShade="FF"/>
          <w:sz w:val="21"/>
          <w:szCs w:val="21"/>
          <w:lang w:val="en-US"/>
        </w:rPr>
        <w:t>Lorenzo Longobardi, Gianna Bonis-Profumo, Hamza Altarturi, Jessica Bogard, Joctan Dos Reis Lopes, Jeppe Kolding, Villiam Sozinho, Alexander Tilley</w:t>
      </w:r>
    </w:p>
    <w:p w:rsidR="7D26841A" w:rsidP="7D26841A" w:rsidRDefault="7D26841A" w14:paraId="4C5AB8A1" w14:textId="11B955E1">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574CEC3A" w:rsidP="7D26841A" w:rsidRDefault="574CEC3A" w14:paraId="3614FA29" w14:textId="3EACE1B0">
      <w:pPr>
        <w:jc w:val="both"/>
        <w:rPr>
          <w:rFonts w:ascii="Calibri" w:hAnsi="Calibri" w:eastAsia="Calibri" w:cs="Calibri"/>
          <w:b w:val="0"/>
          <w:bCs w:val="0"/>
          <w:i w:val="0"/>
          <w:iCs w:val="0"/>
          <w:caps w:val="0"/>
          <w:smallCaps w:val="0"/>
          <w:noProof w:val="0"/>
          <w:color w:val="000000" w:themeColor="text1" w:themeTint="FF" w:themeShade="FF"/>
          <w:sz w:val="40"/>
          <w:szCs w:val="40"/>
          <w:lang w:val="en-US"/>
        </w:rPr>
      </w:pPr>
      <w:r w:rsidRPr="7D26841A" w:rsidR="574CEC3A">
        <w:rPr>
          <w:rFonts w:ascii="Calibri" w:hAnsi="Calibri" w:eastAsia="Calibri" w:cs="Calibri"/>
          <w:b w:val="1"/>
          <w:bCs w:val="1"/>
          <w:i w:val="0"/>
          <w:iCs w:val="0"/>
          <w:caps w:val="0"/>
          <w:smallCaps w:val="0"/>
          <w:noProof w:val="0"/>
          <w:color w:val="000000" w:themeColor="text1" w:themeTint="FF" w:themeShade="FF"/>
          <w:sz w:val="21"/>
          <w:szCs w:val="21"/>
          <w:lang w:val="en-US"/>
        </w:rPr>
        <w:t>Keywords</w:t>
      </w:r>
      <w:r w:rsidRPr="7D26841A" w:rsidR="574CEC3A">
        <w:rPr>
          <w:rFonts w:ascii="Calibri" w:hAnsi="Calibri" w:eastAsia="Calibri" w:cs="Calibri"/>
          <w:b w:val="0"/>
          <w:bCs w:val="0"/>
          <w:i w:val="0"/>
          <w:iCs w:val="0"/>
          <w:caps w:val="0"/>
          <w:smallCaps w:val="0"/>
          <w:noProof w:val="0"/>
          <w:color w:val="000000" w:themeColor="text1" w:themeTint="FF" w:themeShade="FF"/>
          <w:sz w:val="21"/>
          <w:szCs w:val="21"/>
          <w:lang w:val="en-US"/>
        </w:rPr>
        <w:t>: small-scale fisheries; nutrition-sensitive; multispecies fisheries management; malnutrition; micronutrients; LMIC</w:t>
      </w:r>
    </w:p>
    <w:p w:rsidR="7D26841A" w:rsidP="7D26841A" w:rsidRDefault="7D26841A" w14:paraId="43AEBDDB" w14:textId="14CFCF8E">
      <w:pPr>
        <w:jc w:val="both"/>
        <w:rPr>
          <w:rFonts w:ascii="Calibri" w:hAnsi="Calibri" w:eastAsia="Calibri" w:cs="Calibri"/>
          <w:b w:val="0"/>
          <w:bCs w:val="0"/>
          <w:i w:val="0"/>
          <w:iCs w:val="0"/>
          <w:caps w:val="0"/>
          <w:smallCaps w:val="0"/>
          <w:noProof w:val="0"/>
          <w:color w:val="000000" w:themeColor="text1" w:themeTint="FF" w:themeShade="FF"/>
          <w:sz w:val="40"/>
          <w:szCs w:val="40"/>
          <w:lang w:val="en-US"/>
        </w:rPr>
      </w:pPr>
    </w:p>
    <w:p w:rsidR="574CEC3A" w:rsidP="7D26841A" w:rsidRDefault="574CEC3A" w14:paraId="05E6D819" w14:textId="5F618B51">
      <w:pPr>
        <w:jc w:val="both"/>
        <w:rPr>
          <w:rFonts w:ascii="Calibri" w:hAnsi="Calibri" w:eastAsia="Calibri" w:cs="Calibri"/>
          <w:b w:val="0"/>
          <w:bCs w:val="0"/>
          <w:i w:val="0"/>
          <w:iCs w:val="0"/>
          <w:caps w:val="0"/>
          <w:smallCaps w:val="0"/>
          <w:noProof w:val="0"/>
          <w:color w:val="000000" w:themeColor="text1" w:themeTint="FF" w:themeShade="FF"/>
          <w:sz w:val="40"/>
          <w:szCs w:val="40"/>
          <w:lang w:val="en-US"/>
        </w:rPr>
      </w:pPr>
      <w:r w:rsidRPr="7D26841A" w:rsidR="574CEC3A">
        <w:rPr>
          <w:rFonts w:ascii="Calibri" w:hAnsi="Calibri" w:eastAsia="Calibri" w:cs="Calibri"/>
          <w:b w:val="0"/>
          <w:bCs w:val="0"/>
          <w:i w:val="0"/>
          <w:iCs w:val="0"/>
          <w:caps w:val="0"/>
          <w:smallCaps w:val="0"/>
          <w:noProof w:val="0"/>
          <w:color w:val="000000" w:themeColor="text1" w:themeTint="FF" w:themeShade="FF"/>
          <w:sz w:val="40"/>
          <w:szCs w:val="40"/>
          <w:lang w:val="en-US"/>
        </w:rPr>
        <w:t>Supplementary Information</w:t>
      </w:r>
    </w:p>
    <w:p w:rsidR="7D26841A" w:rsidP="7D26841A" w:rsidRDefault="7D26841A" w14:paraId="34A871F5" w14:textId="167CB20F">
      <w:pPr>
        <w:jc w:val="both"/>
        <w:rPr>
          <w:rFonts w:ascii="Calibri" w:hAnsi="Calibri" w:eastAsia="Calibri" w:cs="Calibri"/>
          <w:b w:val="0"/>
          <w:bCs w:val="0"/>
          <w:i w:val="0"/>
          <w:iCs w:val="0"/>
          <w:caps w:val="0"/>
          <w:smallCaps w:val="0"/>
          <w:noProof w:val="0"/>
          <w:color w:val="000000" w:themeColor="text1" w:themeTint="FF" w:themeShade="FF"/>
          <w:sz w:val="40"/>
          <w:szCs w:val="40"/>
          <w:lang w:val="en-US"/>
        </w:rPr>
      </w:pPr>
    </w:p>
    <w:p w:rsidR="574CEC3A" w:rsidP="7D26841A" w:rsidRDefault="574CEC3A" w14:paraId="33D819BA" w14:textId="444ADEE0">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r w:rsidR="574CEC3A">
        <w:drawing>
          <wp:inline wp14:editId="3860512B" wp14:anchorId="3AF93665">
            <wp:extent cx="5334000" cy="5334000"/>
            <wp:effectExtent l="0" t="0" r="0" b="0"/>
            <wp:docPr id="295277400" name="" title=""/>
            <wp:cNvGraphicFramePr>
              <a:graphicFrameLocks noChangeAspect="1"/>
            </wp:cNvGraphicFramePr>
            <a:graphic>
              <a:graphicData uri="http://schemas.openxmlformats.org/drawingml/2006/picture">
                <pic:pic>
                  <pic:nvPicPr>
                    <pic:cNvPr id="0" name=""/>
                    <pic:cNvPicPr/>
                  </pic:nvPicPr>
                  <pic:blipFill>
                    <a:blip r:embed="R1b8ce49b66af4995">
                      <a:extLst>
                        <a:ext xmlns:a="http://schemas.openxmlformats.org/drawingml/2006/main" uri="{28A0092B-C50C-407E-A947-70E740481C1C}">
                          <a14:useLocalDpi val="0"/>
                        </a:ext>
                      </a:extLst>
                    </a:blip>
                    <a:stretch>
                      <a:fillRect/>
                    </a:stretch>
                  </pic:blipFill>
                  <pic:spPr>
                    <a:xfrm>
                      <a:off x="0" y="0"/>
                      <a:ext cx="5334000" cy="5334000"/>
                    </a:xfrm>
                    <a:prstGeom prst="rect">
                      <a:avLst/>
                    </a:prstGeom>
                  </pic:spPr>
                </pic:pic>
              </a:graphicData>
            </a:graphic>
          </wp:inline>
        </w:drawing>
      </w:r>
    </w:p>
    <w:p w:rsidR="574CEC3A" w:rsidP="7D26841A" w:rsidRDefault="574CEC3A" w14:paraId="7574E040" w14:textId="069167CA">
      <w:pPr>
        <w:pStyle w:val="NoSpacing"/>
        <w:jc w:val="both"/>
        <w:rPr>
          <w:rFonts w:ascii="Calibri" w:hAnsi="Calibri" w:eastAsia="Calibri" w:cs="Calibri"/>
          <w:b w:val="0"/>
          <w:bCs w:val="0"/>
          <w:i w:val="0"/>
          <w:iCs w:val="0"/>
          <w:caps w:val="0"/>
          <w:smallCaps w:val="0"/>
          <w:noProof w:val="0"/>
          <w:color w:val="7F7F7F" w:themeColor="text1" w:themeTint="80" w:themeShade="FF"/>
          <w:sz w:val="14"/>
          <w:szCs w:val="14"/>
          <w:lang w:val="en-US"/>
        </w:rPr>
      </w:pPr>
      <w:r w:rsidRPr="7D26841A" w:rsidR="574CEC3A">
        <w:rPr>
          <w:rFonts w:ascii="Calibri" w:hAnsi="Calibri" w:eastAsia="Calibri" w:cs="Calibri"/>
          <w:b w:val="1"/>
          <w:bCs w:val="1"/>
          <w:i w:val="0"/>
          <w:iCs w:val="0"/>
          <w:caps w:val="0"/>
          <w:smallCaps w:val="0"/>
          <w:noProof w:val="0"/>
          <w:color w:val="7F7F7F" w:themeColor="text1" w:themeTint="80" w:themeShade="FF"/>
          <w:sz w:val="14"/>
          <w:szCs w:val="14"/>
          <w:lang w:val="en"/>
        </w:rPr>
        <w:t>Supplementary</w:t>
      </w:r>
      <w:r w:rsidRPr="7D26841A" w:rsidR="574CEC3A">
        <w:rPr>
          <w:rFonts w:ascii="Calibri" w:hAnsi="Calibri" w:eastAsia="Calibri" w:cs="Calibri"/>
          <w:b w:val="0"/>
          <w:bCs w:val="0"/>
          <w:i w:val="0"/>
          <w:iCs w:val="0"/>
          <w:caps w:val="0"/>
          <w:smallCaps w:val="0"/>
          <w:noProof w:val="0"/>
          <w:color w:val="FF9900"/>
          <w:sz w:val="14"/>
          <w:szCs w:val="14"/>
          <w:lang w:val="en"/>
        </w:rPr>
        <w:t xml:space="preserve"> </w:t>
      </w:r>
      <w:r w:rsidRPr="7D26841A" w:rsidR="574CEC3A">
        <w:rPr>
          <w:rFonts w:ascii="Calibri" w:hAnsi="Calibri" w:eastAsia="Calibri" w:cs="Calibri"/>
          <w:b w:val="1"/>
          <w:bCs w:val="1"/>
          <w:i w:val="0"/>
          <w:iCs w:val="0"/>
          <w:caps w:val="0"/>
          <w:smallCaps w:val="0"/>
          <w:noProof w:val="0"/>
          <w:color w:val="7F7F7F" w:themeColor="text1" w:themeTint="80" w:themeShade="FF"/>
          <w:sz w:val="14"/>
          <w:szCs w:val="14"/>
          <w:lang w:val="en"/>
        </w:rPr>
        <w:t>Fig. 1</w:t>
      </w:r>
      <w:r w:rsidRPr="7D26841A" w:rsidR="574CEC3A">
        <w:rPr>
          <w:rFonts w:ascii="Calibri" w:hAnsi="Calibri" w:eastAsia="Calibri" w:cs="Calibri"/>
          <w:b w:val="0"/>
          <w:bCs w:val="0"/>
          <w:i w:val="0"/>
          <w:iCs w:val="0"/>
          <w:caps w:val="0"/>
          <w:smallCaps w:val="0"/>
          <w:noProof w:val="0"/>
          <w:color w:val="7F7F7F" w:themeColor="text1" w:themeTint="80" w:themeShade="FF"/>
          <w:sz w:val="14"/>
          <w:szCs w:val="14"/>
          <w:lang w:val="en"/>
        </w:rPr>
        <w:t>. Sankey diagram showing the relative distribution of key nutrients across various marine habitats and the corresponding extraction by different fishing gear types used in Timor-Leste’s small-scale fisheries.</w:t>
      </w:r>
    </w:p>
    <w:p w:rsidR="7D26841A" w:rsidP="7D26841A" w:rsidRDefault="7D26841A" w14:paraId="66996BFE" w14:textId="5DFB3A7F">
      <w:pPr>
        <w:jc w:val="both"/>
        <w:rPr>
          <w:rFonts w:ascii="Calibri" w:hAnsi="Calibri" w:eastAsia="Calibri" w:cs="Calibri"/>
          <w:b w:val="0"/>
          <w:bCs w:val="0"/>
          <w:i w:val="0"/>
          <w:iCs w:val="0"/>
          <w:caps w:val="0"/>
          <w:smallCaps w:val="0"/>
          <w:noProof w:val="0"/>
          <w:color w:val="7F7F7F" w:themeColor="text1" w:themeTint="80" w:themeShade="FF"/>
          <w:sz w:val="14"/>
          <w:szCs w:val="14"/>
          <w:lang w:val="en-US"/>
        </w:rPr>
      </w:pPr>
    </w:p>
    <w:p w:rsidR="7D26841A" w:rsidP="7D26841A" w:rsidRDefault="7D26841A" w14:paraId="62A4B651" w14:textId="752795E0">
      <w:pPr>
        <w:jc w:val="both"/>
        <w:rPr>
          <w:rFonts w:ascii="Calibri" w:hAnsi="Calibri" w:eastAsia="Calibri" w:cs="Calibri"/>
          <w:b w:val="0"/>
          <w:bCs w:val="0"/>
          <w:i w:val="0"/>
          <w:iCs w:val="0"/>
          <w:caps w:val="0"/>
          <w:smallCaps w:val="0"/>
          <w:noProof w:val="0"/>
          <w:color w:val="7F7F7F" w:themeColor="text1" w:themeTint="80" w:themeShade="FF"/>
          <w:sz w:val="14"/>
          <w:szCs w:val="14"/>
          <w:lang w:val="en-US"/>
        </w:rPr>
      </w:pPr>
    </w:p>
    <w:p w:rsidR="7D26841A" w:rsidP="7D26841A" w:rsidRDefault="7D26841A" w14:paraId="7741023C" w14:textId="7E280BCB">
      <w:pPr>
        <w:jc w:val="left"/>
        <w:rPr>
          <w:rFonts w:ascii="Calibri" w:hAnsi="Calibri" w:eastAsia="Calibri" w:cs="Calibri"/>
          <w:b w:val="0"/>
          <w:bCs w:val="0"/>
          <w:i w:val="0"/>
          <w:iCs w:val="0"/>
          <w:caps w:val="0"/>
          <w:smallCaps w:val="0"/>
          <w:noProof w:val="0"/>
          <w:color w:val="7F7F7F" w:themeColor="text1" w:themeTint="80" w:themeShade="FF"/>
          <w:sz w:val="14"/>
          <w:szCs w:val="14"/>
          <w:lang w:val="en-US"/>
        </w:rPr>
      </w:pPr>
    </w:p>
    <w:p w:rsidR="7D26841A" w:rsidP="7D26841A" w:rsidRDefault="7D26841A" w14:paraId="4EC0CC15" w14:textId="56289940">
      <w:pPr>
        <w:jc w:val="left"/>
        <w:rPr>
          <w:rFonts w:ascii="Calibri" w:hAnsi="Calibri" w:eastAsia="Calibri" w:cs="Calibri"/>
          <w:b w:val="0"/>
          <w:bCs w:val="0"/>
          <w:i w:val="0"/>
          <w:iCs w:val="0"/>
          <w:caps w:val="0"/>
          <w:smallCaps w:val="0"/>
          <w:noProof w:val="0"/>
          <w:color w:val="7F7F7F" w:themeColor="text1" w:themeTint="80" w:themeShade="FF"/>
          <w:sz w:val="14"/>
          <w:szCs w:val="14"/>
          <w:lang w:val="en-US"/>
        </w:rPr>
      </w:pPr>
    </w:p>
    <w:p w:rsidR="7D26841A" w:rsidP="7D26841A" w:rsidRDefault="7D26841A" w14:paraId="29802763" w14:textId="2522F888">
      <w:pPr>
        <w:jc w:val="left"/>
        <w:rPr>
          <w:rFonts w:ascii="Calibri" w:hAnsi="Calibri" w:eastAsia="Calibri" w:cs="Calibri"/>
          <w:b w:val="0"/>
          <w:bCs w:val="0"/>
          <w:i w:val="0"/>
          <w:iCs w:val="0"/>
          <w:caps w:val="0"/>
          <w:smallCaps w:val="0"/>
          <w:noProof w:val="0"/>
          <w:color w:val="7F7F7F" w:themeColor="text1" w:themeTint="80" w:themeShade="FF"/>
          <w:sz w:val="14"/>
          <w:szCs w:val="14"/>
          <w:lang w:val="en-US"/>
        </w:rPr>
      </w:pPr>
    </w:p>
    <w:p w:rsidR="7D26841A" w:rsidP="7D26841A" w:rsidRDefault="7D26841A" w14:paraId="3CF307FF" w14:textId="7B39D37F">
      <w:pPr>
        <w:jc w:val="left"/>
        <w:rPr>
          <w:rFonts w:ascii="Calibri" w:hAnsi="Calibri" w:eastAsia="Calibri" w:cs="Calibri"/>
          <w:b w:val="0"/>
          <w:bCs w:val="0"/>
          <w:i w:val="0"/>
          <w:iCs w:val="0"/>
          <w:caps w:val="0"/>
          <w:smallCaps w:val="0"/>
          <w:noProof w:val="0"/>
          <w:color w:val="7F7F7F" w:themeColor="text1" w:themeTint="80" w:themeShade="FF"/>
          <w:sz w:val="14"/>
          <w:szCs w:val="14"/>
          <w:lang w:val="en-US"/>
        </w:rPr>
      </w:pPr>
    </w:p>
    <w:p w:rsidR="7D26841A" w:rsidP="7D26841A" w:rsidRDefault="7D26841A" w14:paraId="76ED1D24" w14:textId="299672E7">
      <w:pPr>
        <w:jc w:val="left"/>
        <w:rPr>
          <w:rFonts w:ascii="Calibri" w:hAnsi="Calibri" w:eastAsia="Calibri" w:cs="Calibri"/>
          <w:b w:val="0"/>
          <w:bCs w:val="0"/>
          <w:i w:val="0"/>
          <w:iCs w:val="0"/>
          <w:caps w:val="0"/>
          <w:smallCaps w:val="0"/>
          <w:noProof w:val="0"/>
          <w:color w:val="7F7F7F" w:themeColor="text1" w:themeTint="80" w:themeShade="FF"/>
          <w:sz w:val="14"/>
          <w:szCs w:val="14"/>
          <w:lang w:val="en-US"/>
        </w:rPr>
      </w:pPr>
    </w:p>
    <w:p w:rsidR="7D26841A" w:rsidP="7D26841A" w:rsidRDefault="7D26841A" w14:paraId="3B95587C" w14:textId="55CE63BF">
      <w:pPr>
        <w:jc w:val="left"/>
        <w:rPr>
          <w:rFonts w:ascii="Calibri" w:hAnsi="Calibri" w:eastAsia="Calibri" w:cs="Calibri"/>
          <w:b w:val="0"/>
          <w:bCs w:val="0"/>
          <w:i w:val="0"/>
          <w:iCs w:val="0"/>
          <w:caps w:val="0"/>
          <w:smallCaps w:val="0"/>
          <w:noProof w:val="0"/>
          <w:color w:val="7F7F7F" w:themeColor="text1" w:themeTint="80" w:themeShade="FF"/>
          <w:sz w:val="14"/>
          <w:szCs w:val="14"/>
          <w:lang w:val="en-US"/>
        </w:rPr>
      </w:pPr>
    </w:p>
    <w:p w:rsidR="7D26841A" w:rsidP="7D26841A" w:rsidRDefault="7D26841A" w14:paraId="0BE7979E" w14:textId="35D61C3E">
      <w:pPr>
        <w:jc w:val="left"/>
        <w:rPr>
          <w:rFonts w:ascii="Calibri" w:hAnsi="Calibri" w:eastAsia="Calibri" w:cs="Calibri"/>
          <w:b w:val="0"/>
          <w:bCs w:val="0"/>
          <w:i w:val="0"/>
          <w:iCs w:val="0"/>
          <w:caps w:val="0"/>
          <w:smallCaps w:val="0"/>
          <w:noProof w:val="0"/>
          <w:color w:val="7F7F7F" w:themeColor="text1" w:themeTint="80" w:themeShade="FF"/>
          <w:sz w:val="14"/>
          <w:szCs w:val="14"/>
          <w:lang w:val="en-US"/>
        </w:rPr>
      </w:pPr>
    </w:p>
    <w:p w:rsidR="7D26841A" w:rsidP="7D26841A" w:rsidRDefault="7D26841A" w14:paraId="53A8EA83" w14:textId="68D67636">
      <w:pPr>
        <w:jc w:val="left"/>
        <w:rPr>
          <w:rFonts w:ascii="Calibri" w:hAnsi="Calibri" w:eastAsia="Calibri" w:cs="Calibri"/>
          <w:b w:val="0"/>
          <w:bCs w:val="0"/>
          <w:i w:val="0"/>
          <w:iCs w:val="0"/>
          <w:caps w:val="0"/>
          <w:smallCaps w:val="0"/>
          <w:noProof w:val="0"/>
          <w:color w:val="7F7F7F" w:themeColor="text1" w:themeTint="80" w:themeShade="FF"/>
          <w:sz w:val="14"/>
          <w:szCs w:val="14"/>
          <w:lang w:val="en-US"/>
        </w:rPr>
      </w:pPr>
    </w:p>
    <w:p w:rsidR="7D26841A" w:rsidP="7D26841A" w:rsidRDefault="7D26841A" w14:paraId="72047C58" w14:textId="5B1E6428">
      <w:pPr>
        <w:jc w:val="left"/>
        <w:rPr>
          <w:rFonts w:ascii="Calibri" w:hAnsi="Calibri" w:eastAsia="Calibri" w:cs="Calibri"/>
          <w:b w:val="0"/>
          <w:bCs w:val="0"/>
          <w:i w:val="0"/>
          <w:iCs w:val="0"/>
          <w:caps w:val="0"/>
          <w:smallCaps w:val="0"/>
          <w:noProof w:val="0"/>
          <w:color w:val="7F7F7F" w:themeColor="text1" w:themeTint="80" w:themeShade="FF"/>
          <w:sz w:val="14"/>
          <w:szCs w:val="14"/>
          <w:lang w:val="en-US"/>
        </w:rPr>
      </w:pPr>
    </w:p>
    <w:p w:rsidR="574CEC3A" w:rsidP="7D26841A" w:rsidRDefault="574CEC3A" w14:paraId="6A1B0A51" w14:textId="589F8FBB">
      <w:pPr>
        <w:pStyle w:val="NoSpacing"/>
        <w:jc w:val="both"/>
        <w:rPr>
          <w:rFonts w:ascii="Calibri" w:hAnsi="Calibri" w:eastAsia="Calibri" w:cs="Calibri"/>
          <w:b w:val="0"/>
          <w:bCs w:val="0"/>
          <w:i w:val="0"/>
          <w:iCs w:val="0"/>
          <w:caps w:val="0"/>
          <w:smallCaps w:val="0"/>
          <w:noProof w:val="0"/>
          <w:color w:val="7F7F7F" w:themeColor="text1" w:themeTint="80" w:themeShade="FF"/>
          <w:sz w:val="14"/>
          <w:szCs w:val="14"/>
          <w:lang w:val="en-US"/>
        </w:rPr>
      </w:pPr>
      <w:r w:rsidRPr="7D26841A" w:rsidR="574CEC3A">
        <w:rPr>
          <w:rFonts w:ascii="Calibri" w:hAnsi="Calibri" w:eastAsia="Calibri" w:cs="Calibri"/>
          <w:b w:val="1"/>
          <w:bCs w:val="1"/>
          <w:i w:val="0"/>
          <w:iCs w:val="0"/>
          <w:caps w:val="0"/>
          <w:smallCaps w:val="0"/>
          <w:noProof w:val="0"/>
          <w:color w:val="7F7F7F" w:themeColor="text1" w:themeTint="80" w:themeShade="FF"/>
          <w:sz w:val="14"/>
          <w:szCs w:val="14"/>
          <w:lang w:val="en"/>
        </w:rPr>
        <w:t>Supplementary Table 1</w:t>
      </w:r>
      <w:r w:rsidRPr="7D26841A" w:rsidR="574CEC3A">
        <w:rPr>
          <w:rFonts w:ascii="Calibri" w:hAnsi="Calibri" w:eastAsia="Calibri" w:cs="Calibri"/>
          <w:b w:val="0"/>
          <w:bCs w:val="0"/>
          <w:i w:val="0"/>
          <w:iCs w:val="0"/>
          <w:caps w:val="0"/>
          <w:smallCaps w:val="0"/>
          <w:noProof w:val="0"/>
          <w:color w:val="7F7F7F" w:themeColor="text1" w:themeTint="80" w:themeShade="FF"/>
          <w:sz w:val="14"/>
          <w:szCs w:val="14"/>
          <w:lang w:val="en"/>
        </w:rPr>
        <w:t>. The proportion of Women of Reproductive Age in Timor-Leste (WRA) that would meet 20% of recommended nutrient intake (RNI) daily (%), and WRA that would meet RNI for 4 and 6 nutrients (number), from marine catches in Timor-Leste, nationally and by municipality.</w:t>
      </w:r>
    </w:p>
    <w:p w:rsidR="7D26841A" w:rsidP="7D26841A" w:rsidRDefault="7D26841A" w14:paraId="03E1028E" w14:textId="5B602881">
      <w:pPr>
        <w:jc w:val="both"/>
        <w:rPr>
          <w:rFonts w:ascii="Calibri" w:hAnsi="Calibri" w:eastAsia="Calibri" w:cs="Calibri"/>
          <w:b w:val="0"/>
          <w:bCs w:val="0"/>
          <w:i w:val="0"/>
          <w:iCs w:val="0"/>
          <w:caps w:val="0"/>
          <w:smallCaps w:val="0"/>
          <w:noProof w:val="0"/>
          <w:color w:val="000000" w:themeColor="text1" w:themeTint="FF" w:themeShade="FF"/>
          <w:sz w:val="12"/>
          <w:szCs w:val="12"/>
          <w:lang w:val="en-US"/>
        </w:rPr>
      </w:pPr>
    </w:p>
    <w:tbl>
      <w:tblPr>
        <w:tblStyle w:val="TableGridLight"/>
        <w:tblW w:w="0" w:type="auto"/>
        <w:tblBorders>
          <w:top w:val="single" w:sz="6"/>
          <w:left w:val="single" w:sz="6"/>
          <w:bottom w:val="single" w:sz="6"/>
          <w:right w:val="single" w:sz="6"/>
        </w:tblBorders>
        <w:tblLayout w:type="fixed"/>
        <w:tblLook w:val="0600" w:firstRow="0" w:lastRow="0" w:firstColumn="0" w:lastColumn="0" w:noHBand="1" w:noVBand="1"/>
      </w:tblPr>
      <w:tblGrid>
        <w:gridCol w:w="1275"/>
        <w:gridCol w:w="945"/>
        <w:gridCol w:w="750"/>
        <w:gridCol w:w="930"/>
        <w:gridCol w:w="990"/>
        <w:gridCol w:w="855"/>
        <w:gridCol w:w="930"/>
        <w:gridCol w:w="1155"/>
        <w:gridCol w:w="1260"/>
      </w:tblGrid>
      <w:tr w:rsidR="7D26841A" w:rsidTr="7D26841A" w14:paraId="0CB4C518">
        <w:trPr>
          <w:trHeight w:val="300"/>
        </w:trPr>
        <w:tc>
          <w:tcPr>
            <w:tcW w:w="1275" w:type="dxa"/>
            <w:shd w:val="clear" w:color="auto" w:fill="F2F2F2" w:themeFill="background1" w:themeFillShade="F2"/>
            <w:tcMar>
              <w:left w:w="105" w:type="dxa"/>
              <w:right w:w="105" w:type="dxa"/>
            </w:tcMar>
            <w:vAlign w:val="top"/>
          </w:tcPr>
          <w:p w:rsidR="7D26841A" w:rsidP="7D26841A" w:rsidRDefault="7D26841A" w14:paraId="2B072E2B" w14:textId="3CD95D60">
            <w:pPr>
              <w:ind w:right="-67"/>
              <w:jc w:val="left"/>
              <w:rPr>
                <w:rFonts w:ascii="Calibri" w:hAnsi="Calibri" w:eastAsia="Calibri" w:cs="Calibri"/>
                <w:b w:val="0"/>
                <w:bCs w:val="0"/>
                <w:i w:val="0"/>
                <w:iCs w:val="0"/>
                <w:color w:val="000000" w:themeColor="text1" w:themeTint="FF" w:themeShade="FF"/>
                <w:sz w:val="16"/>
                <w:szCs w:val="16"/>
              </w:rPr>
            </w:pPr>
            <w:r w:rsidRPr="7D26841A" w:rsidR="7D26841A">
              <w:rPr>
                <w:rFonts w:ascii="Calibri" w:hAnsi="Calibri" w:eastAsia="Calibri" w:cs="Calibri"/>
                <w:b w:val="1"/>
                <w:bCs w:val="1"/>
                <w:i w:val="0"/>
                <w:iCs w:val="0"/>
                <w:color w:val="000000" w:themeColor="text1" w:themeTint="FF" w:themeShade="FF"/>
                <w:sz w:val="21"/>
                <w:szCs w:val="21"/>
                <w:lang w:val="en-US"/>
              </w:rPr>
              <w:t xml:space="preserve">Geography </w:t>
            </w:r>
            <w:r w:rsidRPr="7D26841A" w:rsidR="7D26841A">
              <w:rPr>
                <w:rFonts w:ascii="Calibri" w:hAnsi="Calibri" w:eastAsia="Calibri" w:cs="Calibri"/>
                <w:b w:val="1"/>
                <w:bCs w:val="1"/>
                <w:i w:val="0"/>
                <w:iCs w:val="0"/>
                <w:color w:val="000000" w:themeColor="text1" w:themeTint="FF" w:themeShade="FF"/>
                <w:sz w:val="21"/>
                <w:szCs w:val="21"/>
                <w:vertAlign w:val="superscript"/>
                <w:lang w:val="en-US"/>
              </w:rPr>
              <w:t>a</w:t>
            </w:r>
          </w:p>
        </w:tc>
        <w:tc>
          <w:tcPr>
            <w:tcW w:w="945" w:type="dxa"/>
            <w:shd w:val="clear" w:color="auto" w:fill="F2F2F2" w:themeFill="background1" w:themeFillShade="F2"/>
            <w:tcMar>
              <w:left w:w="105" w:type="dxa"/>
              <w:right w:w="105" w:type="dxa"/>
            </w:tcMar>
            <w:vAlign w:val="top"/>
          </w:tcPr>
          <w:p w:rsidR="7D26841A" w:rsidP="7D26841A" w:rsidRDefault="7D26841A" w14:paraId="73244A2B" w14:textId="1AA72100">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Protein (%)</w:t>
            </w:r>
          </w:p>
        </w:tc>
        <w:tc>
          <w:tcPr>
            <w:tcW w:w="750" w:type="dxa"/>
            <w:shd w:val="clear" w:color="auto" w:fill="F2F2F2" w:themeFill="background1" w:themeFillShade="F2"/>
            <w:tcMar>
              <w:left w:w="105" w:type="dxa"/>
              <w:right w:w="105" w:type="dxa"/>
            </w:tcMar>
            <w:vAlign w:val="top"/>
          </w:tcPr>
          <w:p w:rsidR="7D26841A" w:rsidP="7D26841A" w:rsidRDefault="7D26841A" w14:paraId="2ECC0FC1" w14:textId="5579A38E">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Zn</w:t>
            </w:r>
          </w:p>
          <w:p w:rsidR="7D26841A" w:rsidP="7D26841A" w:rsidRDefault="7D26841A" w14:paraId="3CBACE8F" w14:textId="01D97A8A">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w:t>
            </w:r>
          </w:p>
        </w:tc>
        <w:tc>
          <w:tcPr>
            <w:tcW w:w="930" w:type="dxa"/>
            <w:shd w:val="clear" w:color="auto" w:fill="F2F2F2" w:themeFill="background1" w:themeFillShade="F2"/>
            <w:tcMar>
              <w:left w:w="105" w:type="dxa"/>
              <w:right w:w="105" w:type="dxa"/>
            </w:tcMar>
            <w:vAlign w:val="top"/>
          </w:tcPr>
          <w:p w:rsidR="7D26841A" w:rsidP="7D26841A" w:rsidRDefault="7D26841A" w14:paraId="461FDCD8" w14:textId="66F9C5AE">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Ca</w:t>
            </w:r>
          </w:p>
          <w:p w:rsidR="7D26841A" w:rsidP="7D26841A" w:rsidRDefault="7D26841A" w14:paraId="5151F53C" w14:textId="08A0C8DE">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w:t>
            </w:r>
          </w:p>
        </w:tc>
        <w:tc>
          <w:tcPr>
            <w:tcW w:w="990" w:type="dxa"/>
            <w:shd w:val="clear" w:color="auto" w:fill="F2F2F2" w:themeFill="background1" w:themeFillShade="F2"/>
            <w:tcMar>
              <w:left w:w="105" w:type="dxa"/>
              <w:right w:w="105" w:type="dxa"/>
            </w:tcMar>
            <w:vAlign w:val="top"/>
          </w:tcPr>
          <w:p w:rsidR="7D26841A" w:rsidP="7D26841A" w:rsidRDefault="7D26841A" w14:paraId="0BA88604" w14:textId="51D07C39">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Omega-3 (%)</w:t>
            </w:r>
          </w:p>
        </w:tc>
        <w:tc>
          <w:tcPr>
            <w:tcW w:w="855" w:type="dxa"/>
            <w:shd w:val="clear" w:color="auto" w:fill="F2F2F2" w:themeFill="background1" w:themeFillShade="F2"/>
            <w:tcMar>
              <w:left w:w="105" w:type="dxa"/>
              <w:right w:w="105" w:type="dxa"/>
            </w:tcMar>
            <w:vAlign w:val="top"/>
          </w:tcPr>
          <w:p w:rsidR="7D26841A" w:rsidP="7D26841A" w:rsidRDefault="7D26841A" w14:paraId="3940A3BD" w14:textId="55E99682">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Vit A</w:t>
            </w:r>
          </w:p>
          <w:p w:rsidR="7D26841A" w:rsidP="7D26841A" w:rsidRDefault="7D26841A" w14:paraId="17395C64" w14:textId="0F3265E3">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w:t>
            </w:r>
          </w:p>
        </w:tc>
        <w:tc>
          <w:tcPr>
            <w:tcW w:w="930" w:type="dxa"/>
            <w:shd w:val="clear" w:color="auto" w:fill="F2F2F2" w:themeFill="background1" w:themeFillShade="F2"/>
            <w:tcMar>
              <w:left w:w="105" w:type="dxa"/>
              <w:right w:w="105" w:type="dxa"/>
            </w:tcMar>
            <w:vAlign w:val="top"/>
          </w:tcPr>
          <w:p w:rsidR="7D26841A" w:rsidP="7D26841A" w:rsidRDefault="7D26841A" w14:paraId="23A1F1B8" w14:textId="3174E18D">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Fe</w:t>
            </w:r>
          </w:p>
          <w:p w:rsidR="7D26841A" w:rsidP="7D26841A" w:rsidRDefault="7D26841A" w14:paraId="5E921D82" w14:textId="682D696C">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w:t>
            </w:r>
          </w:p>
        </w:tc>
        <w:tc>
          <w:tcPr>
            <w:tcW w:w="1155" w:type="dxa"/>
            <w:shd w:val="clear" w:color="auto" w:fill="F2F2F2" w:themeFill="background1" w:themeFillShade="F2"/>
            <w:tcMar>
              <w:left w:w="105" w:type="dxa"/>
              <w:right w:w="105" w:type="dxa"/>
            </w:tcMar>
            <w:vAlign w:val="top"/>
          </w:tcPr>
          <w:p w:rsidR="7D26841A" w:rsidP="7D26841A" w:rsidRDefault="7D26841A" w14:paraId="062EF95B" w14:textId="7FF7E389">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Number of WRA:</w:t>
            </w:r>
          </w:p>
          <w:p w:rsidR="7D26841A" w:rsidP="7D26841A" w:rsidRDefault="7D26841A" w14:paraId="1FB4F677" w14:textId="3C04C859">
            <w:pPr>
              <w:ind w:right="-41"/>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4 nutrients</w:t>
            </w:r>
          </w:p>
        </w:tc>
        <w:tc>
          <w:tcPr>
            <w:tcW w:w="1260" w:type="dxa"/>
            <w:shd w:val="clear" w:color="auto" w:fill="F2F2F2" w:themeFill="background1" w:themeFillShade="F2"/>
            <w:tcMar>
              <w:left w:w="105" w:type="dxa"/>
              <w:right w:w="105" w:type="dxa"/>
            </w:tcMar>
            <w:vAlign w:val="top"/>
          </w:tcPr>
          <w:p w:rsidR="7D26841A" w:rsidP="7D26841A" w:rsidRDefault="7D26841A" w14:paraId="42EBA07C" w14:textId="2D0B490B">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Number of WRA:</w:t>
            </w:r>
          </w:p>
          <w:p w:rsidR="7D26841A" w:rsidP="7D26841A" w:rsidRDefault="7D26841A" w14:paraId="0FDCAEFD" w14:textId="5207D8F0">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6 nutrients</w:t>
            </w:r>
          </w:p>
        </w:tc>
      </w:tr>
      <w:tr w:rsidR="7D26841A" w:rsidTr="7D26841A" w14:paraId="7229A54C">
        <w:trPr>
          <w:trHeight w:val="300"/>
        </w:trPr>
        <w:tc>
          <w:tcPr>
            <w:tcW w:w="1275" w:type="dxa"/>
            <w:tcMar>
              <w:left w:w="105" w:type="dxa"/>
              <w:right w:w="105" w:type="dxa"/>
            </w:tcMar>
            <w:vAlign w:val="center"/>
          </w:tcPr>
          <w:p w:rsidR="7D26841A" w:rsidP="7D26841A" w:rsidRDefault="7D26841A" w14:paraId="7FCD55DD" w14:textId="336309F1">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National</w:t>
            </w:r>
          </w:p>
        </w:tc>
        <w:tc>
          <w:tcPr>
            <w:tcW w:w="945" w:type="dxa"/>
            <w:tcMar>
              <w:left w:w="105" w:type="dxa"/>
              <w:right w:w="105" w:type="dxa"/>
            </w:tcMar>
            <w:vAlign w:val="center"/>
          </w:tcPr>
          <w:p w:rsidR="7D26841A" w:rsidP="7D26841A" w:rsidRDefault="7D26841A" w14:paraId="778AE184" w14:textId="4C3DBE68">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114.8</w:t>
            </w:r>
          </w:p>
        </w:tc>
        <w:tc>
          <w:tcPr>
            <w:tcW w:w="750" w:type="dxa"/>
            <w:tcMar>
              <w:left w:w="105" w:type="dxa"/>
              <w:right w:w="105" w:type="dxa"/>
            </w:tcMar>
            <w:vAlign w:val="center"/>
          </w:tcPr>
          <w:p w:rsidR="7D26841A" w:rsidP="7D26841A" w:rsidRDefault="7D26841A" w14:paraId="43217A8C" w14:textId="5DA95E91">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 xml:space="preserve"> 57.0</w:t>
            </w:r>
          </w:p>
        </w:tc>
        <w:tc>
          <w:tcPr>
            <w:tcW w:w="930" w:type="dxa"/>
            <w:tcMar>
              <w:left w:w="105" w:type="dxa"/>
              <w:right w:w="105" w:type="dxa"/>
            </w:tcMar>
            <w:vAlign w:val="center"/>
          </w:tcPr>
          <w:p w:rsidR="7D26841A" w:rsidP="7D26841A" w:rsidRDefault="7D26841A" w14:paraId="7F3770BF" w14:textId="120D92A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 xml:space="preserve"> 33.3</w:t>
            </w:r>
          </w:p>
        </w:tc>
        <w:tc>
          <w:tcPr>
            <w:tcW w:w="990" w:type="dxa"/>
            <w:tcMar>
              <w:left w:w="105" w:type="dxa"/>
              <w:right w:w="105" w:type="dxa"/>
            </w:tcMar>
            <w:vAlign w:val="center"/>
          </w:tcPr>
          <w:p w:rsidR="7D26841A" w:rsidP="7D26841A" w:rsidRDefault="7D26841A" w14:paraId="22DD3AE9" w14:textId="7DEEC828">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 xml:space="preserve"> 28.8</w:t>
            </w:r>
          </w:p>
        </w:tc>
        <w:tc>
          <w:tcPr>
            <w:tcW w:w="855" w:type="dxa"/>
            <w:tcMar>
              <w:left w:w="105" w:type="dxa"/>
              <w:right w:w="105" w:type="dxa"/>
            </w:tcMar>
            <w:vAlign w:val="center"/>
          </w:tcPr>
          <w:p w:rsidR="7D26841A" w:rsidP="7D26841A" w:rsidRDefault="7D26841A" w14:paraId="3291DCFE" w14:textId="3842063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22.6</w:t>
            </w:r>
          </w:p>
        </w:tc>
        <w:tc>
          <w:tcPr>
            <w:tcW w:w="930" w:type="dxa"/>
            <w:tcMar>
              <w:left w:w="105" w:type="dxa"/>
              <w:right w:w="105" w:type="dxa"/>
            </w:tcMar>
            <w:vAlign w:val="center"/>
          </w:tcPr>
          <w:p w:rsidR="7D26841A" w:rsidP="7D26841A" w:rsidRDefault="7D26841A" w14:paraId="70AB3272" w14:textId="4730066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12.0</w:t>
            </w:r>
          </w:p>
        </w:tc>
        <w:tc>
          <w:tcPr>
            <w:tcW w:w="1155" w:type="dxa"/>
            <w:tcMar>
              <w:left w:w="105" w:type="dxa"/>
              <w:right w:w="105" w:type="dxa"/>
            </w:tcMar>
            <w:vAlign w:val="center"/>
          </w:tcPr>
          <w:p w:rsidR="7D26841A" w:rsidP="7D26841A" w:rsidRDefault="7D26841A" w14:paraId="5A16C9B9" w14:textId="7B76601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 xml:space="preserve"> 97,219</w:t>
            </w:r>
          </w:p>
        </w:tc>
        <w:tc>
          <w:tcPr>
            <w:tcW w:w="1260" w:type="dxa"/>
            <w:tcMar>
              <w:left w:w="105" w:type="dxa"/>
              <w:right w:w="105" w:type="dxa"/>
            </w:tcMar>
            <w:vAlign w:val="center"/>
          </w:tcPr>
          <w:p w:rsidR="7D26841A" w:rsidP="7D26841A" w:rsidRDefault="7D26841A" w14:paraId="38ED852D" w14:textId="6BF8D88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40,548</w:t>
            </w:r>
          </w:p>
        </w:tc>
      </w:tr>
      <w:tr w:rsidR="7D26841A" w:rsidTr="7D26841A" w14:paraId="79924B0E">
        <w:trPr>
          <w:trHeight w:val="300"/>
        </w:trPr>
        <w:tc>
          <w:tcPr>
            <w:tcW w:w="1275" w:type="dxa"/>
            <w:tcMar>
              <w:left w:w="105" w:type="dxa"/>
              <w:right w:w="105" w:type="dxa"/>
            </w:tcMar>
            <w:vAlign w:val="center"/>
          </w:tcPr>
          <w:p w:rsidR="7D26841A" w:rsidP="7D26841A" w:rsidRDefault="7D26841A" w14:paraId="631BE1D8" w14:textId="6810DC5B">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Ainaro</w:t>
            </w:r>
          </w:p>
        </w:tc>
        <w:tc>
          <w:tcPr>
            <w:tcW w:w="945" w:type="dxa"/>
            <w:tcMar>
              <w:left w:w="105" w:type="dxa"/>
              <w:right w:w="105" w:type="dxa"/>
            </w:tcMar>
            <w:vAlign w:val="center"/>
          </w:tcPr>
          <w:p w:rsidR="7D26841A" w:rsidP="7D26841A" w:rsidRDefault="7D26841A" w14:paraId="552DF776" w14:textId="26273ACA">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2.2</w:t>
            </w:r>
          </w:p>
        </w:tc>
        <w:tc>
          <w:tcPr>
            <w:tcW w:w="750" w:type="dxa"/>
            <w:tcMar>
              <w:left w:w="105" w:type="dxa"/>
              <w:right w:w="105" w:type="dxa"/>
            </w:tcMar>
            <w:vAlign w:val="center"/>
          </w:tcPr>
          <w:p w:rsidR="7D26841A" w:rsidP="7D26841A" w:rsidRDefault="7D26841A" w14:paraId="4C1D7392" w14:textId="499FA635">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1.0</w:t>
            </w:r>
          </w:p>
        </w:tc>
        <w:tc>
          <w:tcPr>
            <w:tcW w:w="930" w:type="dxa"/>
            <w:tcMar>
              <w:left w:w="105" w:type="dxa"/>
              <w:right w:w="105" w:type="dxa"/>
            </w:tcMar>
            <w:vAlign w:val="center"/>
          </w:tcPr>
          <w:p w:rsidR="7D26841A" w:rsidP="7D26841A" w:rsidRDefault="7D26841A" w14:paraId="6A962F60" w14:textId="26A4647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0.6</w:t>
            </w:r>
          </w:p>
        </w:tc>
        <w:tc>
          <w:tcPr>
            <w:tcW w:w="990" w:type="dxa"/>
            <w:tcMar>
              <w:left w:w="105" w:type="dxa"/>
              <w:right w:w="105" w:type="dxa"/>
            </w:tcMar>
            <w:vAlign w:val="center"/>
          </w:tcPr>
          <w:p w:rsidR="7D26841A" w:rsidP="7D26841A" w:rsidRDefault="7D26841A" w14:paraId="7D447C59" w14:textId="692A2BCB">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0.8</w:t>
            </w:r>
          </w:p>
        </w:tc>
        <w:tc>
          <w:tcPr>
            <w:tcW w:w="855" w:type="dxa"/>
            <w:tcMar>
              <w:left w:w="105" w:type="dxa"/>
              <w:right w:w="105" w:type="dxa"/>
            </w:tcMar>
            <w:vAlign w:val="center"/>
          </w:tcPr>
          <w:p w:rsidR="7D26841A" w:rsidP="7D26841A" w:rsidRDefault="7D26841A" w14:paraId="242FF445" w14:textId="11494AF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0.4</w:t>
            </w:r>
          </w:p>
        </w:tc>
        <w:tc>
          <w:tcPr>
            <w:tcW w:w="930" w:type="dxa"/>
            <w:tcMar>
              <w:left w:w="105" w:type="dxa"/>
              <w:right w:w="105" w:type="dxa"/>
            </w:tcMar>
            <w:vAlign w:val="center"/>
          </w:tcPr>
          <w:p w:rsidR="7D26841A" w:rsidP="7D26841A" w:rsidRDefault="7D26841A" w14:paraId="0F607E79" w14:textId="589E7C8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0.2</w:t>
            </w:r>
          </w:p>
        </w:tc>
        <w:tc>
          <w:tcPr>
            <w:tcW w:w="1155" w:type="dxa"/>
            <w:tcMar>
              <w:left w:w="105" w:type="dxa"/>
              <w:right w:w="105" w:type="dxa"/>
            </w:tcMar>
            <w:vAlign w:val="center"/>
          </w:tcPr>
          <w:p w:rsidR="7D26841A" w:rsidP="7D26841A" w:rsidRDefault="7D26841A" w14:paraId="64479FF1" w14:textId="04960AF5">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100</w:t>
            </w:r>
          </w:p>
        </w:tc>
        <w:tc>
          <w:tcPr>
            <w:tcW w:w="1260" w:type="dxa"/>
            <w:tcMar>
              <w:left w:w="105" w:type="dxa"/>
              <w:right w:w="105" w:type="dxa"/>
            </w:tcMar>
            <w:vAlign w:val="center"/>
          </w:tcPr>
          <w:p w:rsidR="7D26841A" w:rsidP="7D26841A" w:rsidRDefault="7D26841A" w14:paraId="633C195A" w14:textId="5A1E65E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30</w:t>
            </w:r>
          </w:p>
        </w:tc>
      </w:tr>
      <w:tr w:rsidR="7D26841A" w:rsidTr="7D26841A" w14:paraId="2CADF44E">
        <w:trPr>
          <w:trHeight w:val="300"/>
        </w:trPr>
        <w:tc>
          <w:tcPr>
            <w:tcW w:w="1275" w:type="dxa"/>
            <w:tcMar>
              <w:left w:w="105" w:type="dxa"/>
              <w:right w:w="105" w:type="dxa"/>
            </w:tcMar>
            <w:vAlign w:val="center"/>
          </w:tcPr>
          <w:p w:rsidR="7D26841A" w:rsidP="7D26841A" w:rsidRDefault="7D26841A" w14:paraId="44F26813" w14:textId="0B7E564C">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Atauro</w:t>
            </w:r>
          </w:p>
        </w:tc>
        <w:tc>
          <w:tcPr>
            <w:tcW w:w="945" w:type="dxa"/>
            <w:tcMar>
              <w:left w:w="105" w:type="dxa"/>
              <w:right w:w="105" w:type="dxa"/>
            </w:tcMar>
            <w:vAlign w:val="center"/>
          </w:tcPr>
          <w:p w:rsidR="7D26841A" w:rsidP="7D26841A" w:rsidRDefault="7D26841A" w14:paraId="00052A15" w14:textId="2AE95A4C">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1,293.8</w:t>
            </w:r>
          </w:p>
        </w:tc>
        <w:tc>
          <w:tcPr>
            <w:tcW w:w="750" w:type="dxa"/>
            <w:tcMar>
              <w:left w:w="105" w:type="dxa"/>
              <w:right w:w="105" w:type="dxa"/>
            </w:tcMar>
            <w:vAlign w:val="center"/>
          </w:tcPr>
          <w:p w:rsidR="7D26841A" w:rsidP="7D26841A" w:rsidRDefault="7D26841A" w14:paraId="13B66FB0" w14:textId="23BF8A3C">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786.2</w:t>
            </w:r>
          </w:p>
        </w:tc>
        <w:tc>
          <w:tcPr>
            <w:tcW w:w="930" w:type="dxa"/>
            <w:tcMar>
              <w:left w:w="105" w:type="dxa"/>
              <w:right w:w="105" w:type="dxa"/>
            </w:tcMar>
            <w:vAlign w:val="center"/>
          </w:tcPr>
          <w:p w:rsidR="7D26841A" w:rsidP="7D26841A" w:rsidRDefault="7D26841A" w14:paraId="10F0CD3F" w14:textId="444965AC">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219.9</w:t>
            </w:r>
          </w:p>
        </w:tc>
        <w:tc>
          <w:tcPr>
            <w:tcW w:w="990" w:type="dxa"/>
            <w:tcMar>
              <w:left w:w="105" w:type="dxa"/>
              <w:right w:w="105" w:type="dxa"/>
            </w:tcMar>
            <w:vAlign w:val="center"/>
          </w:tcPr>
          <w:p w:rsidR="7D26841A" w:rsidP="7D26841A" w:rsidRDefault="7D26841A" w14:paraId="5FB17E58" w14:textId="14323DE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174.4</w:t>
            </w:r>
          </w:p>
        </w:tc>
        <w:tc>
          <w:tcPr>
            <w:tcW w:w="855" w:type="dxa"/>
            <w:tcMar>
              <w:left w:w="105" w:type="dxa"/>
              <w:right w:w="105" w:type="dxa"/>
            </w:tcMar>
            <w:vAlign w:val="center"/>
          </w:tcPr>
          <w:p w:rsidR="7D26841A" w:rsidP="7D26841A" w:rsidRDefault="7D26841A" w14:paraId="4FB41203" w14:textId="4B67812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499.6</w:t>
            </w:r>
          </w:p>
        </w:tc>
        <w:tc>
          <w:tcPr>
            <w:tcW w:w="930" w:type="dxa"/>
            <w:tcMar>
              <w:left w:w="105" w:type="dxa"/>
              <w:right w:w="105" w:type="dxa"/>
            </w:tcMar>
            <w:vAlign w:val="center"/>
          </w:tcPr>
          <w:p w:rsidR="7D26841A" w:rsidP="7D26841A" w:rsidRDefault="7D26841A" w14:paraId="71615FF8" w14:textId="5C039B96">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110.2</w:t>
            </w:r>
          </w:p>
        </w:tc>
        <w:tc>
          <w:tcPr>
            <w:tcW w:w="1155" w:type="dxa"/>
            <w:tcMar>
              <w:left w:w="105" w:type="dxa"/>
              <w:right w:w="105" w:type="dxa"/>
            </w:tcMar>
            <w:vAlign w:val="center"/>
          </w:tcPr>
          <w:p w:rsidR="7D26841A" w:rsidP="7D26841A" w:rsidRDefault="7D26841A" w14:paraId="521F5010" w14:textId="63AC4CB5">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5,653</w:t>
            </w:r>
          </w:p>
        </w:tc>
        <w:tc>
          <w:tcPr>
            <w:tcW w:w="1260" w:type="dxa"/>
            <w:tcMar>
              <w:left w:w="105" w:type="dxa"/>
              <w:right w:w="105" w:type="dxa"/>
            </w:tcMar>
            <w:vAlign w:val="center"/>
          </w:tcPr>
          <w:p w:rsidR="7D26841A" w:rsidP="7D26841A" w:rsidRDefault="7D26841A" w14:paraId="274E82D5" w14:textId="4DB32092">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2,833</w:t>
            </w:r>
          </w:p>
        </w:tc>
      </w:tr>
      <w:tr w:rsidR="7D26841A" w:rsidTr="7D26841A" w14:paraId="05F4F5A2">
        <w:trPr>
          <w:trHeight w:val="300"/>
        </w:trPr>
        <w:tc>
          <w:tcPr>
            <w:tcW w:w="1275" w:type="dxa"/>
            <w:tcMar>
              <w:left w:w="105" w:type="dxa"/>
              <w:right w:w="105" w:type="dxa"/>
            </w:tcMar>
            <w:vAlign w:val="center"/>
          </w:tcPr>
          <w:p w:rsidR="7D26841A" w:rsidP="7D26841A" w:rsidRDefault="7D26841A" w14:paraId="3EC2F1F9" w14:textId="1F309BC2">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Baucau</w:t>
            </w:r>
          </w:p>
        </w:tc>
        <w:tc>
          <w:tcPr>
            <w:tcW w:w="945" w:type="dxa"/>
            <w:tcMar>
              <w:left w:w="105" w:type="dxa"/>
              <w:right w:w="105" w:type="dxa"/>
            </w:tcMar>
            <w:vAlign w:val="center"/>
          </w:tcPr>
          <w:p w:rsidR="7D26841A" w:rsidP="7D26841A" w:rsidRDefault="7D26841A" w14:paraId="234D0C70" w14:textId="6BEFC498">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66.1</w:t>
            </w:r>
          </w:p>
        </w:tc>
        <w:tc>
          <w:tcPr>
            <w:tcW w:w="750" w:type="dxa"/>
            <w:tcMar>
              <w:left w:w="105" w:type="dxa"/>
              <w:right w:w="105" w:type="dxa"/>
            </w:tcMar>
            <w:vAlign w:val="center"/>
          </w:tcPr>
          <w:p w:rsidR="7D26841A" w:rsidP="7D26841A" w:rsidRDefault="7D26841A" w14:paraId="24D4A8E5" w14:textId="17A78022">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34.8</w:t>
            </w:r>
          </w:p>
        </w:tc>
        <w:tc>
          <w:tcPr>
            <w:tcW w:w="930" w:type="dxa"/>
            <w:tcMar>
              <w:left w:w="105" w:type="dxa"/>
              <w:right w:w="105" w:type="dxa"/>
            </w:tcMar>
            <w:vAlign w:val="center"/>
          </w:tcPr>
          <w:p w:rsidR="7D26841A" w:rsidP="7D26841A" w:rsidRDefault="7D26841A" w14:paraId="10EAFAEE" w14:textId="71AA11E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39.2</w:t>
            </w:r>
          </w:p>
        </w:tc>
        <w:tc>
          <w:tcPr>
            <w:tcW w:w="990" w:type="dxa"/>
            <w:tcMar>
              <w:left w:w="105" w:type="dxa"/>
              <w:right w:w="105" w:type="dxa"/>
            </w:tcMar>
            <w:vAlign w:val="center"/>
          </w:tcPr>
          <w:p w:rsidR="7D26841A" w:rsidP="7D26841A" w:rsidRDefault="7D26841A" w14:paraId="302B6E4D" w14:textId="5B54266B">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20.5</w:t>
            </w:r>
          </w:p>
        </w:tc>
        <w:tc>
          <w:tcPr>
            <w:tcW w:w="855" w:type="dxa"/>
            <w:tcMar>
              <w:left w:w="105" w:type="dxa"/>
              <w:right w:w="105" w:type="dxa"/>
            </w:tcMar>
            <w:vAlign w:val="center"/>
          </w:tcPr>
          <w:p w:rsidR="7D26841A" w:rsidP="7D26841A" w:rsidRDefault="7D26841A" w14:paraId="22F32AE5" w14:textId="1EA4F70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6.3</w:t>
            </w:r>
          </w:p>
        </w:tc>
        <w:tc>
          <w:tcPr>
            <w:tcW w:w="930" w:type="dxa"/>
            <w:tcMar>
              <w:left w:w="105" w:type="dxa"/>
              <w:right w:w="105" w:type="dxa"/>
            </w:tcMar>
            <w:vAlign w:val="center"/>
          </w:tcPr>
          <w:p w:rsidR="7D26841A" w:rsidP="7D26841A" w:rsidRDefault="7D26841A" w14:paraId="7D7BD7E5" w14:textId="5FD26E0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12.3</w:t>
            </w:r>
          </w:p>
        </w:tc>
        <w:tc>
          <w:tcPr>
            <w:tcW w:w="1155" w:type="dxa"/>
            <w:tcMar>
              <w:left w:w="105" w:type="dxa"/>
              <w:right w:w="105" w:type="dxa"/>
            </w:tcMar>
            <w:vAlign w:val="center"/>
          </w:tcPr>
          <w:p w:rsidR="7D26841A" w:rsidP="7D26841A" w:rsidRDefault="7D26841A" w14:paraId="2543B41E" w14:textId="4C3B55B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6,341</w:t>
            </w:r>
          </w:p>
        </w:tc>
        <w:tc>
          <w:tcPr>
            <w:tcW w:w="1260" w:type="dxa"/>
            <w:tcMar>
              <w:left w:w="105" w:type="dxa"/>
              <w:right w:w="105" w:type="dxa"/>
            </w:tcMar>
            <w:vAlign w:val="center"/>
          </w:tcPr>
          <w:p w:rsidR="7D26841A" w:rsidP="7D26841A" w:rsidRDefault="7D26841A" w14:paraId="4BB15D04" w14:textId="480052BC">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1,947</w:t>
            </w:r>
          </w:p>
        </w:tc>
      </w:tr>
      <w:tr w:rsidR="7D26841A" w:rsidTr="7D26841A" w14:paraId="4544C4D8">
        <w:trPr>
          <w:trHeight w:val="300"/>
        </w:trPr>
        <w:tc>
          <w:tcPr>
            <w:tcW w:w="1275" w:type="dxa"/>
            <w:tcMar>
              <w:left w:w="105" w:type="dxa"/>
              <w:right w:w="105" w:type="dxa"/>
            </w:tcMar>
            <w:vAlign w:val="center"/>
          </w:tcPr>
          <w:p w:rsidR="7D26841A" w:rsidP="7D26841A" w:rsidRDefault="7D26841A" w14:paraId="47C0DD1B" w14:textId="77669ACE">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Bobonaro</w:t>
            </w:r>
          </w:p>
        </w:tc>
        <w:tc>
          <w:tcPr>
            <w:tcW w:w="945" w:type="dxa"/>
            <w:tcMar>
              <w:left w:w="105" w:type="dxa"/>
              <w:right w:w="105" w:type="dxa"/>
            </w:tcMar>
            <w:vAlign w:val="center"/>
          </w:tcPr>
          <w:p w:rsidR="7D26841A" w:rsidP="7D26841A" w:rsidRDefault="7D26841A" w14:paraId="5093AE3E" w14:textId="186EE091">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362.7</w:t>
            </w:r>
          </w:p>
        </w:tc>
        <w:tc>
          <w:tcPr>
            <w:tcW w:w="750" w:type="dxa"/>
            <w:tcMar>
              <w:left w:w="105" w:type="dxa"/>
              <w:right w:w="105" w:type="dxa"/>
            </w:tcMar>
            <w:vAlign w:val="center"/>
          </w:tcPr>
          <w:p w:rsidR="7D26841A" w:rsidP="7D26841A" w:rsidRDefault="7D26841A" w14:paraId="6A9E5E8E" w14:textId="2285384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189.9</w:t>
            </w:r>
          </w:p>
        </w:tc>
        <w:tc>
          <w:tcPr>
            <w:tcW w:w="930" w:type="dxa"/>
            <w:tcMar>
              <w:left w:w="105" w:type="dxa"/>
              <w:right w:w="105" w:type="dxa"/>
            </w:tcMar>
            <w:vAlign w:val="center"/>
          </w:tcPr>
          <w:p w:rsidR="7D26841A" w:rsidP="7D26841A" w:rsidRDefault="7D26841A" w14:paraId="56237D37" w14:textId="76F1DA51">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100.3</w:t>
            </w:r>
          </w:p>
        </w:tc>
        <w:tc>
          <w:tcPr>
            <w:tcW w:w="990" w:type="dxa"/>
            <w:tcMar>
              <w:left w:w="105" w:type="dxa"/>
              <w:right w:w="105" w:type="dxa"/>
            </w:tcMar>
            <w:vAlign w:val="center"/>
          </w:tcPr>
          <w:p w:rsidR="7D26841A" w:rsidP="7D26841A" w:rsidRDefault="7D26841A" w14:paraId="33056490" w14:textId="622C3AF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105.3</w:t>
            </w:r>
          </w:p>
        </w:tc>
        <w:tc>
          <w:tcPr>
            <w:tcW w:w="855" w:type="dxa"/>
            <w:tcMar>
              <w:left w:w="105" w:type="dxa"/>
              <w:right w:w="105" w:type="dxa"/>
            </w:tcMar>
            <w:vAlign w:val="center"/>
          </w:tcPr>
          <w:p w:rsidR="7D26841A" w:rsidP="7D26841A" w:rsidRDefault="7D26841A" w14:paraId="54200E28" w14:textId="32808BB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57.8</w:t>
            </w:r>
          </w:p>
        </w:tc>
        <w:tc>
          <w:tcPr>
            <w:tcW w:w="930" w:type="dxa"/>
            <w:tcMar>
              <w:left w:w="105" w:type="dxa"/>
              <w:right w:w="105" w:type="dxa"/>
            </w:tcMar>
            <w:vAlign w:val="center"/>
          </w:tcPr>
          <w:p w:rsidR="7D26841A" w:rsidP="7D26841A" w:rsidRDefault="7D26841A" w14:paraId="0F94D578" w14:textId="77F514F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29.0</w:t>
            </w:r>
          </w:p>
        </w:tc>
        <w:tc>
          <w:tcPr>
            <w:tcW w:w="1155" w:type="dxa"/>
            <w:tcMar>
              <w:left w:w="105" w:type="dxa"/>
              <w:right w:w="105" w:type="dxa"/>
            </w:tcMar>
            <w:vAlign w:val="center"/>
          </w:tcPr>
          <w:p w:rsidR="7D26841A" w:rsidP="7D26841A" w:rsidRDefault="7D26841A" w14:paraId="63DF0E12" w14:textId="34100A1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24,880</w:t>
            </w:r>
          </w:p>
        </w:tc>
        <w:tc>
          <w:tcPr>
            <w:tcW w:w="1260" w:type="dxa"/>
            <w:tcMar>
              <w:left w:w="105" w:type="dxa"/>
              <w:right w:w="105" w:type="dxa"/>
            </w:tcMar>
            <w:vAlign w:val="center"/>
          </w:tcPr>
          <w:p w:rsidR="7D26841A" w:rsidP="7D26841A" w:rsidRDefault="7D26841A" w14:paraId="7B57AFD5" w14:textId="0D93E00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7,195</w:t>
            </w:r>
          </w:p>
        </w:tc>
      </w:tr>
      <w:tr w:rsidR="7D26841A" w:rsidTr="7D26841A" w14:paraId="7C495479">
        <w:trPr>
          <w:trHeight w:val="300"/>
        </w:trPr>
        <w:tc>
          <w:tcPr>
            <w:tcW w:w="1275" w:type="dxa"/>
            <w:tcMar>
              <w:left w:w="105" w:type="dxa"/>
              <w:right w:w="105" w:type="dxa"/>
            </w:tcMar>
            <w:vAlign w:val="center"/>
          </w:tcPr>
          <w:p w:rsidR="7D26841A" w:rsidP="7D26841A" w:rsidRDefault="7D26841A" w14:paraId="06F13D50" w14:textId="7DFC33AE">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Covalima</w:t>
            </w:r>
          </w:p>
        </w:tc>
        <w:tc>
          <w:tcPr>
            <w:tcW w:w="945" w:type="dxa"/>
            <w:tcMar>
              <w:left w:w="105" w:type="dxa"/>
              <w:right w:w="105" w:type="dxa"/>
            </w:tcMar>
            <w:vAlign w:val="center"/>
          </w:tcPr>
          <w:p w:rsidR="7D26841A" w:rsidP="7D26841A" w:rsidRDefault="7D26841A" w14:paraId="40E2446F" w14:textId="4B0AC68B">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51.5</w:t>
            </w:r>
          </w:p>
        </w:tc>
        <w:tc>
          <w:tcPr>
            <w:tcW w:w="750" w:type="dxa"/>
            <w:tcMar>
              <w:left w:w="105" w:type="dxa"/>
              <w:right w:w="105" w:type="dxa"/>
            </w:tcMar>
            <w:vAlign w:val="center"/>
          </w:tcPr>
          <w:p w:rsidR="7D26841A" w:rsidP="7D26841A" w:rsidRDefault="7D26841A" w14:paraId="51D89705" w14:textId="6BFC6CA2">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26.8</w:t>
            </w:r>
          </w:p>
        </w:tc>
        <w:tc>
          <w:tcPr>
            <w:tcW w:w="930" w:type="dxa"/>
            <w:tcMar>
              <w:left w:w="105" w:type="dxa"/>
              <w:right w:w="105" w:type="dxa"/>
            </w:tcMar>
            <w:vAlign w:val="center"/>
          </w:tcPr>
          <w:p w:rsidR="7D26841A" w:rsidP="7D26841A" w:rsidRDefault="7D26841A" w14:paraId="7BA11CCD" w14:textId="15B8318D">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26.6</w:t>
            </w:r>
          </w:p>
        </w:tc>
        <w:tc>
          <w:tcPr>
            <w:tcW w:w="990" w:type="dxa"/>
            <w:tcMar>
              <w:left w:w="105" w:type="dxa"/>
              <w:right w:w="105" w:type="dxa"/>
            </w:tcMar>
            <w:vAlign w:val="center"/>
          </w:tcPr>
          <w:p w:rsidR="7D26841A" w:rsidP="7D26841A" w:rsidRDefault="7D26841A" w14:paraId="5701D8F2" w14:textId="55BA49C6">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13.3</w:t>
            </w:r>
          </w:p>
        </w:tc>
        <w:tc>
          <w:tcPr>
            <w:tcW w:w="855" w:type="dxa"/>
            <w:tcMar>
              <w:left w:w="105" w:type="dxa"/>
              <w:right w:w="105" w:type="dxa"/>
            </w:tcMar>
            <w:vAlign w:val="center"/>
          </w:tcPr>
          <w:p w:rsidR="7D26841A" w:rsidP="7D26841A" w:rsidRDefault="7D26841A" w14:paraId="69A4BD96" w14:textId="3956DE32">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7.2</w:t>
            </w:r>
          </w:p>
        </w:tc>
        <w:tc>
          <w:tcPr>
            <w:tcW w:w="930" w:type="dxa"/>
            <w:tcMar>
              <w:left w:w="105" w:type="dxa"/>
              <w:right w:w="105" w:type="dxa"/>
            </w:tcMar>
            <w:vAlign w:val="center"/>
          </w:tcPr>
          <w:p w:rsidR="7D26841A" w:rsidP="7D26841A" w:rsidRDefault="7D26841A" w14:paraId="3B91C3E7" w14:textId="058E5DF2">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9.3</w:t>
            </w:r>
          </w:p>
        </w:tc>
        <w:tc>
          <w:tcPr>
            <w:tcW w:w="1155" w:type="dxa"/>
            <w:tcMar>
              <w:left w:w="105" w:type="dxa"/>
              <w:right w:w="105" w:type="dxa"/>
            </w:tcMar>
            <w:vAlign w:val="center"/>
          </w:tcPr>
          <w:p w:rsidR="7D26841A" w:rsidP="7D26841A" w:rsidRDefault="7D26841A" w14:paraId="1AC52BAC" w14:textId="523622AA">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2,353</w:t>
            </w:r>
          </w:p>
        </w:tc>
        <w:tc>
          <w:tcPr>
            <w:tcW w:w="1260" w:type="dxa"/>
            <w:tcMar>
              <w:left w:w="105" w:type="dxa"/>
              <w:right w:w="105" w:type="dxa"/>
            </w:tcMar>
            <w:vAlign w:val="center"/>
          </w:tcPr>
          <w:p w:rsidR="7D26841A" w:rsidP="7D26841A" w:rsidRDefault="7D26841A" w14:paraId="7B7DD456" w14:textId="3E5AC26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1,275</w:t>
            </w:r>
          </w:p>
        </w:tc>
      </w:tr>
      <w:tr w:rsidR="7D26841A" w:rsidTr="7D26841A" w14:paraId="08885C63">
        <w:trPr>
          <w:trHeight w:val="300"/>
        </w:trPr>
        <w:tc>
          <w:tcPr>
            <w:tcW w:w="1275" w:type="dxa"/>
            <w:tcMar>
              <w:left w:w="105" w:type="dxa"/>
              <w:right w:w="105" w:type="dxa"/>
            </w:tcMar>
            <w:vAlign w:val="center"/>
          </w:tcPr>
          <w:p w:rsidR="7D26841A" w:rsidP="7D26841A" w:rsidRDefault="7D26841A" w14:paraId="382189CE" w14:textId="7AAD5E13">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Dili</w:t>
            </w:r>
          </w:p>
        </w:tc>
        <w:tc>
          <w:tcPr>
            <w:tcW w:w="945" w:type="dxa"/>
            <w:tcMar>
              <w:left w:w="105" w:type="dxa"/>
              <w:right w:w="105" w:type="dxa"/>
            </w:tcMar>
            <w:vAlign w:val="center"/>
          </w:tcPr>
          <w:p w:rsidR="7D26841A" w:rsidP="7D26841A" w:rsidRDefault="7D26841A" w14:paraId="0C36574C" w14:textId="22381F7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8.4</w:t>
            </w:r>
          </w:p>
        </w:tc>
        <w:tc>
          <w:tcPr>
            <w:tcW w:w="750" w:type="dxa"/>
            <w:tcMar>
              <w:left w:w="105" w:type="dxa"/>
              <w:right w:w="105" w:type="dxa"/>
            </w:tcMar>
            <w:vAlign w:val="center"/>
          </w:tcPr>
          <w:p w:rsidR="7D26841A" w:rsidP="7D26841A" w:rsidRDefault="7D26841A" w14:paraId="4F2EF157" w14:textId="7420CB4C">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4.2</w:t>
            </w:r>
          </w:p>
        </w:tc>
        <w:tc>
          <w:tcPr>
            <w:tcW w:w="930" w:type="dxa"/>
            <w:tcMar>
              <w:left w:w="105" w:type="dxa"/>
              <w:right w:w="105" w:type="dxa"/>
            </w:tcMar>
            <w:vAlign w:val="center"/>
          </w:tcPr>
          <w:p w:rsidR="7D26841A" w:rsidP="7D26841A" w:rsidRDefault="7D26841A" w14:paraId="6CB4D9F4" w14:textId="0823313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1.9</w:t>
            </w:r>
          </w:p>
        </w:tc>
        <w:tc>
          <w:tcPr>
            <w:tcW w:w="990" w:type="dxa"/>
            <w:tcMar>
              <w:left w:w="105" w:type="dxa"/>
              <w:right w:w="105" w:type="dxa"/>
            </w:tcMar>
            <w:vAlign w:val="center"/>
          </w:tcPr>
          <w:p w:rsidR="7D26841A" w:rsidP="7D26841A" w:rsidRDefault="7D26841A" w14:paraId="38FC279F" w14:textId="687143FD">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1.5</w:t>
            </w:r>
          </w:p>
        </w:tc>
        <w:tc>
          <w:tcPr>
            <w:tcW w:w="855" w:type="dxa"/>
            <w:tcMar>
              <w:left w:w="105" w:type="dxa"/>
              <w:right w:w="105" w:type="dxa"/>
            </w:tcMar>
            <w:vAlign w:val="center"/>
          </w:tcPr>
          <w:p w:rsidR="7D26841A" w:rsidP="7D26841A" w:rsidRDefault="7D26841A" w14:paraId="70531CC7" w14:textId="2E32CFD4">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2.3</w:t>
            </w:r>
          </w:p>
        </w:tc>
        <w:tc>
          <w:tcPr>
            <w:tcW w:w="930" w:type="dxa"/>
            <w:tcMar>
              <w:left w:w="105" w:type="dxa"/>
              <w:right w:w="105" w:type="dxa"/>
            </w:tcMar>
            <w:vAlign w:val="center"/>
          </w:tcPr>
          <w:p w:rsidR="7D26841A" w:rsidP="7D26841A" w:rsidRDefault="7D26841A" w14:paraId="63ADAD8D" w14:textId="29D1F16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0.8</w:t>
            </w:r>
          </w:p>
        </w:tc>
        <w:tc>
          <w:tcPr>
            <w:tcW w:w="1155" w:type="dxa"/>
            <w:tcMar>
              <w:left w:w="105" w:type="dxa"/>
              <w:right w:w="105" w:type="dxa"/>
            </w:tcMar>
            <w:vAlign w:val="center"/>
          </w:tcPr>
          <w:p w:rsidR="7D26841A" w:rsidP="7D26841A" w:rsidRDefault="7D26841A" w14:paraId="73F502F7" w14:textId="1D836435">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1,806</w:t>
            </w:r>
          </w:p>
        </w:tc>
        <w:tc>
          <w:tcPr>
            <w:tcW w:w="1260" w:type="dxa"/>
            <w:tcMar>
              <w:left w:w="105" w:type="dxa"/>
              <w:right w:w="105" w:type="dxa"/>
            </w:tcMar>
            <w:vAlign w:val="center"/>
          </w:tcPr>
          <w:p w:rsidR="7D26841A" w:rsidP="7D26841A" w:rsidRDefault="7D26841A" w14:paraId="582EE5DA" w14:textId="3F8A04C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740</w:t>
            </w:r>
          </w:p>
        </w:tc>
      </w:tr>
      <w:tr w:rsidR="7D26841A" w:rsidTr="7D26841A" w14:paraId="0F98F2F7">
        <w:trPr>
          <w:trHeight w:val="300"/>
        </w:trPr>
        <w:tc>
          <w:tcPr>
            <w:tcW w:w="1275" w:type="dxa"/>
            <w:tcMar>
              <w:left w:w="105" w:type="dxa"/>
              <w:right w:w="105" w:type="dxa"/>
            </w:tcMar>
            <w:vAlign w:val="center"/>
          </w:tcPr>
          <w:p w:rsidR="7D26841A" w:rsidP="7D26841A" w:rsidRDefault="7D26841A" w14:paraId="4F69A05C" w14:textId="3E65B93D">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Lautem</w:t>
            </w:r>
          </w:p>
        </w:tc>
        <w:tc>
          <w:tcPr>
            <w:tcW w:w="945" w:type="dxa"/>
            <w:tcMar>
              <w:left w:w="105" w:type="dxa"/>
              <w:right w:w="105" w:type="dxa"/>
            </w:tcMar>
            <w:vAlign w:val="center"/>
          </w:tcPr>
          <w:p w:rsidR="7D26841A" w:rsidP="7D26841A" w:rsidRDefault="7D26841A" w14:paraId="017622E9" w14:textId="0367AE05">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319.0</w:t>
            </w:r>
          </w:p>
        </w:tc>
        <w:tc>
          <w:tcPr>
            <w:tcW w:w="750" w:type="dxa"/>
            <w:tcMar>
              <w:left w:w="105" w:type="dxa"/>
              <w:right w:w="105" w:type="dxa"/>
            </w:tcMar>
            <w:vAlign w:val="center"/>
          </w:tcPr>
          <w:p w:rsidR="7D26841A" w:rsidP="7D26841A" w:rsidRDefault="7D26841A" w14:paraId="7152D213" w14:textId="193431BB">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144.6</w:t>
            </w:r>
          </w:p>
        </w:tc>
        <w:tc>
          <w:tcPr>
            <w:tcW w:w="930" w:type="dxa"/>
            <w:tcMar>
              <w:left w:w="105" w:type="dxa"/>
              <w:right w:w="105" w:type="dxa"/>
            </w:tcMar>
            <w:vAlign w:val="center"/>
          </w:tcPr>
          <w:p w:rsidR="7D26841A" w:rsidP="7D26841A" w:rsidRDefault="7D26841A" w14:paraId="5492B562" w14:textId="570E814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106.0</w:t>
            </w:r>
          </w:p>
        </w:tc>
        <w:tc>
          <w:tcPr>
            <w:tcW w:w="990" w:type="dxa"/>
            <w:tcMar>
              <w:left w:w="105" w:type="dxa"/>
              <w:right w:w="105" w:type="dxa"/>
            </w:tcMar>
            <w:vAlign w:val="center"/>
          </w:tcPr>
          <w:p w:rsidR="7D26841A" w:rsidP="7D26841A" w:rsidRDefault="7D26841A" w14:paraId="4AE5A485" w14:textId="0915B90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55.2</w:t>
            </w:r>
          </w:p>
        </w:tc>
        <w:tc>
          <w:tcPr>
            <w:tcW w:w="855" w:type="dxa"/>
            <w:tcMar>
              <w:left w:w="105" w:type="dxa"/>
              <w:right w:w="105" w:type="dxa"/>
            </w:tcMar>
            <w:vAlign w:val="center"/>
          </w:tcPr>
          <w:p w:rsidR="7D26841A" w:rsidP="7D26841A" w:rsidRDefault="7D26841A" w14:paraId="128D0CCF" w14:textId="55393C8C">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85.7</w:t>
            </w:r>
          </w:p>
        </w:tc>
        <w:tc>
          <w:tcPr>
            <w:tcW w:w="930" w:type="dxa"/>
            <w:tcMar>
              <w:left w:w="105" w:type="dxa"/>
              <w:right w:w="105" w:type="dxa"/>
            </w:tcMar>
            <w:vAlign w:val="center"/>
          </w:tcPr>
          <w:p w:rsidR="7D26841A" w:rsidP="7D26841A" w:rsidRDefault="7D26841A" w14:paraId="0BA820AA" w14:textId="036CC678">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39.4</w:t>
            </w:r>
          </w:p>
        </w:tc>
        <w:tc>
          <w:tcPr>
            <w:tcW w:w="1155" w:type="dxa"/>
            <w:tcMar>
              <w:left w:w="105" w:type="dxa"/>
              <w:right w:w="105" w:type="dxa"/>
            </w:tcMar>
            <w:vAlign w:val="center"/>
          </w:tcPr>
          <w:p w:rsidR="7D26841A" w:rsidP="7D26841A" w:rsidRDefault="7D26841A" w14:paraId="581CD013" w14:textId="2F2D4A9A">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13,848</w:t>
            </w:r>
          </w:p>
        </w:tc>
        <w:tc>
          <w:tcPr>
            <w:tcW w:w="1260" w:type="dxa"/>
            <w:tcMar>
              <w:left w:w="105" w:type="dxa"/>
              <w:right w:w="105" w:type="dxa"/>
            </w:tcMar>
            <w:vAlign w:val="center"/>
          </w:tcPr>
          <w:p w:rsidR="7D26841A" w:rsidP="7D26841A" w:rsidRDefault="7D26841A" w14:paraId="068EB6D2" w14:textId="2A6333C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6,356</w:t>
            </w:r>
          </w:p>
        </w:tc>
      </w:tr>
      <w:tr w:rsidR="7D26841A" w:rsidTr="7D26841A" w14:paraId="0C9E2418">
        <w:trPr>
          <w:trHeight w:val="300"/>
        </w:trPr>
        <w:tc>
          <w:tcPr>
            <w:tcW w:w="1275" w:type="dxa"/>
            <w:tcMar>
              <w:left w:w="105" w:type="dxa"/>
              <w:right w:w="105" w:type="dxa"/>
            </w:tcMar>
            <w:vAlign w:val="center"/>
          </w:tcPr>
          <w:p w:rsidR="7D26841A" w:rsidP="7D26841A" w:rsidRDefault="7D26841A" w14:paraId="3010F0B7" w14:textId="5E2DCC18">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Liquiça</w:t>
            </w:r>
          </w:p>
        </w:tc>
        <w:tc>
          <w:tcPr>
            <w:tcW w:w="945" w:type="dxa"/>
            <w:tcMar>
              <w:left w:w="105" w:type="dxa"/>
              <w:right w:w="105" w:type="dxa"/>
            </w:tcMar>
            <w:vAlign w:val="center"/>
          </w:tcPr>
          <w:p w:rsidR="7D26841A" w:rsidP="7D26841A" w:rsidRDefault="7D26841A" w14:paraId="23994DCB" w14:textId="2D80C264">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157.8</w:t>
            </w:r>
          </w:p>
        </w:tc>
        <w:tc>
          <w:tcPr>
            <w:tcW w:w="750" w:type="dxa"/>
            <w:tcMar>
              <w:left w:w="105" w:type="dxa"/>
              <w:right w:w="105" w:type="dxa"/>
            </w:tcMar>
            <w:vAlign w:val="center"/>
          </w:tcPr>
          <w:p w:rsidR="7D26841A" w:rsidP="7D26841A" w:rsidRDefault="7D26841A" w14:paraId="70865644" w14:textId="37FB8DF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77.4</w:t>
            </w:r>
          </w:p>
        </w:tc>
        <w:tc>
          <w:tcPr>
            <w:tcW w:w="930" w:type="dxa"/>
            <w:tcMar>
              <w:left w:w="105" w:type="dxa"/>
              <w:right w:w="105" w:type="dxa"/>
            </w:tcMar>
            <w:vAlign w:val="center"/>
          </w:tcPr>
          <w:p w:rsidR="7D26841A" w:rsidP="7D26841A" w:rsidRDefault="7D26841A" w14:paraId="75AA38FD" w14:textId="764F5AA8">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52.3</w:t>
            </w:r>
          </w:p>
        </w:tc>
        <w:tc>
          <w:tcPr>
            <w:tcW w:w="990" w:type="dxa"/>
            <w:tcMar>
              <w:left w:w="105" w:type="dxa"/>
              <w:right w:w="105" w:type="dxa"/>
            </w:tcMar>
            <w:vAlign w:val="center"/>
          </w:tcPr>
          <w:p w:rsidR="7D26841A" w:rsidP="7D26841A" w:rsidRDefault="7D26841A" w14:paraId="28A4D915" w14:textId="073483E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43.6</w:t>
            </w:r>
          </w:p>
        </w:tc>
        <w:tc>
          <w:tcPr>
            <w:tcW w:w="855" w:type="dxa"/>
            <w:tcMar>
              <w:left w:w="105" w:type="dxa"/>
              <w:right w:w="105" w:type="dxa"/>
            </w:tcMar>
            <w:vAlign w:val="center"/>
          </w:tcPr>
          <w:p w:rsidR="7D26841A" w:rsidP="7D26841A" w:rsidRDefault="7D26841A" w14:paraId="70FAAAB5" w14:textId="11D521C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16.8</w:t>
            </w:r>
          </w:p>
        </w:tc>
        <w:tc>
          <w:tcPr>
            <w:tcW w:w="930" w:type="dxa"/>
            <w:tcMar>
              <w:left w:w="105" w:type="dxa"/>
              <w:right w:w="105" w:type="dxa"/>
            </w:tcMar>
            <w:vAlign w:val="center"/>
          </w:tcPr>
          <w:p w:rsidR="7D26841A" w:rsidP="7D26841A" w:rsidRDefault="7D26841A" w14:paraId="4AD811FA" w14:textId="4DAB97A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20.2</w:t>
            </w:r>
          </w:p>
        </w:tc>
        <w:tc>
          <w:tcPr>
            <w:tcW w:w="1155" w:type="dxa"/>
            <w:tcMar>
              <w:left w:w="105" w:type="dxa"/>
              <w:right w:w="105" w:type="dxa"/>
            </w:tcMar>
            <w:vAlign w:val="center"/>
          </w:tcPr>
          <w:p w:rsidR="7D26841A" w:rsidP="7D26841A" w:rsidRDefault="7D26841A" w14:paraId="59C801D0" w14:textId="1930C47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9,011</w:t>
            </w:r>
          </w:p>
        </w:tc>
        <w:tc>
          <w:tcPr>
            <w:tcW w:w="1260" w:type="dxa"/>
            <w:tcMar>
              <w:left w:w="105" w:type="dxa"/>
              <w:right w:w="105" w:type="dxa"/>
            </w:tcMar>
            <w:vAlign w:val="center"/>
          </w:tcPr>
          <w:p w:rsidR="7D26841A" w:rsidP="7D26841A" w:rsidRDefault="7D26841A" w14:paraId="69B47B73" w14:textId="632C72A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3,467</w:t>
            </w:r>
          </w:p>
        </w:tc>
      </w:tr>
      <w:tr w:rsidR="7D26841A" w:rsidTr="7D26841A" w14:paraId="0D21021D">
        <w:trPr>
          <w:trHeight w:val="300"/>
        </w:trPr>
        <w:tc>
          <w:tcPr>
            <w:tcW w:w="1275" w:type="dxa"/>
            <w:tcMar>
              <w:left w:w="105" w:type="dxa"/>
              <w:right w:w="105" w:type="dxa"/>
            </w:tcMar>
            <w:vAlign w:val="center"/>
          </w:tcPr>
          <w:p w:rsidR="7D26841A" w:rsidP="7D26841A" w:rsidRDefault="7D26841A" w14:paraId="551DCDE9" w14:textId="46921FA3">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Manatuto</w:t>
            </w:r>
          </w:p>
        </w:tc>
        <w:tc>
          <w:tcPr>
            <w:tcW w:w="945" w:type="dxa"/>
            <w:tcMar>
              <w:left w:w="105" w:type="dxa"/>
              <w:right w:w="105" w:type="dxa"/>
            </w:tcMar>
            <w:vAlign w:val="center"/>
          </w:tcPr>
          <w:p w:rsidR="7D26841A" w:rsidP="7D26841A" w:rsidRDefault="7D26841A" w14:paraId="2157886F" w14:textId="7B869EED">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623.7</w:t>
            </w:r>
          </w:p>
        </w:tc>
        <w:tc>
          <w:tcPr>
            <w:tcW w:w="750" w:type="dxa"/>
            <w:tcMar>
              <w:left w:w="105" w:type="dxa"/>
              <w:right w:w="105" w:type="dxa"/>
            </w:tcMar>
            <w:vAlign w:val="center"/>
          </w:tcPr>
          <w:p w:rsidR="7D26841A" w:rsidP="7D26841A" w:rsidRDefault="7D26841A" w14:paraId="111E94C6" w14:textId="60BF6E4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310.8</w:t>
            </w:r>
          </w:p>
        </w:tc>
        <w:tc>
          <w:tcPr>
            <w:tcW w:w="930" w:type="dxa"/>
            <w:tcMar>
              <w:left w:w="105" w:type="dxa"/>
              <w:right w:w="105" w:type="dxa"/>
            </w:tcMar>
            <w:vAlign w:val="center"/>
          </w:tcPr>
          <w:p w:rsidR="7D26841A" w:rsidP="7D26841A" w:rsidRDefault="7D26841A" w14:paraId="558C8457" w14:textId="29A9CA21">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207.7</w:t>
            </w:r>
          </w:p>
        </w:tc>
        <w:tc>
          <w:tcPr>
            <w:tcW w:w="990" w:type="dxa"/>
            <w:tcMar>
              <w:left w:w="105" w:type="dxa"/>
              <w:right w:w="105" w:type="dxa"/>
            </w:tcMar>
            <w:vAlign w:val="center"/>
          </w:tcPr>
          <w:p w:rsidR="7D26841A" w:rsidP="7D26841A" w:rsidRDefault="7D26841A" w14:paraId="3AC2B24B" w14:textId="3B3434F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232.6</w:t>
            </w:r>
          </w:p>
        </w:tc>
        <w:tc>
          <w:tcPr>
            <w:tcW w:w="855" w:type="dxa"/>
            <w:tcMar>
              <w:left w:w="105" w:type="dxa"/>
              <w:right w:w="105" w:type="dxa"/>
            </w:tcMar>
            <w:vAlign w:val="center"/>
          </w:tcPr>
          <w:p w:rsidR="7D26841A" w:rsidP="7D26841A" w:rsidRDefault="7D26841A" w14:paraId="14EF8C98" w14:textId="74784FE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64.6</w:t>
            </w:r>
          </w:p>
        </w:tc>
        <w:tc>
          <w:tcPr>
            <w:tcW w:w="930" w:type="dxa"/>
            <w:tcMar>
              <w:left w:w="105" w:type="dxa"/>
              <w:right w:w="105" w:type="dxa"/>
            </w:tcMar>
            <w:vAlign w:val="center"/>
          </w:tcPr>
          <w:p w:rsidR="7D26841A" w:rsidP="7D26841A" w:rsidRDefault="7D26841A" w14:paraId="6F076A0F" w14:textId="6A4005A5">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72.0</w:t>
            </w:r>
          </w:p>
        </w:tc>
        <w:tc>
          <w:tcPr>
            <w:tcW w:w="1155" w:type="dxa"/>
            <w:tcMar>
              <w:left w:w="105" w:type="dxa"/>
              <w:right w:w="105" w:type="dxa"/>
            </w:tcMar>
            <w:vAlign w:val="center"/>
          </w:tcPr>
          <w:p w:rsidR="7D26841A" w:rsidP="7D26841A" w:rsidRDefault="7D26841A" w14:paraId="644741C1" w14:textId="1675A8D5">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24,617</w:t>
            </w:r>
          </w:p>
        </w:tc>
        <w:tc>
          <w:tcPr>
            <w:tcW w:w="1260" w:type="dxa"/>
            <w:tcMar>
              <w:left w:w="105" w:type="dxa"/>
              <w:right w:w="105" w:type="dxa"/>
            </w:tcMar>
            <w:vAlign w:val="center"/>
          </w:tcPr>
          <w:p w:rsidR="7D26841A" w:rsidP="7D26841A" w:rsidRDefault="7D26841A" w14:paraId="4AA1A07F" w14:textId="4E56632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7,660</w:t>
            </w:r>
          </w:p>
        </w:tc>
      </w:tr>
      <w:tr w:rsidR="7D26841A" w:rsidTr="7D26841A" w14:paraId="00D12F03">
        <w:trPr>
          <w:trHeight w:val="300"/>
        </w:trPr>
        <w:tc>
          <w:tcPr>
            <w:tcW w:w="1275" w:type="dxa"/>
            <w:tcMar>
              <w:left w:w="105" w:type="dxa"/>
              <w:right w:w="105" w:type="dxa"/>
            </w:tcMar>
            <w:vAlign w:val="center"/>
          </w:tcPr>
          <w:p w:rsidR="7D26841A" w:rsidP="7D26841A" w:rsidRDefault="7D26841A" w14:paraId="036FD18F" w14:textId="3B79CF2B">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Manufahi</w:t>
            </w:r>
          </w:p>
        </w:tc>
        <w:tc>
          <w:tcPr>
            <w:tcW w:w="945" w:type="dxa"/>
            <w:tcMar>
              <w:left w:w="105" w:type="dxa"/>
              <w:right w:w="105" w:type="dxa"/>
            </w:tcMar>
            <w:vAlign w:val="center"/>
          </w:tcPr>
          <w:p w:rsidR="7D26841A" w:rsidP="7D26841A" w:rsidRDefault="7D26841A" w14:paraId="263D907C" w14:textId="61FDDA24">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23.9</w:t>
            </w:r>
          </w:p>
        </w:tc>
        <w:tc>
          <w:tcPr>
            <w:tcW w:w="750" w:type="dxa"/>
            <w:tcMar>
              <w:left w:w="105" w:type="dxa"/>
              <w:right w:w="105" w:type="dxa"/>
            </w:tcMar>
            <w:vAlign w:val="center"/>
          </w:tcPr>
          <w:p w:rsidR="7D26841A" w:rsidP="7D26841A" w:rsidRDefault="7D26841A" w14:paraId="0831CE45" w14:textId="0837A2B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11.9</w:t>
            </w:r>
          </w:p>
        </w:tc>
        <w:tc>
          <w:tcPr>
            <w:tcW w:w="930" w:type="dxa"/>
            <w:tcMar>
              <w:left w:w="105" w:type="dxa"/>
              <w:right w:w="105" w:type="dxa"/>
            </w:tcMar>
            <w:vAlign w:val="center"/>
          </w:tcPr>
          <w:p w:rsidR="7D26841A" w:rsidP="7D26841A" w:rsidRDefault="7D26841A" w14:paraId="486FD584" w14:textId="39AC499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10.2</w:t>
            </w:r>
          </w:p>
        </w:tc>
        <w:tc>
          <w:tcPr>
            <w:tcW w:w="990" w:type="dxa"/>
            <w:tcMar>
              <w:left w:w="105" w:type="dxa"/>
              <w:right w:w="105" w:type="dxa"/>
            </w:tcMar>
            <w:vAlign w:val="center"/>
          </w:tcPr>
          <w:p w:rsidR="7D26841A" w:rsidP="7D26841A" w:rsidRDefault="7D26841A" w14:paraId="149ECF3C" w14:textId="40A2AC51">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8.2</w:t>
            </w:r>
          </w:p>
        </w:tc>
        <w:tc>
          <w:tcPr>
            <w:tcW w:w="855" w:type="dxa"/>
            <w:tcMar>
              <w:left w:w="105" w:type="dxa"/>
              <w:right w:w="105" w:type="dxa"/>
            </w:tcMar>
            <w:vAlign w:val="center"/>
          </w:tcPr>
          <w:p w:rsidR="7D26841A" w:rsidP="7D26841A" w:rsidRDefault="7D26841A" w14:paraId="068DAD67" w14:textId="76AC795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3.3</w:t>
            </w:r>
          </w:p>
        </w:tc>
        <w:tc>
          <w:tcPr>
            <w:tcW w:w="930" w:type="dxa"/>
            <w:tcMar>
              <w:left w:w="105" w:type="dxa"/>
              <w:right w:w="105" w:type="dxa"/>
            </w:tcMar>
            <w:vAlign w:val="center"/>
          </w:tcPr>
          <w:p w:rsidR="7D26841A" w:rsidP="7D26841A" w:rsidRDefault="7D26841A" w14:paraId="29D0ECB9" w14:textId="5577F02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3.0</w:t>
            </w:r>
          </w:p>
        </w:tc>
        <w:tc>
          <w:tcPr>
            <w:tcW w:w="1155" w:type="dxa"/>
            <w:tcMar>
              <w:left w:w="105" w:type="dxa"/>
              <w:right w:w="105" w:type="dxa"/>
            </w:tcMar>
            <w:vAlign w:val="center"/>
          </w:tcPr>
          <w:p w:rsidR="7D26841A" w:rsidP="7D26841A" w:rsidRDefault="7D26841A" w14:paraId="38E2C85D" w14:textId="5EB4081B">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1,153</w:t>
            </w:r>
          </w:p>
        </w:tc>
        <w:tc>
          <w:tcPr>
            <w:tcW w:w="1260" w:type="dxa"/>
            <w:tcMar>
              <w:left w:w="105" w:type="dxa"/>
              <w:right w:w="105" w:type="dxa"/>
            </w:tcMar>
            <w:vAlign w:val="center"/>
          </w:tcPr>
          <w:p w:rsidR="7D26841A" w:rsidP="7D26841A" w:rsidRDefault="7D26841A" w14:paraId="1457A334" w14:textId="69B2060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425</w:t>
            </w:r>
          </w:p>
        </w:tc>
      </w:tr>
      <w:tr w:rsidR="7D26841A" w:rsidTr="7D26841A" w14:paraId="0CB88B03">
        <w:trPr>
          <w:trHeight w:val="300"/>
        </w:trPr>
        <w:tc>
          <w:tcPr>
            <w:tcW w:w="1275" w:type="dxa"/>
            <w:tcMar>
              <w:left w:w="105" w:type="dxa"/>
              <w:right w:w="105" w:type="dxa"/>
            </w:tcMar>
            <w:vAlign w:val="center"/>
          </w:tcPr>
          <w:p w:rsidR="7D26841A" w:rsidP="7D26841A" w:rsidRDefault="7D26841A" w14:paraId="1E844190" w14:textId="3063E0E2">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Oecusse</w:t>
            </w:r>
          </w:p>
        </w:tc>
        <w:tc>
          <w:tcPr>
            <w:tcW w:w="945" w:type="dxa"/>
            <w:tcMar>
              <w:left w:w="105" w:type="dxa"/>
              <w:right w:w="105" w:type="dxa"/>
            </w:tcMar>
            <w:vAlign w:val="center"/>
          </w:tcPr>
          <w:p w:rsidR="7D26841A" w:rsidP="7D26841A" w:rsidRDefault="7D26841A" w14:paraId="07FACA2D" w14:textId="7DA4682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214.1</w:t>
            </w:r>
          </w:p>
        </w:tc>
        <w:tc>
          <w:tcPr>
            <w:tcW w:w="750" w:type="dxa"/>
            <w:tcMar>
              <w:left w:w="105" w:type="dxa"/>
              <w:right w:w="105" w:type="dxa"/>
            </w:tcMar>
            <w:vAlign w:val="center"/>
          </w:tcPr>
          <w:p w:rsidR="7D26841A" w:rsidP="7D26841A" w:rsidRDefault="7D26841A" w14:paraId="5455DDFC" w14:textId="01952054">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101.1</w:t>
            </w:r>
          </w:p>
        </w:tc>
        <w:tc>
          <w:tcPr>
            <w:tcW w:w="930" w:type="dxa"/>
            <w:tcMar>
              <w:left w:w="105" w:type="dxa"/>
              <w:right w:w="105" w:type="dxa"/>
            </w:tcMar>
            <w:vAlign w:val="center"/>
          </w:tcPr>
          <w:p w:rsidR="7D26841A" w:rsidP="7D26841A" w:rsidRDefault="7D26841A" w14:paraId="6BA87046" w14:textId="4ABC26A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33.2</w:t>
            </w:r>
          </w:p>
        </w:tc>
        <w:tc>
          <w:tcPr>
            <w:tcW w:w="990" w:type="dxa"/>
            <w:tcMar>
              <w:left w:w="105" w:type="dxa"/>
              <w:right w:w="105" w:type="dxa"/>
            </w:tcMar>
            <w:vAlign w:val="center"/>
          </w:tcPr>
          <w:p w:rsidR="7D26841A" w:rsidP="7D26841A" w:rsidRDefault="7D26841A" w14:paraId="5A7B5E28" w14:textId="016DD79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32.9</w:t>
            </w:r>
          </w:p>
        </w:tc>
        <w:tc>
          <w:tcPr>
            <w:tcW w:w="855" w:type="dxa"/>
            <w:tcMar>
              <w:left w:w="105" w:type="dxa"/>
              <w:right w:w="105" w:type="dxa"/>
            </w:tcMar>
            <w:vAlign w:val="center"/>
          </w:tcPr>
          <w:p w:rsidR="7D26841A" w:rsidP="7D26841A" w:rsidRDefault="7D26841A" w14:paraId="6347D048" w14:textId="0A3D4B18">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53.8</w:t>
            </w:r>
          </w:p>
        </w:tc>
        <w:tc>
          <w:tcPr>
            <w:tcW w:w="930" w:type="dxa"/>
            <w:tcMar>
              <w:left w:w="105" w:type="dxa"/>
              <w:right w:w="105" w:type="dxa"/>
            </w:tcMar>
            <w:vAlign w:val="center"/>
          </w:tcPr>
          <w:p w:rsidR="7D26841A" w:rsidP="7D26841A" w:rsidRDefault="7D26841A" w14:paraId="1206F2D0" w14:textId="6488AC76">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17.6</w:t>
            </w:r>
          </w:p>
        </w:tc>
        <w:tc>
          <w:tcPr>
            <w:tcW w:w="1155" w:type="dxa"/>
            <w:tcMar>
              <w:left w:w="105" w:type="dxa"/>
              <w:right w:w="105" w:type="dxa"/>
            </w:tcMar>
            <w:vAlign w:val="center"/>
          </w:tcPr>
          <w:p w:rsidR="7D26841A" w:rsidP="7D26841A" w:rsidRDefault="7D26841A" w14:paraId="11B6E3F9" w14:textId="7DABF9FA">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6,387</w:t>
            </w:r>
          </w:p>
        </w:tc>
        <w:tc>
          <w:tcPr>
            <w:tcW w:w="1260" w:type="dxa"/>
            <w:tcMar>
              <w:left w:w="105" w:type="dxa"/>
              <w:right w:w="105" w:type="dxa"/>
            </w:tcMar>
            <w:vAlign w:val="center"/>
          </w:tcPr>
          <w:p w:rsidR="7D26841A" w:rsidP="7D26841A" w:rsidRDefault="7D26841A" w14:paraId="0E7A828C" w14:textId="223F3DCC">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3,394</w:t>
            </w:r>
          </w:p>
        </w:tc>
      </w:tr>
      <w:tr w:rsidR="7D26841A" w:rsidTr="7D26841A" w14:paraId="496F978A">
        <w:trPr>
          <w:trHeight w:val="300"/>
        </w:trPr>
        <w:tc>
          <w:tcPr>
            <w:tcW w:w="1275" w:type="dxa"/>
            <w:tcMar>
              <w:left w:w="105" w:type="dxa"/>
              <w:right w:w="105" w:type="dxa"/>
            </w:tcMar>
            <w:vAlign w:val="center"/>
          </w:tcPr>
          <w:p w:rsidR="7D26841A" w:rsidP="7D26841A" w:rsidRDefault="7D26841A" w14:paraId="55CC251C" w14:textId="496F0034">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Viqueque</w:t>
            </w:r>
          </w:p>
        </w:tc>
        <w:tc>
          <w:tcPr>
            <w:tcW w:w="945" w:type="dxa"/>
            <w:tcMar>
              <w:left w:w="105" w:type="dxa"/>
              <w:right w:w="105" w:type="dxa"/>
            </w:tcMar>
            <w:vAlign w:val="center"/>
          </w:tcPr>
          <w:p w:rsidR="7D26841A" w:rsidP="7D26841A" w:rsidRDefault="7D26841A" w14:paraId="78FB6304" w14:textId="592DD0B2">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114.8</w:t>
            </w:r>
          </w:p>
        </w:tc>
        <w:tc>
          <w:tcPr>
            <w:tcW w:w="750" w:type="dxa"/>
            <w:tcMar>
              <w:left w:w="105" w:type="dxa"/>
              <w:right w:w="105" w:type="dxa"/>
            </w:tcMar>
            <w:vAlign w:val="center"/>
          </w:tcPr>
          <w:p w:rsidR="7D26841A" w:rsidP="7D26841A" w:rsidRDefault="7D26841A" w14:paraId="2D5FBF89" w14:textId="67B63C6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42.8</w:t>
            </w:r>
          </w:p>
        </w:tc>
        <w:tc>
          <w:tcPr>
            <w:tcW w:w="930" w:type="dxa"/>
            <w:tcMar>
              <w:left w:w="105" w:type="dxa"/>
              <w:right w:w="105" w:type="dxa"/>
            </w:tcMar>
            <w:vAlign w:val="center"/>
          </w:tcPr>
          <w:p w:rsidR="7D26841A" w:rsidP="7D26841A" w:rsidRDefault="7D26841A" w14:paraId="17B005E8" w14:textId="3E9A2ED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14.8</w:t>
            </w:r>
          </w:p>
        </w:tc>
        <w:tc>
          <w:tcPr>
            <w:tcW w:w="990" w:type="dxa"/>
            <w:tcMar>
              <w:left w:w="105" w:type="dxa"/>
              <w:right w:w="105" w:type="dxa"/>
            </w:tcMar>
            <w:vAlign w:val="center"/>
          </w:tcPr>
          <w:p w:rsidR="7D26841A" w:rsidP="7D26841A" w:rsidRDefault="7D26841A" w14:paraId="1383025D" w14:textId="58BE83C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18.5</w:t>
            </w:r>
          </w:p>
        </w:tc>
        <w:tc>
          <w:tcPr>
            <w:tcW w:w="855" w:type="dxa"/>
            <w:tcMar>
              <w:left w:w="105" w:type="dxa"/>
              <w:right w:w="105" w:type="dxa"/>
            </w:tcMar>
            <w:vAlign w:val="center"/>
          </w:tcPr>
          <w:p w:rsidR="7D26841A" w:rsidP="7D26841A" w:rsidRDefault="7D26841A" w14:paraId="7F9D2A28" w14:textId="6124E5DD">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42.9</w:t>
            </w:r>
          </w:p>
        </w:tc>
        <w:tc>
          <w:tcPr>
            <w:tcW w:w="930" w:type="dxa"/>
            <w:tcMar>
              <w:left w:w="105" w:type="dxa"/>
              <w:right w:w="105" w:type="dxa"/>
            </w:tcMar>
            <w:vAlign w:val="center"/>
          </w:tcPr>
          <w:p w:rsidR="7D26841A" w:rsidP="7D26841A" w:rsidRDefault="7D26841A" w14:paraId="00BD8B97" w14:textId="02AD71F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7.9</w:t>
            </w:r>
          </w:p>
        </w:tc>
        <w:tc>
          <w:tcPr>
            <w:tcW w:w="1155" w:type="dxa"/>
            <w:tcMar>
              <w:left w:w="105" w:type="dxa"/>
              <w:right w:w="105" w:type="dxa"/>
            </w:tcMar>
            <w:vAlign w:val="center"/>
          </w:tcPr>
          <w:p w:rsidR="7D26841A" w:rsidP="7D26841A" w:rsidRDefault="7D26841A" w14:paraId="0D49D1AB" w14:textId="18628DA8">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3,344</w:t>
            </w:r>
          </w:p>
        </w:tc>
        <w:tc>
          <w:tcPr>
            <w:tcW w:w="1260" w:type="dxa"/>
            <w:tcMar>
              <w:left w:w="105" w:type="dxa"/>
              <w:right w:w="105" w:type="dxa"/>
            </w:tcMar>
            <w:vAlign w:val="center"/>
          </w:tcPr>
          <w:p w:rsidR="7D26841A" w:rsidP="7D26841A" w:rsidRDefault="7D26841A" w14:paraId="7425A9AE" w14:textId="14FD2CF2">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1,431</w:t>
            </w:r>
          </w:p>
        </w:tc>
      </w:tr>
    </w:tbl>
    <w:p w:rsidR="4C38D75C" w:rsidP="7D26841A" w:rsidRDefault="4C38D75C" w14:paraId="0E09AADE" w14:textId="13603E75">
      <w:pPr>
        <w:pStyle w:val="Notes"/>
        <w:jc w:val="both"/>
        <w:rPr>
          <w:rFonts w:ascii="Calibri" w:hAnsi="Calibri" w:eastAsia="Calibri" w:cs="Calibri"/>
          <w:b w:val="0"/>
          <w:bCs w:val="0"/>
          <w:i w:val="0"/>
          <w:iCs w:val="0"/>
          <w:caps w:val="0"/>
          <w:smallCaps w:val="0"/>
          <w:noProof w:val="0"/>
          <w:color w:val="000000" w:themeColor="text1" w:themeTint="FF" w:themeShade="FF"/>
          <w:sz w:val="14"/>
          <w:szCs w:val="14"/>
          <w:lang w:val="en-US"/>
        </w:rPr>
      </w:pPr>
      <w:r w:rsidRPr="7D26841A" w:rsidR="4C38D75C">
        <w:rPr>
          <w:rFonts w:ascii="Calibri" w:hAnsi="Calibri" w:eastAsia="Calibri" w:cs="Calibri"/>
          <w:b w:val="0"/>
          <w:bCs w:val="0"/>
          <w:i w:val="0"/>
          <w:iCs w:val="0"/>
          <w:caps w:val="0"/>
          <w:smallCaps w:val="0"/>
          <w:noProof w:val="0"/>
          <w:color w:val="000000" w:themeColor="text1" w:themeTint="FF" w:themeShade="FF"/>
          <w:sz w:val="14"/>
          <w:szCs w:val="14"/>
          <w:lang w:val="en-US"/>
        </w:rPr>
        <w:t>Notes: Calculations are based on estimated marine catches per municipality and 2022 census data on women of reproductive age (15-49 years).</w:t>
      </w:r>
    </w:p>
    <w:p w:rsidR="4C38D75C" w:rsidP="7D26841A" w:rsidRDefault="4C38D75C" w14:paraId="4D4A583D" w14:textId="4025F657">
      <w:pPr>
        <w:pStyle w:val="Notes"/>
        <w:jc w:val="both"/>
        <w:rPr>
          <w:rFonts w:ascii="Calibri" w:hAnsi="Calibri" w:eastAsia="Calibri" w:cs="Calibri"/>
          <w:b w:val="0"/>
          <w:bCs w:val="0"/>
          <w:i w:val="0"/>
          <w:iCs w:val="0"/>
          <w:caps w:val="0"/>
          <w:smallCaps w:val="0"/>
          <w:noProof w:val="0"/>
          <w:color w:val="000000" w:themeColor="text1" w:themeTint="FF" w:themeShade="FF"/>
          <w:sz w:val="14"/>
          <w:szCs w:val="14"/>
          <w:lang w:val="en-US"/>
        </w:rPr>
      </w:pPr>
      <w:r w:rsidRPr="7D26841A" w:rsidR="4C38D75C">
        <w:rPr>
          <w:rFonts w:ascii="Calibri" w:hAnsi="Calibri" w:eastAsia="Calibri" w:cs="Calibri"/>
          <w:b w:val="0"/>
          <w:bCs w:val="0"/>
          <w:i w:val="0"/>
          <w:iCs w:val="0"/>
          <w:caps w:val="0"/>
          <w:smallCaps w:val="0"/>
          <w:noProof w:val="0"/>
          <w:color w:val="000000" w:themeColor="text1" w:themeTint="FF" w:themeShade="FF"/>
          <w:sz w:val="14"/>
          <w:szCs w:val="14"/>
          <w:lang w:val="en-US"/>
        </w:rPr>
        <w:t>Marine catches: averaged 2020-2022 annual value in kg. These values represent municipal-level estimates based on the number of fishing boats recorded in the 2021 Timor-Leste boat census, average number of fishing trips per boat and average landing weight values for each fish group.</w:t>
      </w:r>
    </w:p>
    <w:p w:rsidR="4C38D75C" w:rsidP="7D26841A" w:rsidRDefault="4C38D75C" w14:paraId="0A1D731D" w14:textId="72F3BF35">
      <w:pPr>
        <w:pStyle w:val="Notes"/>
        <w:jc w:val="both"/>
        <w:rPr>
          <w:rFonts w:ascii="Calibri" w:hAnsi="Calibri" w:eastAsia="Calibri" w:cs="Calibri"/>
          <w:b w:val="0"/>
          <w:bCs w:val="0"/>
          <w:i w:val="0"/>
          <w:iCs w:val="0"/>
          <w:caps w:val="0"/>
          <w:smallCaps w:val="0"/>
          <w:noProof w:val="0"/>
          <w:color w:val="000000" w:themeColor="text1" w:themeTint="FF" w:themeShade="FF"/>
          <w:sz w:val="14"/>
          <w:szCs w:val="14"/>
          <w:lang w:val="en-US"/>
        </w:rPr>
      </w:pPr>
      <w:r w:rsidRPr="7D26841A" w:rsidR="4C38D75C">
        <w:rPr>
          <w:rFonts w:ascii="Calibri" w:hAnsi="Calibri" w:eastAsia="Calibri" w:cs="Calibri"/>
          <w:b w:val="0"/>
          <w:bCs w:val="0"/>
          <w:i w:val="0"/>
          <w:iCs w:val="0"/>
          <w:caps w:val="0"/>
          <w:smallCaps w:val="0"/>
          <w:noProof w:val="0"/>
          <w:color w:val="000000" w:themeColor="text1" w:themeTint="FF" w:themeShade="FF"/>
          <w:sz w:val="14"/>
          <w:szCs w:val="14"/>
          <w:vertAlign w:val="superscript"/>
          <w:lang w:val="en-US"/>
        </w:rPr>
        <w:t>a</w:t>
      </w:r>
      <w:r w:rsidRPr="7D26841A" w:rsidR="4C38D75C">
        <w:rPr>
          <w:rFonts w:ascii="Calibri" w:hAnsi="Calibri" w:eastAsia="Calibri" w:cs="Calibri"/>
          <w:b w:val="0"/>
          <w:bCs w:val="0"/>
          <w:i w:val="0"/>
          <w:iCs w:val="0"/>
          <w:caps w:val="0"/>
          <w:smallCaps w:val="0"/>
          <w:noProof w:val="0"/>
          <w:color w:val="000000" w:themeColor="text1" w:themeTint="FF" w:themeShade="FF"/>
          <w:sz w:val="14"/>
          <w:szCs w:val="14"/>
          <w:lang w:val="en-US"/>
        </w:rPr>
        <w:t xml:space="preserve"> Municipalities with coastal areas are included (Aileu, Ermera excluded).</w:t>
      </w:r>
    </w:p>
    <w:p w:rsidR="7D26841A" w:rsidP="7D26841A" w:rsidRDefault="7D26841A" w14:paraId="6BE12B44" w14:textId="6A215768">
      <w:pPr>
        <w:pStyle w:val="NoSpacing"/>
        <w:rPr>
          <w:rFonts w:ascii="Calibri" w:hAnsi="Calibri" w:eastAsia="Calibri" w:cs="Calibri"/>
          <w:noProof w:val="0"/>
          <w:sz w:val="14"/>
          <w:szCs w:val="14"/>
          <w:lang w:val="en-US"/>
        </w:rPr>
      </w:pPr>
    </w:p>
    <w:p w:rsidR="7D26841A" w:rsidP="7D26841A" w:rsidRDefault="7D26841A" w14:paraId="6829BBED" w14:textId="638DCEDE">
      <w:pPr>
        <w:pStyle w:val="NoSpacing"/>
        <w:rPr>
          <w:rFonts w:ascii="Calibri" w:hAnsi="Calibri" w:eastAsia="Calibri" w:cs="Calibri"/>
          <w:noProof w:val="0"/>
          <w:sz w:val="14"/>
          <w:szCs w:val="14"/>
          <w:lang w:val="en-US"/>
        </w:rPr>
      </w:pPr>
    </w:p>
    <w:p w:rsidR="7D26841A" w:rsidP="7D26841A" w:rsidRDefault="7D26841A" w14:paraId="102C1B35" w14:textId="12C0BE0C">
      <w:pPr>
        <w:pStyle w:val="NoSpacing"/>
        <w:rPr>
          <w:rFonts w:ascii="Calibri" w:hAnsi="Calibri" w:eastAsia="Calibri" w:cs="Calibri"/>
          <w:noProof w:val="0"/>
          <w:sz w:val="14"/>
          <w:szCs w:val="14"/>
          <w:lang w:val="en-US"/>
        </w:rPr>
      </w:pPr>
    </w:p>
    <w:p w:rsidR="7D26841A" w:rsidP="7D26841A" w:rsidRDefault="7D26841A" w14:paraId="709DFA9A" w14:textId="39C2E2B2">
      <w:pPr>
        <w:pStyle w:val="NoSpacing"/>
        <w:rPr>
          <w:rFonts w:ascii="Calibri" w:hAnsi="Calibri" w:eastAsia="Calibri" w:cs="Calibri"/>
          <w:noProof w:val="0"/>
          <w:sz w:val="14"/>
          <w:szCs w:val="14"/>
          <w:lang w:val="en-US"/>
        </w:rPr>
      </w:pPr>
    </w:p>
    <w:p w:rsidR="7D26841A" w:rsidP="7D26841A" w:rsidRDefault="7D26841A" w14:paraId="77C3BF3E" w14:textId="76042017">
      <w:pPr>
        <w:pStyle w:val="NoSpacing"/>
        <w:rPr>
          <w:rFonts w:ascii="Calibri" w:hAnsi="Calibri" w:eastAsia="Calibri" w:cs="Calibri"/>
          <w:noProof w:val="0"/>
          <w:sz w:val="14"/>
          <w:szCs w:val="14"/>
          <w:lang w:val="en-US"/>
        </w:rPr>
      </w:pPr>
    </w:p>
    <w:p w:rsidR="7D26841A" w:rsidP="7D26841A" w:rsidRDefault="7D26841A" w14:paraId="01035707" w14:textId="3D689CA2">
      <w:pPr>
        <w:pStyle w:val="NoSpacing"/>
        <w:rPr>
          <w:rFonts w:ascii="Calibri" w:hAnsi="Calibri" w:eastAsia="Calibri" w:cs="Calibri"/>
          <w:noProof w:val="0"/>
          <w:sz w:val="14"/>
          <w:szCs w:val="14"/>
          <w:lang w:val="en-US"/>
        </w:rPr>
      </w:pPr>
    </w:p>
    <w:p w:rsidR="7D26841A" w:rsidP="7D26841A" w:rsidRDefault="7D26841A" w14:paraId="2C59401A" w14:textId="72653CEA">
      <w:pPr>
        <w:pStyle w:val="NoSpacing"/>
        <w:rPr>
          <w:rFonts w:ascii="Calibri" w:hAnsi="Calibri" w:eastAsia="Calibri" w:cs="Calibri"/>
          <w:noProof w:val="0"/>
          <w:sz w:val="14"/>
          <w:szCs w:val="14"/>
          <w:lang w:val="en-US"/>
        </w:rPr>
      </w:pPr>
    </w:p>
    <w:p w:rsidR="7D26841A" w:rsidP="7D26841A" w:rsidRDefault="7D26841A" w14:paraId="31ECFA76" w14:textId="2BB6CE61">
      <w:pPr>
        <w:pStyle w:val="NoSpacing"/>
        <w:rPr>
          <w:rFonts w:ascii="Calibri" w:hAnsi="Calibri" w:eastAsia="Calibri" w:cs="Calibri"/>
          <w:noProof w:val="0"/>
          <w:sz w:val="14"/>
          <w:szCs w:val="14"/>
          <w:lang w:val="en-US"/>
        </w:rPr>
      </w:pPr>
    </w:p>
    <w:p w:rsidR="7D26841A" w:rsidP="7D26841A" w:rsidRDefault="7D26841A" w14:paraId="55886A8F" w14:textId="2A5588B2">
      <w:pPr>
        <w:pStyle w:val="NoSpacing"/>
        <w:rPr>
          <w:rFonts w:ascii="Calibri" w:hAnsi="Calibri" w:eastAsia="Calibri" w:cs="Calibri"/>
          <w:noProof w:val="0"/>
          <w:sz w:val="14"/>
          <w:szCs w:val="14"/>
          <w:lang w:val="en-US"/>
        </w:rPr>
      </w:pPr>
    </w:p>
    <w:p w:rsidR="7D26841A" w:rsidP="7D26841A" w:rsidRDefault="7D26841A" w14:paraId="2076CA7C" w14:textId="302834B9">
      <w:pPr>
        <w:pStyle w:val="NoSpacing"/>
        <w:rPr>
          <w:rFonts w:ascii="Calibri" w:hAnsi="Calibri" w:eastAsia="Calibri" w:cs="Calibri"/>
          <w:noProof w:val="0"/>
          <w:sz w:val="14"/>
          <w:szCs w:val="14"/>
          <w:lang w:val="en-US"/>
        </w:rPr>
      </w:pPr>
    </w:p>
    <w:p w:rsidR="7D26841A" w:rsidP="7D26841A" w:rsidRDefault="7D26841A" w14:paraId="54F30942" w14:textId="332481F5">
      <w:pPr>
        <w:pStyle w:val="NoSpacing"/>
        <w:rPr>
          <w:rFonts w:ascii="Calibri" w:hAnsi="Calibri" w:eastAsia="Calibri" w:cs="Calibri"/>
          <w:noProof w:val="0"/>
          <w:sz w:val="14"/>
          <w:szCs w:val="14"/>
          <w:lang w:val="en-US"/>
        </w:rPr>
      </w:pPr>
    </w:p>
    <w:p w:rsidR="7D26841A" w:rsidP="7D26841A" w:rsidRDefault="7D26841A" w14:paraId="3C92AA9A" w14:textId="777B1ADB">
      <w:pPr>
        <w:pStyle w:val="NoSpacing"/>
        <w:rPr>
          <w:rFonts w:ascii="Calibri" w:hAnsi="Calibri" w:eastAsia="Calibri" w:cs="Calibri"/>
          <w:noProof w:val="0"/>
          <w:sz w:val="14"/>
          <w:szCs w:val="14"/>
          <w:lang w:val="en-US"/>
        </w:rPr>
      </w:pPr>
    </w:p>
    <w:p w:rsidR="7D26841A" w:rsidP="7D26841A" w:rsidRDefault="7D26841A" w14:paraId="7D2FF737" w14:textId="6C607C26">
      <w:pPr>
        <w:pStyle w:val="NoSpacing"/>
        <w:rPr>
          <w:rFonts w:ascii="Calibri" w:hAnsi="Calibri" w:eastAsia="Calibri" w:cs="Calibri"/>
          <w:noProof w:val="0"/>
          <w:sz w:val="14"/>
          <w:szCs w:val="14"/>
          <w:lang w:val="en-US"/>
        </w:rPr>
      </w:pPr>
    </w:p>
    <w:p w:rsidR="7D26841A" w:rsidP="7D26841A" w:rsidRDefault="7D26841A" w14:paraId="2A3E06E3" w14:textId="0906DDBE">
      <w:pPr>
        <w:pStyle w:val="NoSpacing"/>
        <w:rPr>
          <w:rFonts w:ascii="Calibri" w:hAnsi="Calibri" w:eastAsia="Calibri" w:cs="Calibri"/>
          <w:noProof w:val="0"/>
          <w:sz w:val="14"/>
          <w:szCs w:val="14"/>
          <w:lang w:val="en-US"/>
        </w:rPr>
      </w:pPr>
    </w:p>
    <w:p w:rsidR="7D26841A" w:rsidP="7D26841A" w:rsidRDefault="7D26841A" w14:paraId="0F6BB1BA" w14:textId="79549967">
      <w:pPr>
        <w:pStyle w:val="NoSpacing"/>
        <w:rPr>
          <w:rFonts w:ascii="Calibri" w:hAnsi="Calibri" w:eastAsia="Calibri" w:cs="Calibri"/>
          <w:noProof w:val="0"/>
          <w:sz w:val="14"/>
          <w:szCs w:val="14"/>
          <w:lang w:val="en-US"/>
        </w:rPr>
      </w:pPr>
    </w:p>
    <w:p w:rsidR="7D26841A" w:rsidP="7D26841A" w:rsidRDefault="7D26841A" w14:paraId="1529E7F9" w14:textId="33A63AFE">
      <w:pPr>
        <w:pStyle w:val="NoSpacing"/>
        <w:rPr>
          <w:rFonts w:ascii="Calibri" w:hAnsi="Calibri" w:eastAsia="Calibri" w:cs="Calibri"/>
          <w:noProof w:val="0"/>
          <w:sz w:val="14"/>
          <w:szCs w:val="14"/>
          <w:lang w:val="en-US"/>
        </w:rPr>
      </w:pPr>
    </w:p>
    <w:p w:rsidR="7D26841A" w:rsidP="7D26841A" w:rsidRDefault="7D26841A" w14:paraId="640BA9E2" w14:textId="792F5F19">
      <w:pPr>
        <w:pStyle w:val="NoSpacing"/>
        <w:rPr>
          <w:rFonts w:ascii="Calibri" w:hAnsi="Calibri" w:eastAsia="Calibri" w:cs="Calibri"/>
          <w:noProof w:val="0"/>
          <w:sz w:val="14"/>
          <w:szCs w:val="14"/>
          <w:lang w:val="en-US"/>
        </w:rPr>
      </w:pPr>
    </w:p>
    <w:p w:rsidR="7D26841A" w:rsidP="7D26841A" w:rsidRDefault="7D26841A" w14:paraId="26821F1E" w14:textId="75D2D3C3">
      <w:pPr>
        <w:pStyle w:val="NoSpacing"/>
        <w:rPr>
          <w:rFonts w:ascii="Calibri" w:hAnsi="Calibri" w:eastAsia="Calibri" w:cs="Calibri"/>
          <w:noProof w:val="0"/>
          <w:sz w:val="14"/>
          <w:szCs w:val="14"/>
          <w:lang w:val="en-US"/>
        </w:rPr>
      </w:pPr>
    </w:p>
    <w:p w:rsidR="7D26841A" w:rsidP="7D26841A" w:rsidRDefault="7D26841A" w14:paraId="54070922" w14:textId="0D049879">
      <w:pPr>
        <w:pStyle w:val="NoSpacing"/>
        <w:rPr>
          <w:rFonts w:ascii="Calibri" w:hAnsi="Calibri" w:eastAsia="Calibri" w:cs="Calibri"/>
          <w:noProof w:val="0"/>
          <w:sz w:val="14"/>
          <w:szCs w:val="14"/>
          <w:lang w:val="en-US"/>
        </w:rPr>
      </w:pPr>
    </w:p>
    <w:p w:rsidR="7D26841A" w:rsidP="7D26841A" w:rsidRDefault="7D26841A" w14:paraId="798F3569" w14:textId="02E7D168">
      <w:pPr>
        <w:pStyle w:val="NoSpacing"/>
        <w:rPr>
          <w:rFonts w:ascii="Calibri" w:hAnsi="Calibri" w:eastAsia="Calibri" w:cs="Calibri"/>
          <w:noProof w:val="0"/>
          <w:sz w:val="14"/>
          <w:szCs w:val="14"/>
          <w:lang w:val="en-US"/>
        </w:rPr>
      </w:pPr>
    </w:p>
    <w:p w:rsidR="7D26841A" w:rsidP="7D26841A" w:rsidRDefault="7D26841A" w14:paraId="4DAFC567" w14:textId="39652E92">
      <w:pPr>
        <w:pStyle w:val="NoSpacing"/>
        <w:rPr>
          <w:rFonts w:ascii="Calibri" w:hAnsi="Calibri" w:eastAsia="Calibri" w:cs="Calibri"/>
          <w:noProof w:val="0"/>
          <w:sz w:val="14"/>
          <w:szCs w:val="14"/>
          <w:lang w:val="en-US"/>
        </w:rPr>
      </w:pPr>
    </w:p>
    <w:p w:rsidR="7D26841A" w:rsidP="7D26841A" w:rsidRDefault="7D26841A" w14:paraId="0DC8B059" w14:textId="30BEA2D9">
      <w:pPr>
        <w:pStyle w:val="NoSpacing"/>
        <w:rPr>
          <w:rFonts w:ascii="Calibri" w:hAnsi="Calibri" w:eastAsia="Calibri" w:cs="Calibri"/>
          <w:noProof w:val="0"/>
          <w:sz w:val="14"/>
          <w:szCs w:val="14"/>
          <w:lang w:val="en-US"/>
        </w:rPr>
      </w:pPr>
    </w:p>
    <w:p w:rsidR="7D26841A" w:rsidP="7D26841A" w:rsidRDefault="7D26841A" w14:paraId="68A9C52F" w14:textId="59CF0AC6">
      <w:pPr>
        <w:pStyle w:val="NoSpacing"/>
        <w:rPr>
          <w:rFonts w:ascii="Calibri" w:hAnsi="Calibri" w:eastAsia="Calibri" w:cs="Calibri"/>
          <w:noProof w:val="0"/>
          <w:sz w:val="14"/>
          <w:szCs w:val="14"/>
          <w:lang w:val="en-US"/>
        </w:rPr>
      </w:pPr>
    </w:p>
    <w:p w:rsidR="7D26841A" w:rsidP="7D26841A" w:rsidRDefault="7D26841A" w14:paraId="64477C78" w14:textId="2504C78F">
      <w:pPr>
        <w:pStyle w:val="NoSpacing"/>
        <w:rPr>
          <w:rFonts w:ascii="Calibri" w:hAnsi="Calibri" w:eastAsia="Calibri" w:cs="Calibri"/>
          <w:noProof w:val="0"/>
          <w:sz w:val="14"/>
          <w:szCs w:val="14"/>
          <w:lang w:val="en-US"/>
        </w:rPr>
      </w:pPr>
    </w:p>
    <w:p w:rsidR="7D26841A" w:rsidP="7D26841A" w:rsidRDefault="7D26841A" w14:paraId="0E562D99" w14:textId="4914677F">
      <w:pPr>
        <w:pStyle w:val="NoSpacing"/>
        <w:rPr>
          <w:rFonts w:ascii="Calibri" w:hAnsi="Calibri" w:eastAsia="Calibri" w:cs="Calibri"/>
          <w:noProof w:val="0"/>
          <w:sz w:val="14"/>
          <w:szCs w:val="14"/>
          <w:lang w:val="en-US"/>
        </w:rPr>
      </w:pPr>
    </w:p>
    <w:p w:rsidR="7D26841A" w:rsidP="7D26841A" w:rsidRDefault="7D26841A" w14:paraId="365E2AA1" w14:textId="7CC8F845">
      <w:pPr>
        <w:pStyle w:val="NoSpacing"/>
        <w:rPr>
          <w:rFonts w:ascii="Calibri" w:hAnsi="Calibri" w:eastAsia="Calibri" w:cs="Calibri"/>
          <w:noProof w:val="0"/>
          <w:sz w:val="14"/>
          <w:szCs w:val="14"/>
          <w:lang w:val="en-US"/>
        </w:rPr>
      </w:pPr>
    </w:p>
    <w:p w:rsidR="7D26841A" w:rsidP="7D26841A" w:rsidRDefault="7D26841A" w14:paraId="372F5C78" w14:textId="55CB9A28">
      <w:pPr>
        <w:pStyle w:val="NoSpacing"/>
        <w:rPr>
          <w:rFonts w:ascii="Calibri" w:hAnsi="Calibri" w:eastAsia="Calibri" w:cs="Calibri"/>
          <w:noProof w:val="0"/>
          <w:sz w:val="14"/>
          <w:szCs w:val="14"/>
          <w:lang w:val="en-US"/>
        </w:rPr>
      </w:pPr>
    </w:p>
    <w:p w:rsidR="7D26841A" w:rsidP="7D26841A" w:rsidRDefault="7D26841A" w14:paraId="2CA4D1C4" w14:textId="22643B90">
      <w:pPr>
        <w:pStyle w:val="NoSpacing"/>
        <w:rPr>
          <w:rFonts w:ascii="Calibri" w:hAnsi="Calibri" w:eastAsia="Calibri" w:cs="Calibri"/>
          <w:noProof w:val="0"/>
          <w:sz w:val="14"/>
          <w:szCs w:val="14"/>
          <w:lang w:val="en-US"/>
        </w:rPr>
      </w:pPr>
    </w:p>
    <w:p w:rsidR="7D26841A" w:rsidP="7D26841A" w:rsidRDefault="7D26841A" w14:paraId="5A95267F" w14:textId="541573DA">
      <w:pPr>
        <w:pStyle w:val="NoSpacing"/>
        <w:rPr>
          <w:rFonts w:ascii="Calibri" w:hAnsi="Calibri" w:eastAsia="Calibri" w:cs="Calibri"/>
          <w:noProof w:val="0"/>
          <w:sz w:val="14"/>
          <w:szCs w:val="14"/>
          <w:lang w:val="en-US"/>
        </w:rPr>
      </w:pPr>
    </w:p>
    <w:p w:rsidR="7D26841A" w:rsidP="7D26841A" w:rsidRDefault="7D26841A" w14:paraId="2F5FDED9" w14:textId="54C801BE">
      <w:pPr>
        <w:pStyle w:val="NoSpacing"/>
        <w:rPr>
          <w:rFonts w:ascii="Calibri" w:hAnsi="Calibri" w:eastAsia="Calibri" w:cs="Calibri"/>
          <w:noProof w:val="0"/>
          <w:sz w:val="14"/>
          <w:szCs w:val="14"/>
          <w:lang w:val="en-US"/>
        </w:rPr>
      </w:pPr>
    </w:p>
    <w:p w:rsidR="7D26841A" w:rsidP="7D26841A" w:rsidRDefault="7D26841A" w14:paraId="6F41C194" w14:textId="2B9EA781">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7D26841A" w:rsidP="7D26841A" w:rsidRDefault="7D26841A" w14:paraId="7F3CF592" w14:textId="360C836F">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14F77A77" w:rsidP="7D26841A" w:rsidRDefault="14F77A77" w14:paraId="524E1703" w14:textId="28512185">
      <w:pPr>
        <w:pStyle w:val="NoSpacing"/>
        <w:jc w:val="both"/>
        <w:rPr>
          <w:rFonts w:ascii="Calibri" w:hAnsi="Calibri" w:eastAsia="Calibri" w:cs="Calibri"/>
          <w:b w:val="0"/>
          <w:bCs w:val="0"/>
          <w:i w:val="0"/>
          <w:iCs w:val="0"/>
          <w:caps w:val="0"/>
          <w:smallCaps w:val="0"/>
          <w:noProof w:val="0"/>
          <w:color w:val="7F7F7F" w:themeColor="text1" w:themeTint="80" w:themeShade="FF"/>
          <w:sz w:val="14"/>
          <w:szCs w:val="14"/>
          <w:lang w:val="en-US"/>
        </w:rPr>
      </w:pP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
        </w:rPr>
        <w:t>Supplementary Table 2</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
        </w:rPr>
        <w:t>. Women of Reproductive Age that would meet the recommended quantity of edible fish annually based on Food Based Dietary Guidelines recommendations, from marine catches in Timor-Leste, nationally and by municipality.</w:t>
      </w:r>
    </w:p>
    <w:tbl>
      <w:tblPr>
        <w:tblStyle w:val="TableGridLight"/>
        <w:tblW w:w="0" w:type="auto"/>
        <w:tblBorders>
          <w:top w:val="single" w:sz="6"/>
          <w:left w:val="single" w:sz="6"/>
          <w:bottom w:val="single" w:sz="6"/>
          <w:right w:val="single" w:sz="6"/>
        </w:tblBorders>
        <w:tblLayout w:type="fixed"/>
        <w:tblLook w:val="0600" w:firstRow="0" w:lastRow="0" w:firstColumn="0" w:lastColumn="0" w:noHBand="1" w:noVBand="1"/>
      </w:tblPr>
      <w:tblGrid>
        <w:gridCol w:w="1380"/>
        <w:gridCol w:w="1875"/>
        <w:gridCol w:w="1305"/>
        <w:gridCol w:w="2288"/>
        <w:gridCol w:w="2288"/>
      </w:tblGrid>
      <w:tr w:rsidR="7D26841A" w:rsidTr="7D26841A" w14:paraId="58B7B3A7">
        <w:trPr>
          <w:trHeight w:val="300"/>
        </w:trPr>
        <w:tc>
          <w:tcPr>
            <w:tcW w:w="1380" w:type="dxa"/>
            <w:vMerge w:val="restart"/>
            <w:shd w:val="clear" w:color="auto" w:fill="F2F2F2" w:themeFill="background1" w:themeFillShade="F2"/>
            <w:tcMar>
              <w:left w:w="105" w:type="dxa"/>
              <w:right w:w="105" w:type="dxa"/>
            </w:tcMar>
            <w:vAlign w:val="top"/>
          </w:tcPr>
          <w:p w:rsidR="7D26841A" w:rsidP="7D26841A" w:rsidRDefault="7D26841A" w14:paraId="706BE7F7" w14:textId="13BF9D61">
            <w:pPr>
              <w:jc w:val="left"/>
              <w:rPr>
                <w:rFonts w:ascii="Calibri" w:hAnsi="Calibri" w:eastAsia="Calibri" w:cs="Calibri"/>
                <w:b w:val="0"/>
                <w:bCs w:val="0"/>
                <w:i w:val="0"/>
                <w:iCs w:val="0"/>
                <w:color w:val="000000" w:themeColor="text1" w:themeTint="FF" w:themeShade="FF"/>
                <w:sz w:val="16"/>
                <w:szCs w:val="16"/>
              </w:rPr>
            </w:pPr>
            <w:r w:rsidRPr="7D26841A" w:rsidR="7D26841A">
              <w:rPr>
                <w:rFonts w:ascii="Calibri" w:hAnsi="Calibri" w:eastAsia="Calibri" w:cs="Calibri"/>
                <w:b w:val="1"/>
                <w:bCs w:val="1"/>
                <w:i w:val="0"/>
                <w:iCs w:val="0"/>
                <w:color w:val="000000" w:themeColor="text1" w:themeTint="FF" w:themeShade="FF"/>
                <w:sz w:val="21"/>
                <w:szCs w:val="21"/>
                <w:lang w:val="en-US"/>
              </w:rPr>
              <w:t xml:space="preserve">Geography </w:t>
            </w:r>
            <w:r w:rsidRPr="7D26841A" w:rsidR="7D26841A">
              <w:rPr>
                <w:rFonts w:ascii="Calibri" w:hAnsi="Calibri" w:eastAsia="Calibri" w:cs="Calibri"/>
                <w:b w:val="1"/>
                <w:bCs w:val="1"/>
                <w:i w:val="0"/>
                <w:iCs w:val="0"/>
                <w:color w:val="000000" w:themeColor="text1" w:themeTint="FF" w:themeShade="FF"/>
                <w:sz w:val="21"/>
                <w:szCs w:val="21"/>
                <w:vertAlign w:val="superscript"/>
                <w:lang w:val="en-US"/>
              </w:rPr>
              <w:t>a</w:t>
            </w:r>
          </w:p>
        </w:tc>
        <w:tc>
          <w:tcPr>
            <w:tcW w:w="1875" w:type="dxa"/>
            <w:vMerge w:val="restart"/>
            <w:shd w:val="clear" w:color="auto" w:fill="F2F2F2" w:themeFill="background1" w:themeFillShade="F2"/>
            <w:tcMar>
              <w:left w:w="105" w:type="dxa"/>
              <w:right w:w="105" w:type="dxa"/>
            </w:tcMar>
            <w:vAlign w:val="top"/>
          </w:tcPr>
          <w:p w:rsidR="7D26841A" w:rsidP="7D26841A" w:rsidRDefault="7D26841A" w14:paraId="16B98E54" w14:textId="123EF6BF">
            <w:pPr>
              <w:jc w:val="center"/>
              <w:rPr>
                <w:rFonts w:ascii="Calibri" w:hAnsi="Calibri" w:eastAsia="Calibri" w:cs="Calibri"/>
                <w:b w:val="0"/>
                <w:bCs w:val="0"/>
                <w:i w:val="0"/>
                <w:iCs w:val="0"/>
                <w:color w:val="000000" w:themeColor="text1" w:themeTint="FF" w:themeShade="FF"/>
                <w:sz w:val="16"/>
                <w:szCs w:val="16"/>
              </w:rPr>
            </w:pPr>
            <w:r w:rsidRPr="7D26841A" w:rsidR="7D26841A">
              <w:rPr>
                <w:rFonts w:ascii="Calibri" w:hAnsi="Calibri" w:eastAsia="Calibri" w:cs="Calibri"/>
                <w:b w:val="1"/>
                <w:bCs w:val="1"/>
                <w:i w:val="0"/>
                <w:iCs w:val="0"/>
                <w:color w:val="000000" w:themeColor="text1" w:themeTint="FF" w:themeShade="FF"/>
                <w:sz w:val="21"/>
                <w:szCs w:val="21"/>
                <w:lang w:val="en-US"/>
              </w:rPr>
              <w:t xml:space="preserve">Annual marine catches (Mt) </w:t>
            </w:r>
            <w:r w:rsidRPr="7D26841A" w:rsidR="7D26841A">
              <w:rPr>
                <w:rFonts w:ascii="Calibri" w:hAnsi="Calibri" w:eastAsia="Calibri" w:cs="Calibri"/>
                <w:b w:val="1"/>
                <w:bCs w:val="1"/>
                <w:i w:val="0"/>
                <w:iCs w:val="0"/>
                <w:color w:val="000000" w:themeColor="text1" w:themeTint="FF" w:themeShade="FF"/>
                <w:sz w:val="21"/>
                <w:szCs w:val="21"/>
                <w:vertAlign w:val="superscript"/>
                <w:lang w:val="en-US"/>
              </w:rPr>
              <w:t>b</w:t>
            </w:r>
          </w:p>
          <w:p w:rsidR="7D26841A" w:rsidP="7D26841A" w:rsidRDefault="7D26841A" w14:paraId="5CC7268C" w14:textId="34C581C9">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(average 2020-22)</w:t>
            </w:r>
          </w:p>
        </w:tc>
        <w:tc>
          <w:tcPr>
            <w:tcW w:w="1305" w:type="dxa"/>
            <w:vMerge w:val="restart"/>
            <w:shd w:val="clear" w:color="auto" w:fill="F2F2F2" w:themeFill="background1" w:themeFillShade="F2"/>
            <w:tcMar>
              <w:left w:w="105" w:type="dxa"/>
              <w:right w:w="105" w:type="dxa"/>
            </w:tcMar>
            <w:vAlign w:val="top"/>
          </w:tcPr>
          <w:p w:rsidR="7D26841A" w:rsidP="7D26841A" w:rsidRDefault="7D26841A" w14:paraId="1B62CBE5" w14:textId="2D9089AD">
            <w:pPr>
              <w:jc w:val="center"/>
              <w:rPr>
                <w:rFonts w:ascii="Calibri" w:hAnsi="Calibri" w:eastAsia="Calibri" w:cs="Calibri"/>
                <w:b w:val="0"/>
                <w:bCs w:val="0"/>
                <w:i w:val="0"/>
                <w:iCs w:val="0"/>
                <w:color w:val="000000" w:themeColor="text1" w:themeTint="FF" w:themeShade="FF"/>
                <w:sz w:val="16"/>
                <w:szCs w:val="16"/>
              </w:rPr>
            </w:pPr>
            <w:r w:rsidRPr="7D26841A" w:rsidR="7D26841A">
              <w:rPr>
                <w:rFonts w:ascii="Calibri" w:hAnsi="Calibri" w:eastAsia="Calibri" w:cs="Calibri"/>
                <w:b w:val="1"/>
                <w:bCs w:val="1"/>
                <w:i w:val="0"/>
                <w:iCs w:val="0"/>
                <w:color w:val="000000" w:themeColor="text1" w:themeTint="FF" w:themeShade="FF"/>
                <w:sz w:val="21"/>
                <w:szCs w:val="21"/>
                <w:lang w:val="en-US"/>
              </w:rPr>
              <w:t xml:space="preserve">Number of WRA </w:t>
            </w:r>
            <w:r w:rsidRPr="7D26841A" w:rsidR="7D26841A">
              <w:rPr>
                <w:rFonts w:ascii="Calibri" w:hAnsi="Calibri" w:eastAsia="Calibri" w:cs="Calibri"/>
                <w:b w:val="1"/>
                <w:bCs w:val="1"/>
                <w:i w:val="0"/>
                <w:iCs w:val="0"/>
                <w:color w:val="000000" w:themeColor="text1" w:themeTint="FF" w:themeShade="FF"/>
                <w:sz w:val="21"/>
                <w:szCs w:val="21"/>
                <w:vertAlign w:val="superscript"/>
                <w:lang w:val="en-US"/>
              </w:rPr>
              <w:t>c</w:t>
            </w:r>
          </w:p>
        </w:tc>
        <w:tc>
          <w:tcPr>
            <w:tcW w:w="4576" w:type="dxa"/>
            <w:gridSpan w:val="2"/>
            <w:shd w:val="clear" w:color="auto" w:fill="F2F2F2" w:themeFill="background1" w:themeFillShade="F2"/>
            <w:tcMar>
              <w:left w:w="105" w:type="dxa"/>
              <w:right w:w="105" w:type="dxa"/>
            </w:tcMar>
            <w:vAlign w:val="top"/>
          </w:tcPr>
          <w:p w:rsidR="7D26841A" w:rsidP="7D26841A" w:rsidRDefault="7D26841A" w14:paraId="5E081A32" w14:textId="0236C51A">
            <w:pPr>
              <w:jc w:val="center"/>
              <w:rPr>
                <w:rFonts w:ascii="Calibri" w:hAnsi="Calibri" w:eastAsia="Calibri" w:cs="Calibri"/>
                <w:b w:val="0"/>
                <w:bCs w:val="0"/>
                <w:i w:val="0"/>
                <w:iCs w:val="0"/>
                <w:color w:val="000000" w:themeColor="text1" w:themeTint="FF" w:themeShade="FF"/>
                <w:sz w:val="16"/>
                <w:szCs w:val="16"/>
              </w:rPr>
            </w:pPr>
            <w:r w:rsidRPr="7D26841A" w:rsidR="7D26841A">
              <w:rPr>
                <w:rFonts w:ascii="Calibri" w:hAnsi="Calibri" w:eastAsia="Calibri" w:cs="Calibri"/>
                <w:b w:val="1"/>
                <w:bCs w:val="1"/>
                <w:i w:val="0"/>
                <w:iCs w:val="0"/>
                <w:color w:val="000000" w:themeColor="text1" w:themeTint="FF" w:themeShade="FF"/>
                <w:sz w:val="21"/>
                <w:szCs w:val="21"/>
                <w:lang w:val="en-US"/>
              </w:rPr>
              <w:t>WRA that would meet FBDG recommendations</w:t>
            </w:r>
            <w:r w:rsidRPr="7D26841A" w:rsidR="7D26841A">
              <w:rPr>
                <w:rFonts w:ascii="Calibri" w:hAnsi="Calibri" w:eastAsia="Calibri" w:cs="Calibri"/>
                <w:b w:val="1"/>
                <w:bCs w:val="1"/>
                <w:i w:val="0"/>
                <w:iCs w:val="0"/>
                <w:color w:val="000000" w:themeColor="text1" w:themeTint="FF" w:themeShade="FF"/>
                <w:sz w:val="21"/>
                <w:szCs w:val="21"/>
                <w:vertAlign w:val="superscript"/>
                <w:lang w:val="en-US"/>
              </w:rPr>
              <w:t xml:space="preserve"> d</w:t>
            </w:r>
          </w:p>
        </w:tc>
      </w:tr>
      <w:tr w:rsidR="7D26841A" w:rsidTr="7D26841A" w14:paraId="1B8614CE">
        <w:trPr>
          <w:trHeight w:val="300"/>
        </w:trPr>
        <w:tc>
          <w:tcPr>
            <w:tcW w:w="1380" w:type="dxa"/>
            <w:vMerge/>
            <w:tcBorders>
              <w:top w:sz="0"/>
              <w:left w:sz="0"/>
              <w:bottom w:sz="0"/>
              <w:right w:sz="0"/>
            </w:tcBorders>
            <w:tcMar/>
            <w:vAlign w:val="center"/>
          </w:tcPr>
          <w:p w14:paraId="0DB786BE"/>
        </w:tc>
        <w:tc>
          <w:tcPr>
            <w:tcW w:w="1875" w:type="dxa"/>
            <w:vMerge/>
            <w:tcBorders>
              <w:top w:sz="0"/>
              <w:left w:sz="0"/>
              <w:bottom w:sz="0"/>
              <w:right w:sz="0"/>
            </w:tcBorders>
            <w:tcMar/>
            <w:vAlign w:val="center"/>
          </w:tcPr>
          <w:p w14:paraId="07D9C749"/>
        </w:tc>
        <w:tc>
          <w:tcPr>
            <w:tcW w:w="1305" w:type="dxa"/>
            <w:vMerge/>
            <w:tcBorders>
              <w:top w:sz="0"/>
              <w:left w:sz="0"/>
              <w:bottom w:sz="0"/>
              <w:right w:sz="0"/>
            </w:tcBorders>
            <w:tcMar/>
            <w:vAlign w:val="center"/>
          </w:tcPr>
          <w:p w14:paraId="0D97025D"/>
        </w:tc>
        <w:tc>
          <w:tcPr>
            <w:tcW w:w="2288" w:type="dxa"/>
            <w:shd w:val="clear" w:color="auto" w:fill="F2F2F2" w:themeFill="background1" w:themeFillShade="F2"/>
            <w:tcMar>
              <w:left w:w="105" w:type="dxa"/>
              <w:right w:w="105" w:type="dxa"/>
            </w:tcMar>
            <w:vAlign w:val="top"/>
          </w:tcPr>
          <w:p w:rsidR="7D26841A" w:rsidP="7D26841A" w:rsidRDefault="7D26841A" w14:paraId="7CD411F6" w14:textId="4378E6A7">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Percentage</w:t>
            </w:r>
          </w:p>
        </w:tc>
        <w:tc>
          <w:tcPr>
            <w:tcW w:w="2288" w:type="dxa"/>
            <w:shd w:val="clear" w:color="auto" w:fill="F2F2F2" w:themeFill="background1" w:themeFillShade="F2"/>
            <w:tcMar>
              <w:left w:w="105" w:type="dxa"/>
              <w:right w:w="105" w:type="dxa"/>
            </w:tcMar>
            <w:vAlign w:val="top"/>
          </w:tcPr>
          <w:p w:rsidR="7D26841A" w:rsidP="7D26841A" w:rsidRDefault="7D26841A" w14:paraId="4DE38A92" w14:textId="15887986">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Number</w:t>
            </w:r>
          </w:p>
        </w:tc>
      </w:tr>
      <w:tr w:rsidR="7D26841A" w:rsidTr="7D26841A" w14:paraId="1ED0E8BC">
        <w:trPr>
          <w:trHeight w:val="300"/>
        </w:trPr>
        <w:tc>
          <w:tcPr>
            <w:tcW w:w="1380" w:type="dxa"/>
            <w:tcMar>
              <w:left w:w="105" w:type="dxa"/>
              <w:right w:w="105" w:type="dxa"/>
            </w:tcMar>
            <w:vAlign w:val="center"/>
          </w:tcPr>
          <w:p w:rsidR="7D26841A" w:rsidP="7D26841A" w:rsidRDefault="7D26841A" w14:paraId="0D037AA2" w14:textId="5C994DD5">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National</w:t>
            </w:r>
          </w:p>
        </w:tc>
        <w:tc>
          <w:tcPr>
            <w:tcW w:w="1875" w:type="dxa"/>
            <w:tcMar>
              <w:left w:w="105" w:type="dxa"/>
              <w:right w:w="105" w:type="dxa"/>
            </w:tcMar>
            <w:vAlign w:val="center"/>
          </w:tcPr>
          <w:p w:rsidR="7D26841A" w:rsidP="7D26841A" w:rsidRDefault="7D26841A" w14:paraId="794097BF" w14:textId="0995D5C6">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6,688</w:t>
            </w:r>
          </w:p>
        </w:tc>
        <w:tc>
          <w:tcPr>
            <w:tcW w:w="1305" w:type="dxa"/>
            <w:tcMar>
              <w:left w:w="105" w:type="dxa"/>
              <w:right w:w="105" w:type="dxa"/>
            </w:tcMar>
            <w:vAlign w:val="center"/>
          </w:tcPr>
          <w:p w:rsidR="7D26841A" w:rsidP="7D26841A" w:rsidRDefault="7D26841A" w14:paraId="4746E67D" w14:textId="03ADA046">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337,144</w:t>
            </w:r>
          </w:p>
        </w:tc>
        <w:tc>
          <w:tcPr>
            <w:tcW w:w="2288" w:type="dxa"/>
            <w:tcMar>
              <w:left w:w="105" w:type="dxa"/>
              <w:right w:w="105" w:type="dxa"/>
            </w:tcMar>
            <w:vAlign w:val="center"/>
          </w:tcPr>
          <w:p w:rsidR="7D26841A" w:rsidP="7D26841A" w:rsidRDefault="7D26841A" w14:paraId="32220E1B" w14:textId="50563DA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72.5</w:t>
            </w:r>
          </w:p>
        </w:tc>
        <w:tc>
          <w:tcPr>
            <w:tcW w:w="2288" w:type="dxa"/>
            <w:tcMar>
              <w:left w:w="105" w:type="dxa"/>
              <w:right w:w="105" w:type="dxa"/>
            </w:tcMar>
            <w:vAlign w:val="center"/>
          </w:tcPr>
          <w:p w:rsidR="7D26841A" w:rsidP="7D26841A" w:rsidRDefault="7D26841A" w14:paraId="7F85EDAE" w14:textId="599810F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 xml:space="preserve">      244,300</w:t>
            </w:r>
          </w:p>
        </w:tc>
      </w:tr>
      <w:tr w:rsidR="7D26841A" w:rsidTr="7D26841A" w14:paraId="073D1A05">
        <w:trPr>
          <w:trHeight w:val="300"/>
        </w:trPr>
        <w:tc>
          <w:tcPr>
            <w:tcW w:w="1380" w:type="dxa"/>
            <w:tcMar>
              <w:left w:w="105" w:type="dxa"/>
              <w:right w:w="105" w:type="dxa"/>
            </w:tcMar>
            <w:vAlign w:val="center"/>
          </w:tcPr>
          <w:p w:rsidR="7D26841A" w:rsidP="7D26841A" w:rsidRDefault="7D26841A" w14:paraId="3AFD583D" w14:textId="45DF1D46">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Ainaro</w:t>
            </w:r>
          </w:p>
        </w:tc>
        <w:tc>
          <w:tcPr>
            <w:tcW w:w="1875" w:type="dxa"/>
            <w:tcMar>
              <w:left w:w="105" w:type="dxa"/>
              <w:right w:w="105" w:type="dxa"/>
            </w:tcMar>
            <w:vAlign w:val="center"/>
          </w:tcPr>
          <w:p w:rsidR="7D26841A" w:rsidP="7D26841A" w:rsidRDefault="7D26841A" w14:paraId="26125E9B" w14:textId="4591EBD6">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21</w:t>
            </w:r>
          </w:p>
        </w:tc>
        <w:tc>
          <w:tcPr>
            <w:tcW w:w="1305" w:type="dxa"/>
            <w:tcMar>
              <w:left w:w="105" w:type="dxa"/>
              <w:right w:w="105" w:type="dxa"/>
            </w:tcMar>
            <w:vAlign w:val="center"/>
          </w:tcPr>
          <w:p w:rsidR="7D26841A" w:rsidP="7D26841A" w:rsidRDefault="7D26841A" w14:paraId="646738B5" w14:textId="4D93B17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16,925</w:t>
            </w:r>
          </w:p>
        </w:tc>
        <w:tc>
          <w:tcPr>
            <w:tcW w:w="2288" w:type="dxa"/>
            <w:tcMar>
              <w:left w:w="105" w:type="dxa"/>
              <w:right w:w="105" w:type="dxa"/>
            </w:tcMar>
            <w:vAlign w:val="center"/>
          </w:tcPr>
          <w:p w:rsidR="7D26841A" w:rsidP="7D26841A" w:rsidRDefault="7D26841A" w14:paraId="01965056" w14:textId="2CE9005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4.5</w:t>
            </w:r>
          </w:p>
        </w:tc>
        <w:tc>
          <w:tcPr>
            <w:tcW w:w="2288" w:type="dxa"/>
            <w:tcMar>
              <w:left w:w="105" w:type="dxa"/>
              <w:right w:w="105" w:type="dxa"/>
            </w:tcMar>
            <w:vAlign w:val="center"/>
          </w:tcPr>
          <w:p w:rsidR="7D26841A" w:rsidP="7D26841A" w:rsidRDefault="7D26841A" w14:paraId="111C5C8E" w14:textId="1C627294">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769</w:t>
            </w:r>
          </w:p>
        </w:tc>
      </w:tr>
      <w:tr w:rsidR="7D26841A" w:rsidTr="7D26841A" w14:paraId="51CB0590">
        <w:trPr>
          <w:trHeight w:val="300"/>
        </w:trPr>
        <w:tc>
          <w:tcPr>
            <w:tcW w:w="1380" w:type="dxa"/>
            <w:tcMar>
              <w:left w:w="105" w:type="dxa"/>
              <w:right w:w="105" w:type="dxa"/>
            </w:tcMar>
            <w:vAlign w:val="center"/>
          </w:tcPr>
          <w:p w:rsidR="7D26841A" w:rsidP="7D26841A" w:rsidRDefault="7D26841A" w14:paraId="7AC65AA1" w14:textId="145556A1">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Atauro</w:t>
            </w:r>
          </w:p>
        </w:tc>
        <w:tc>
          <w:tcPr>
            <w:tcW w:w="1875" w:type="dxa"/>
            <w:tcMar>
              <w:left w:w="105" w:type="dxa"/>
              <w:right w:w="105" w:type="dxa"/>
            </w:tcMar>
            <w:vAlign w:val="center"/>
          </w:tcPr>
          <w:p w:rsidR="7D26841A" w:rsidP="7D26841A" w:rsidRDefault="7D26841A" w14:paraId="0A6AF0D1" w14:textId="623313B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751</w:t>
            </w:r>
          </w:p>
        </w:tc>
        <w:tc>
          <w:tcPr>
            <w:tcW w:w="1305" w:type="dxa"/>
            <w:tcMar>
              <w:left w:w="105" w:type="dxa"/>
              <w:right w:w="105" w:type="dxa"/>
            </w:tcMar>
            <w:vAlign w:val="center"/>
          </w:tcPr>
          <w:p w:rsidR="7D26841A" w:rsidP="7D26841A" w:rsidRDefault="7D26841A" w14:paraId="025E5AED" w14:textId="451B27D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2,570</w:t>
            </w:r>
          </w:p>
        </w:tc>
        <w:tc>
          <w:tcPr>
            <w:tcW w:w="2288" w:type="dxa"/>
            <w:tcMar>
              <w:left w:w="105" w:type="dxa"/>
              <w:right w:w="105" w:type="dxa"/>
            </w:tcMar>
            <w:vAlign w:val="center"/>
          </w:tcPr>
          <w:p w:rsidR="7D26841A" w:rsidP="7D26841A" w:rsidRDefault="7D26841A" w14:paraId="192DA135" w14:textId="1E49A9C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1067.9</w:t>
            </w:r>
          </w:p>
        </w:tc>
        <w:tc>
          <w:tcPr>
            <w:tcW w:w="2288" w:type="dxa"/>
            <w:tcMar>
              <w:left w:w="105" w:type="dxa"/>
              <w:right w:w="105" w:type="dxa"/>
            </w:tcMar>
            <w:vAlign w:val="center"/>
          </w:tcPr>
          <w:p w:rsidR="7D26841A" w:rsidP="7D26841A" w:rsidRDefault="7D26841A" w14:paraId="630D0EE8" w14:textId="4299561D">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27,445</w:t>
            </w:r>
          </w:p>
        </w:tc>
      </w:tr>
      <w:tr w:rsidR="7D26841A" w:rsidTr="7D26841A" w14:paraId="0F2AB5B4">
        <w:trPr>
          <w:trHeight w:val="300"/>
        </w:trPr>
        <w:tc>
          <w:tcPr>
            <w:tcW w:w="1380" w:type="dxa"/>
            <w:tcMar>
              <w:left w:w="105" w:type="dxa"/>
              <w:right w:w="105" w:type="dxa"/>
            </w:tcMar>
            <w:vAlign w:val="center"/>
          </w:tcPr>
          <w:p w:rsidR="7D26841A" w:rsidP="7D26841A" w:rsidRDefault="7D26841A" w14:paraId="12210706" w14:textId="224284FF">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Baucau</w:t>
            </w:r>
          </w:p>
        </w:tc>
        <w:tc>
          <w:tcPr>
            <w:tcW w:w="1875" w:type="dxa"/>
            <w:tcMar>
              <w:left w:w="105" w:type="dxa"/>
              <w:right w:w="105" w:type="dxa"/>
            </w:tcMar>
            <w:vAlign w:val="center"/>
          </w:tcPr>
          <w:p w:rsidR="7D26841A" w:rsidP="7D26841A" w:rsidRDefault="7D26841A" w14:paraId="22B9941A" w14:textId="0FFEE2F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313</w:t>
            </w:r>
          </w:p>
        </w:tc>
        <w:tc>
          <w:tcPr>
            <w:tcW w:w="1305" w:type="dxa"/>
            <w:tcMar>
              <w:left w:w="105" w:type="dxa"/>
              <w:right w:w="105" w:type="dxa"/>
            </w:tcMar>
            <w:vAlign w:val="center"/>
          </w:tcPr>
          <w:p w:rsidR="7D26841A" w:rsidP="7D26841A" w:rsidRDefault="7D26841A" w14:paraId="3ABF2F96" w14:textId="50ECE8D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31,006</w:t>
            </w:r>
          </w:p>
        </w:tc>
        <w:tc>
          <w:tcPr>
            <w:tcW w:w="2288" w:type="dxa"/>
            <w:tcMar>
              <w:left w:w="105" w:type="dxa"/>
              <w:right w:w="105" w:type="dxa"/>
            </w:tcMar>
            <w:vAlign w:val="center"/>
          </w:tcPr>
          <w:p w:rsidR="7D26841A" w:rsidP="7D26841A" w:rsidRDefault="7D26841A" w14:paraId="1750D720" w14:textId="7589B1C5">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36.9</w:t>
            </w:r>
          </w:p>
        </w:tc>
        <w:tc>
          <w:tcPr>
            <w:tcW w:w="2288" w:type="dxa"/>
            <w:tcMar>
              <w:left w:w="105" w:type="dxa"/>
              <w:right w:w="105" w:type="dxa"/>
            </w:tcMar>
            <w:vAlign w:val="center"/>
          </w:tcPr>
          <w:p w:rsidR="7D26841A" w:rsidP="7D26841A" w:rsidRDefault="7D26841A" w14:paraId="08369284" w14:textId="13C7F68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11,450</w:t>
            </w:r>
          </w:p>
        </w:tc>
      </w:tr>
      <w:tr w:rsidR="7D26841A" w:rsidTr="7D26841A" w14:paraId="7B8D674A">
        <w:trPr>
          <w:trHeight w:val="300"/>
        </w:trPr>
        <w:tc>
          <w:tcPr>
            <w:tcW w:w="1380" w:type="dxa"/>
            <w:tcMar>
              <w:left w:w="105" w:type="dxa"/>
              <w:right w:w="105" w:type="dxa"/>
            </w:tcMar>
            <w:vAlign w:val="center"/>
          </w:tcPr>
          <w:p w:rsidR="7D26841A" w:rsidP="7D26841A" w:rsidRDefault="7D26841A" w14:paraId="2828BBDE" w14:textId="19886975">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Bobonaro</w:t>
            </w:r>
          </w:p>
        </w:tc>
        <w:tc>
          <w:tcPr>
            <w:tcW w:w="1875" w:type="dxa"/>
            <w:tcMar>
              <w:left w:w="105" w:type="dxa"/>
              <w:right w:w="105" w:type="dxa"/>
            </w:tcMar>
            <w:vAlign w:val="center"/>
          </w:tcPr>
          <w:p w:rsidR="7D26841A" w:rsidP="7D26841A" w:rsidRDefault="7D26841A" w14:paraId="7640F364" w14:textId="3F797D98">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1,460</w:t>
            </w:r>
          </w:p>
        </w:tc>
        <w:tc>
          <w:tcPr>
            <w:tcW w:w="1305" w:type="dxa"/>
            <w:tcMar>
              <w:left w:w="105" w:type="dxa"/>
              <w:right w:w="105" w:type="dxa"/>
            </w:tcMar>
            <w:vAlign w:val="center"/>
          </w:tcPr>
          <w:p w:rsidR="7D26841A" w:rsidP="7D26841A" w:rsidRDefault="7D26841A" w14:paraId="7191A690" w14:textId="74543A8D">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24,798</w:t>
            </w:r>
          </w:p>
        </w:tc>
        <w:tc>
          <w:tcPr>
            <w:tcW w:w="2288" w:type="dxa"/>
            <w:tcMar>
              <w:left w:w="105" w:type="dxa"/>
              <w:right w:w="105" w:type="dxa"/>
            </w:tcMar>
            <w:vAlign w:val="center"/>
          </w:tcPr>
          <w:p w:rsidR="7D26841A" w:rsidP="7D26841A" w:rsidRDefault="7D26841A" w14:paraId="09CB1525" w14:textId="1EF72798">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215.1</w:t>
            </w:r>
          </w:p>
        </w:tc>
        <w:tc>
          <w:tcPr>
            <w:tcW w:w="2288" w:type="dxa"/>
            <w:tcMar>
              <w:left w:w="105" w:type="dxa"/>
              <w:right w:w="105" w:type="dxa"/>
            </w:tcMar>
            <w:vAlign w:val="center"/>
          </w:tcPr>
          <w:p w:rsidR="7D26841A" w:rsidP="7D26841A" w:rsidRDefault="7D26841A" w14:paraId="49046571" w14:textId="160DC02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53,349</w:t>
            </w:r>
          </w:p>
        </w:tc>
      </w:tr>
      <w:tr w:rsidR="7D26841A" w:rsidTr="7D26841A" w14:paraId="7DFE7012">
        <w:trPr>
          <w:trHeight w:val="300"/>
        </w:trPr>
        <w:tc>
          <w:tcPr>
            <w:tcW w:w="1380" w:type="dxa"/>
            <w:tcMar>
              <w:left w:w="105" w:type="dxa"/>
              <w:right w:w="105" w:type="dxa"/>
            </w:tcMar>
            <w:vAlign w:val="center"/>
          </w:tcPr>
          <w:p w:rsidR="7D26841A" w:rsidP="7D26841A" w:rsidRDefault="7D26841A" w14:paraId="27CC6A8A" w14:textId="1233435D">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Covalima</w:t>
            </w:r>
          </w:p>
        </w:tc>
        <w:tc>
          <w:tcPr>
            <w:tcW w:w="1875" w:type="dxa"/>
            <w:tcMar>
              <w:left w:w="105" w:type="dxa"/>
              <w:right w:w="105" w:type="dxa"/>
            </w:tcMar>
            <w:vAlign w:val="center"/>
          </w:tcPr>
          <w:p w:rsidR="7D26841A" w:rsidP="7D26841A" w:rsidRDefault="7D26841A" w14:paraId="3AC64827" w14:textId="75D3F096">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149</w:t>
            </w:r>
          </w:p>
        </w:tc>
        <w:tc>
          <w:tcPr>
            <w:tcW w:w="1305" w:type="dxa"/>
            <w:tcMar>
              <w:left w:w="105" w:type="dxa"/>
              <w:right w:w="105" w:type="dxa"/>
            </w:tcMar>
            <w:vAlign w:val="center"/>
          </w:tcPr>
          <w:p w:rsidR="7D26841A" w:rsidP="7D26841A" w:rsidRDefault="7D26841A" w14:paraId="2F0A0AAA" w14:textId="009D0F95">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17,643</w:t>
            </w:r>
          </w:p>
        </w:tc>
        <w:tc>
          <w:tcPr>
            <w:tcW w:w="2288" w:type="dxa"/>
            <w:tcMar>
              <w:left w:w="105" w:type="dxa"/>
              <w:right w:w="105" w:type="dxa"/>
            </w:tcMar>
            <w:vAlign w:val="center"/>
          </w:tcPr>
          <w:p w:rsidR="7D26841A" w:rsidP="7D26841A" w:rsidRDefault="7D26841A" w14:paraId="3E5275EC" w14:textId="7CAB9266">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30.9</w:t>
            </w:r>
          </w:p>
        </w:tc>
        <w:tc>
          <w:tcPr>
            <w:tcW w:w="2288" w:type="dxa"/>
            <w:tcMar>
              <w:left w:w="105" w:type="dxa"/>
              <w:right w:w="105" w:type="dxa"/>
            </w:tcMar>
            <w:vAlign w:val="center"/>
          </w:tcPr>
          <w:p w:rsidR="7D26841A" w:rsidP="7D26841A" w:rsidRDefault="7D26841A" w14:paraId="1631F600" w14:textId="4DFE17E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5,452</w:t>
            </w:r>
          </w:p>
        </w:tc>
      </w:tr>
      <w:tr w:rsidR="7D26841A" w:rsidTr="7D26841A" w14:paraId="358DA568">
        <w:trPr>
          <w:trHeight w:val="300"/>
        </w:trPr>
        <w:tc>
          <w:tcPr>
            <w:tcW w:w="1380" w:type="dxa"/>
            <w:tcMar>
              <w:left w:w="105" w:type="dxa"/>
              <w:right w:w="105" w:type="dxa"/>
            </w:tcMar>
            <w:vAlign w:val="center"/>
          </w:tcPr>
          <w:p w:rsidR="7D26841A" w:rsidP="7D26841A" w:rsidRDefault="7D26841A" w14:paraId="0B988AEE" w14:textId="41292DFD">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Dili</w:t>
            </w:r>
          </w:p>
        </w:tc>
        <w:tc>
          <w:tcPr>
            <w:tcW w:w="1875" w:type="dxa"/>
            <w:tcMar>
              <w:left w:w="105" w:type="dxa"/>
              <w:right w:w="105" w:type="dxa"/>
            </w:tcMar>
            <w:vAlign w:val="center"/>
          </w:tcPr>
          <w:p w:rsidR="7D26841A" w:rsidP="7D26841A" w:rsidRDefault="7D26841A" w14:paraId="63488377" w14:textId="586B052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161</w:t>
            </w:r>
          </w:p>
        </w:tc>
        <w:tc>
          <w:tcPr>
            <w:tcW w:w="1305" w:type="dxa"/>
            <w:tcMar>
              <w:left w:w="105" w:type="dxa"/>
              <w:right w:w="105" w:type="dxa"/>
            </w:tcMar>
            <w:vAlign w:val="center"/>
          </w:tcPr>
          <w:p w:rsidR="7D26841A" w:rsidP="7D26841A" w:rsidRDefault="7D26841A" w14:paraId="46B6D435" w14:textId="36C18447">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97,447</w:t>
            </w:r>
          </w:p>
        </w:tc>
        <w:tc>
          <w:tcPr>
            <w:tcW w:w="2288" w:type="dxa"/>
            <w:tcMar>
              <w:left w:w="105" w:type="dxa"/>
              <w:right w:w="105" w:type="dxa"/>
            </w:tcMar>
            <w:vAlign w:val="center"/>
          </w:tcPr>
          <w:p w:rsidR="7D26841A" w:rsidP="7D26841A" w:rsidRDefault="7D26841A" w14:paraId="07ADD27C" w14:textId="6A63AB7C">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6.0</w:t>
            </w:r>
          </w:p>
        </w:tc>
        <w:tc>
          <w:tcPr>
            <w:tcW w:w="2288" w:type="dxa"/>
            <w:tcMar>
              <w:left w:w="105" w:type="dxa"/>
              <w:right w:w="105" w:type="dxa"/>
            </w:tcMar>
            <w:vAlign w:val="center"/>
          </w:tcPr>
          <w:p w:rsidR="7D26841A" w:rsidP="7D26841A" w:rsidRDefault="7D26841A" w14:paraId="354A9294" w14:textId="3F93E7EB">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5,889</w:t>
            </w:r>
          </w:p>
        </w:tc>
      </w:tr>
      <w:tr w:rsidR="7D26841A" w:rsidTr="7D26841A" w14:paraId="5B86DC28">
        <w:trPr>
          <w:trHeight w:val="300"/>
        </w:trPr>
        <w:tc>
          <w:tcPr>
            <w:tcW w:w="1380" w:type="dxa"/>
            <w:tcMar>
              <w:left w:w="105" w:type="dxa"/>
              <w:right w:w="105" w:type="dxa"/>
            </w:tcMar>
            <w:vAlign w:val="center"/>
          </w:tcPr>
          <w:p w:rsidR="7D26841A" w:rsidP="7D26841A" w:rsidRDefault="7D26841A" w14:paraId="0FCE46C5" w14:textId="0B2FC0CA">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Lautem</w:t>
            </w:r>
          </w:p>
        </w:tc>
        <w:tc>
          <w:tcPr>
            <w:tcW w:w="1875" w:type="dxa"/>
            <w:tcMar>
              <w:left w:w="105" w:type="dxa"/>
              <w:right w:w="105" w:type="dxa"/>
            </w:tcMar>
            <w:vAlign w:val="center"/>
          </w:tcPr>
          <w:p w:rsidR="7D26841A" w:rsidP="7D26841A" w:rsidRDefault="7D26841A" w14:paraId="2BF7521A" w14:textId="75BAFF4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950</w:t>
            </w:r>
          </w:p>
        </w:tc>
        <w:tc>
          <w:tcPr>
            <w:tcW w:w="1305" w:type="dxa"/>
            <w:tcMar>
              <w:left w:w="105" w:type="dxa"/>
              <w:right w:w="105" w:type="dxa"/>
            </w:tcMar>
            <w:vAlign w:val="center"/>
          </w:tcPr>
          <w:p w:rsidR="7D26841A" w:rsidP="7D26841A" w:rsidRDefault="7D26841A" w14:paraId="4AFC1CBA" w14:textId="50D1CC3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16,151</w:t>
            </w:r>
          </w:p>
        </w:tc>
        <w:tc>
          <w:tcPr>
            <w:tcW w:w="2288" w:type="dxa"/>
            <w:tcMar>
              <w:left w:w="105" w:type="dxa"/>
              <w:right w:w="105" w:type="dxa"/>
            </w:tcMar>
            <w:vAlign w:val="center"/>
          </w:tcPr>
          <w:p w:rsidR="7D26841A" w:rsidP="7D26841A" w:rsidRDefault="7D26841A" w14:paraId="4FF40A6B" w14:textId="188FB0D2">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214.9</w:t>
            </w:r>
          </w:p>
        </w:tc>
        <w:tc>
          <w:tcPr>
            <w:tcW w:w="2288" w:type="dxa"/>
            <w:tcMar>
              <w:left w:w="105" w:type="dxa"/>
              <w:right w:w="105" w:type="dxa"/>
            </w:tcMar>
            <w:vAlign w:val="center"/>
          </w:tcPr>
          <w:p w:rsidR="7D26841A" w:rsidP="7D26841A" w:rsidRDefault="7D26841A" w14:paraId="4EB63839" w14:textId="7DB7DF44">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34,715</w:t>
            </w:r>
          </w:p>
        </w:tc>
      </w:tr>
      <w:tr w:rsidR="7D26841A" w:rsidTr="7D26841A" w14:paraId="50471D7C">
        <w:trPr>
          <w:trHeight w:val="300"/>
        </w:trPr>
        <w:tc>
          <w:tcPr>
            <w:tcW w:w="1380" w:type="dxa"/>
            <w:tcMar>
              <w:left w:w="105" w:type="dxa"/>
              <w:right w:w="105" w:type="dxa"/>
            </w:tcMar>
            <w:vAlign w:val="center"/>
          </w:tcPr>
          <w:p w:rsidR="7D26841A" w:rsidP="7D26841A" w:rsidRDefault="7D26841A" w14:paraId="64BE607D" w14:textId="07896F76">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Liquiça</w:t>
            </w:r>
          </w:p>
        </w:tc>
        <w:tc>
          <w:tcPr>
            <w:tcW w:w="1875" w:type="dxa"/>
            <w:tcMar>
              <w:left w:w="105" w:type="dxa"/>
              <w:right w:w="105" w:type="dxa"/>
            </w:tcMar>
            <w:vAlign w:val="center"/>
          </w:tcPr>
          <w:p w:rsidR="7D26841A" w:rsidP="7D26841A" w:rsidRDefault="7D26841A" w14:paraId="61C33A1A" w14:textId="7DCAAF0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612</w:t>
            </w:r>
          </w:p>
        </w:tc>
        <w:tc>
          <w:tcPr>
            <w:tcW w:w="1305" w:type="dxa"/>
            <w:tcMar>
              <w:left w:w="105" w:type="dxa"/>
              <w:right w:w="105" w:type="dxa"/>
            </w:tcMar>
            <w:vAlign w:val="center"/>
          </w:tcPr>
          <w:p w:rsidR="7D26841A" w:rsidP="7D26841A" w:rsidRDefault="7D26841A" w14:paraId="39020B28" w14:textId="7C40165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20,657</w:t>
            </w:r>
          </w:p>
        </w:tc>
        <w:tc>
          <w:tcPr>
            <w:tcW w:w="2288" w:type="dxa"/>
            <w:tcMar>
              <w:left w:w="105" w:type="dxa"/>
              <w:right w:w="105" w:type="dxa"/>
            </w:tcMar>
            <w:vAlign w:val="center"/>
          </w:tcPr>
          <w:p w:rsidR="7D26841A" w:rsidP="7D26841A" w:rsidRDefault="7D26841A" w14:paraId="57CAC65F" w14:textId="31C31648">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108.3</w:t>
            </w:r>
          </w:p>
        </w:tc>
        <w:tc>
          <w:tcPr>
            <w:tcW w:w="2288" w:type="dxa"/>
            <w:tcMar>
              <w:left w:w="105" w:type="dxa"/>
              <w:right w:w="105" w:type="dxa"/>
            </w:tcMar>
            <w:vAlign w:val="center"/>
          </w:tcPr>
          <w:p w:rsidR="7D26841A" w:rsidP="7D26841A" w:rsidRDefault="7D26841A" w14:paraId="76266904" w14:textId="63708C1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22,370</w:t>
            </w:r>
          </w:p>
        </w:tc>
      </w:tr>
      <w:tr w:rsidR="7D26841A" w:rsidTr="7D26841A" w14:paraId="5F1E12AA">
        <w:trPr>
          <w:trHeight w:val="300"/>
        </w:trPr>
        <w:tc>
          <w:tcPr>
            <w:tcW w:w="1380" w:type="dxa"/>
            <w:tcMar>
              <w:left w:w="105" w:type="dxa"/>
              <w:right w:w="105" w:type="dxa"/>
            </w:tcMar>
            <w:vAlign w:val="center"/>
          </w:tcPr>
          <w:p w:rsidR="7D26841A" w:rsidP="7D26841A" w:rsidRDefault="7D26841A" w14:paraId="36CF9974" w14:textId="0E515322">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Manatuto</w:t>
            </w:r>
          </w:p>
        </w:tc>
        <w:tc>
          <w:tcPr>
            <w:tcW w:w="1875" w:type="dxa"/>
            <w:tcMar>
              <w:left w:w="105" w:type="dxa"/>
              <w:right w:w="105" w:type="dxa"/>
            </w:tcMar>
            <w:vAlign w:val="center"/>
          </w:tcPr>
          <w:p w:rsidR="7D26841A" w:rsidP="7D26841A" w:rsidRDefault="7D26841A" w14:paraId="6FD42BDE" w14:textId="77989D8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1,281</w:t>
            </w:r>
          </w:p>
        </w:tc>
        <w:tc>
          <w:tcPr>
            <w:tcW w:w="1305" w:type="dxa"/>
            <w:tcMar>
              <w:left w:w="105" w:type="dxa"/>
              <w:right w:w="105" w:type="dxa"/>
            </w:tcMar>
            <w:vAlign w:val="center"/>
          </w:tcPr>
          <w:p w:rsidR="7D26841A" w:rsidP="7D26841A" w:rsidRDefault="7D26841A" w14:paraId="7479AF00" w14:textId="14A2611B">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11,852</w:t>
            </w:r>
          </w:p>
        </w:tc>
        <w:tc>
          <w:tcPr>
            <w:tcW w:w="2288" w:type="dxa"/>
            <w:tcMar>
              <w:left w:w="105" w:type="dxa"/>
              <w:right w:w="105" w:type="dxa"/>
            </w:tcMar>
            <w:vAlign w:val="center"/>
          </w:tcPr>
          <w:p w:rsidR="7D26841A" w:rsidP="7D26841A" w:rsidRDefault="7D26841A" w14:paraId="1169D4CB" w14:textId="677E0A6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395.0</w:t>
            </w:r>
          </w:p>
        </w:tc>
        <w:tc>
          <w:tcPr>
            <w:tcW w:w="2288" w:type="dxa"/>
            <w:tcMar>
              <w:left w:w="105" w:type="dxa"/>
              <w:right w:w="105" w:type="dxa"/>
            </w:tcMar>
            <w:vAlign w:val="center"/>
          </w:tcPr>
          <w:p w:rsidR="7D26841A" w:rsidP="7D26841A" w:rsidRDefault="7D26841A" w14:paraId="554F929F" w14:textId="0AAAADE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46,811</w:t>
            </w:r>
          </w:p>
        </w:tc>
      </w:tr>
      <w:tr w:rsidR="7D26841A" w:rsidTr="7D26841A" w14:paraId="4A9C748B">
        <w:trPr>
          <w:trHeight w:val="300"/>
        </w:trPr>
        <w:tc>
          <w:tcPr>
            <w:tcW w:w="1380" w:type="dxa"/>
            <w:tcMar>
              <w:left w:w="105" w:type="dxa"/>
              <w:right w:w="105" w:type="dxa"/>
            </w:tcMar>
            <w:vAlign w:val="center"/>
          </w:tcPr>
          <w:p w:rsidR="7D26841A" w:rsidP="7D26841A" w:rsidRDefault="7D26841A" w14:paraId="2D3373CA" w14:textId="39A0F146">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Manufahi</w:t>
            </w:r>
          </w:p>
        </w:tc>
        <w:tc>
          <w:tcPr>
            <w:tcW w:w="1875" w:type="dxa"/>
            <w:tcMar>
              <w:left w:w="105" w:type="dxa"/>
              <w:right w:w="105" w:type="dxa"/>
            </w:tcMar>
            <w:vAlign w:val="center"/>
          </w:tcPr>
          <w:p w:rsidR="7D26841A" w:rsidP="7D26841A" w:rsidRDefault="7D26841A" w14:paraId="58DDB6F9" w14:textId="7E2548BD">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57</w:t>
            </w:r>
          </w:p>
        </w:tc>
        <w:tc>
          <w:tcPr>
            <w:tcW w:w="1305" w:type="dxa"/>
            <w:tcMar>
              <w:left w:w="105" w:type="dxa"/>
              <w:right w:w="105" w:type="dxa"/>
            </w:tcMar>
            <w:vAlign w:val="center"/>
          </w:tcPr>
          <w:p w:rsidR="7D26841A" w:rsidP="7D26841A" w:rsidRDefault="7D26841A" w14:paraId="53AA9474" w14:textId="639EEBE1">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14,030</w:t>
            </w:r>
          </w:p>
        </w:tc>
        <w:tc>
          <w:tcPr>
            <w:tcW w:w="2288" w:type="dxa"/>
            <w:tcMar>
              <w:left w:w="105" w:type="dxa"/>
              <w:right w:w="105" w:type="dxa"/>
            </w:tcMar>
            <w:vAlign w:val="center"/>
          </w:tcPr>
          <w:p w:rsidR="7D26841A" w:rsidP="7D26841A" w:rsidRDefault="7D26841A" w14:paraId="261E22F6" w14:textId="5B99234C">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14.8</w:t>
            </w:r>
          </w:p>
        </w:tc>
        <w:tc>
          <w:tcPr>
            <w:tcW w:w="2288" w:type="dxa"/>
            <w:tcMar>
              <w:left w:w="105" w:type="dxa"/>
              <w:right w:w="105" w:type="dxa"/>
            </w:tcMar>
            <w:vAlign w:val="center"/>
          </w:tcPr>
          <w:p w:rsidR="7D26841A" w:rsidP="7D26841A" w:rsidRDefault="7D26841A" w14:paraId="1BB41157" w14:textId="35525D8F">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2,080</w:t>
            </w:r>
          </w:p>
        </w:tc>
      </w:tr>
      <w:tr w:rsidR="7D26841A" w:rsidTr="7D26841A" w14:paraId="608694EA">
        <w:trPr>
          <w:trHeight w:val="300"/>
        </w:trPr>
        <w:tc>
          <w:tcPr>
            <w:tcW w:w="1380" w:type="dxa"/>
            <w:tcMar>
              <w:left w:w="105" w:type="dxa"/>
              <w:right w:w="105" w:type="dxa"/>
            </w:tcMar>
            <w:vAlign w:val="center"/>
          </w:tcPr>
          <w:p w:rsidR="7D26841A" w:rsidP="7D26841A" w:rsidRDefault="7D26841A" w14:paraId="4F3E0104" w14:textId="150430B9">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Oecusse</w:t>
            </w:r>
          </w:p>
        </w:tc>
        <w:tc>
          <w:tcPr>
            <w:tcW w:w="1875" w:type="dxa"/>
            <w:tcMar>
              <w:left w:w="105" w:type="dxa"/>
              <w:right w:w="105" w:type="dxa"/>
            </w:tcMar>
            <w:vAlign w:val="center"/>
          </w:tcPr>
          <w:p w:rsidR="7D26841A" w:rsidP="7D26841A" w:rsidRDefault="7D26841A" w14:paraId="1EAD7A7D" w14:textId="1EE93F5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491</w:t>
            </w:r>
          </w:p>
        </w:tc>
        <w:tc>
          <w:tcPr>
            <w:tcW w:w="1305" w:type="dxa"/>
            <w:tcMar>
              <w:left w:w="105" w:type="dxa"/>
              <w:right w:w="105" w:type="dxa"/>
            </w:tcMar>
            <w:vAlign w:val="center"/>
          </w:tcPr>
          <w:p w:rsidR="7D26841A" w:rsidP="7D26841A" w:rsidRDefault="7D26841A" w14:paraId="3506B6C6" w14:textId="3B69514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19,250</w:t>
            </w:r>
          </w:p>
        </w:tc>
        <w:tc>
          <w:tcPr>
            <w:tcW w:w="2288" w:type="dxa"/>
            <w:tcMar>
              <w:left w:w="105" w:type="dxa"/>
              <w:right w:w="105" w:type="dxa"/>
            </w:tcMar>
            <w:vAlign w:val="center"/>
          </w:tcPr>
          <w:p w:rsidR="7D26841A" w:rsidP="7D26841A" w:rsidRDefault="7D26841A" w14:paraId="24684153" w14:textId="24488B3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93.3</w:t>
            </w:r>
          </w:p>
        </w:tc>
        <w:tc>
          <w:tcPr>
            <w:tcW w:w="2288" w:type="dxa"/>
            <w:tcMar>
              <w:left w:w="105" w:type="dxa"/>
              <w:right w:w="105" w:type="dxa"/>
            </w:tcMar>
            <w:vAlign w:val="center"/>
          </w:tcPr>
          <w:p w:rsidR="7D26841A" w:rsidP="7D26841A" w:rsidRDefault="7D26841A" w14:paraId="49BFFE07" w14:textId="011F4A02">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17,954</w:t>
            </w:r>
          </w:p>
        </w:tc>
      </w:tr>
      <w:tr w:rsidR="7D26841A" w:rsidTr="7D26841A" w14:paraId="3AF57E22">
        <w:trPr>
          <w:trHeight w:val="300"/>
        </w:trPr>
        <w:tc>
          <w:tcPr>
            <w:tcW w:w="1380" w:type="dxa"/>
            <w:tcMar>
              <w:left w:w="105" w:type="dxa"/>
              <w:right w:w="105" w:type="dxa"/>
            </w:tcMar>
            <w:vAlign w:val="center"/>
          </w:tcPr>
          <w:p w:rsidR="7D26841A" w:rsidP="7D26841A" w:rsidRDefault="7D26841A" w14:paraId="442C99D1" w14:textId="016582AF">
            <w:pPr>
              <w:jc w:val="lef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Viqueque</w:t>
            </w:r>
          </w:p>
        </w:tc>
        <w:tc>
          <w:tcPr>
            <w:tcW w:w="1875" w:type="dxa"/>
            <w:tcMar>
              <w:left w:w="105" w:type="dxa"/>
              <w:right w:w="105" w:type="dxa"/>
            </w:tcMar>
            <w:vAlign w:val="center"/>
          </w:tcPr>
          <w:p w:rsidR="7D26841A" w:rsidP="7D26841A" w:rsidRDefault="7D26841A" w14:paraId="74620BCC" w14:textId="26AFDA3D">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438</w:t>
            </w:r>
          </w:p>
        </w:tc>
        <w:tc>
          <w:tcPr>
            <w:tcW w:w="1305" w:type="dxa"/>
            <w:tcMar>
              <w:left w:w="105" w:type="dxa"/>
              <w:right w:w="105" w:type="dxa"/>
            </w:tcMar>
            <w:vAlign w:val="center"/>
          </w:tcPr>
          <w:p w:rsidR="7D26841A" w:rsidP="7D26841A" w:rsidRDefault="7D26841A" w14:paraId="14B2BC12" w14:textId="35AA086A">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18,094</w:t>
            </w:r>
          </w:p>
        </w:tc>
        <w:tc>
          <w:tcPr>
            <w:tcW w:w="2288" w:type="dxa"/>
            <w:tcMar>
              <w:left w:w="105" w:type="dxa"/>
              <w:right w:w="105" w:type="dxa"/>
            </w:tcMar>
            <w:vAlign w:val="center"/>
          </w:tcPr>
          <w:p w:rsidR="7D26841A" w:rsidP="7D26841A" w:rsidRDefault="7D26841A" w14:paraId="3A93B7FA" w14:textId="189B328D">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88.5</w:t>
            </w:r>
          </w:p>
        </w:tc>
        <w:tc>
          <w:tcPr>
            <w:tcW w:w="2288" w:type="dxa"/>
            <w:tcMar>
              <w:left w:w="105" w:type="dxa"/>
              <w:right w:w="105" w:type="dxa"/>
            </w:tcMar>
            <w:vAlign w:val="center"/>
          </w:tcPr>
          <w:p w:rsidR="7D26841A" w:rsidP="7D26841A" w:rsidRDefault="7D26841A" w14:paraId="2A275D7C" w14:textId="445C1A6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 xml:space="preserve">       16,016</w:t>
            </w:r>
          </w:p>
        </w:tc>
      </w:tr>
    </w:tbl>
    <w:p w:rsidR="4C2578E8" w:rsidP="7D26841A" w:rsidRDefault="4C2578E8" w14:paraId="0DB5C057" w14:textId="03BD97B8">
      <w:pPr>
        <w:pStyle w:val="Notes"/>
        <w:jc w:val="both"/>
        <w:rPr>
          <w:rFonts w:ascii="Calibri" w:hAnsi="Calibri" w:eastAsia="Calibri" w:cs="Calibri"/>
          <w:b w:val="0"/>
          <w:bCs w:val="0"/>
          <w:i w:val="0"/>
          <w:iCs w:val="0"/>
          <w:caps w:val="0"/>
          <w:smallCaps w:val="0"/>
          <w:noProof w:val="0"/>
          <w:color w:val="000000" w:themeColor="text1" w:themeTint="FF" w:themeShade="FF"/>
          <w:sz w:val="14"/>
          <w:szCs w:val="14"/>
          <w:lang w:val="en-US"/>
        </w:rPr>
      </w:pPr>
      <w:r w:rsidRPr="7D26841A" w:rsidR="4C2578E8">
        <w:rPr>
          <w:rFonts w:ascii="Calibri" w:hAnsi="Calibri" w:eastAsia="Calibri" w:cs="Calibri"/>
          <w:b w:val="0"/>
          <w:bCs w:val="0"/>
          <w:i w:val="0"/>
          <w:iCs w:val="0"/>
          <w:caps w:val="0"/>
          <w:smallCaps w:val="0"/>
          <w:noProof w:val="0"/>
          <w:color w:val="000000" w:themeColor="text1" w:themeTint="FF" w:themeShade="FF"/>
          <w:sz w:val="14"/>
          <w:szCs w:val="14"/>
          <w:vertAlign w:val="superscript"/>
          <w:lang w:val="en-US"/>
        </w:rPr>
        <w:t xml:space="preserve">b </w:t>
      </w:r>
      <w:r w:rsidRPr="7D26841A" w:rsidR="4C2578E8">
        <w:rPr>
          <w:rFonts w:ascii="Calibri" w:hAnsi="Calibri" w:eastAsia="Calibri" w:cs="Calibri"/>
          <w:b w:val="0"/>
          <w:bCs w:val="0"/>
          <w:i w:val="0"/>
          <w:iCs w:val="0"/>
          <w:caps w:val="0"/>
          <w:smallCaps w:val="0"/>
          <w:noProof w:val="0"/>
          <w:color w:val="000000" w:themeColor="text1" w:themeTint="FF" w:themeShade="FF"/>
          <w:sz w:val="14"/>
          <w:szCs w:val="14"/>
          <w:lang w:val="en-US"/>
        </w:rPr>
        <w:t>Marine catches: averaged 2020-2022 annual value in Metric tons. These values represent municipal-level estimates based on the number of fishing boats recorded in the 2021 Timor-Leste boat census, average number of fishing trips per boat and average landing weight values for each fish group.</w:t>
      </w:r>
    </w:p>
    <w:p w:rsidR="4C2578E8" w:rsidP="7D26841A" w:rsidRDefault="4C2578E8" w14:paraId="0A26BA79" w14:textId="1C80D143">
      <w:pPr>
        <w:pStyle w:val="Notes"/>
        <w:jc w:val="both"/>
        <w:rPr>
          <w:rFonts w:ascii="Calibri" w:hAnsi="Calibri" w:eastAsia="Calibri" w:cs="Calibri"/>
          <w:b w:val="0"/>
          <w:bCs w:val="0"/>
          <w:i w:val="0"/>
          <w:iCs w:val="0"/>
          <w:caps w:val="0"/>
          <w:smallCaps w:val="0"/>
          <w:noProof w:val="0"/>
          <w:color w:val="000000" w:themeColor="text1" w:themeTint="FF" w:themeShade="FF"/>
          <w:sz w:val="14"/>
          <w:szCs w:val="14"/>
          <w:lang w:val="en-US"/>
        </w:rPr>
      </w:pPr>
      <w:r w:rsidRPr="7D26841A" w:rsidR="4C2578E8">
        <w:rPr>
          <w:rFonts w:ascii="Calibri" w:hAnsi="Calibri" w:eastAsia="Calibri" w:cs="Calibri"/>
          <w:b w:val="0"/>
          <w:bCs w:val="0"/>
          <w:i w:val="0"/>
          <w:iCs w:val="0"/>
          <w:caps w:val="0"/>
          <w:smallCaps w:val="0"/>
          <w:noProof w:val="0"/>
          <w:color w:val="000000" w:themeColor="text1" w:themeTint="FF" w:themeShade="FF"/>
          <w:sz w:val="14"/>
          <w:szCs w:val="14"/>
          <w:vertAlign w:val="superscript"/>
          <w:lang w:val="en-US"/>
        </w:rPr>
        <w:t xml:space="preserve">c </w:t>
      </w:r>
      <w:r w:rsidRPr="7D26841A" w:rsidR="4C2578E8">
        <w:rPr>
          <w:rFonts w:ascii="Calibri" w:hAnsi="Calibri" w:eastAsia="Calibri" w:cs="Calibri"/>
          <w:b w:val="0"/>
          <w:bCs w:val="0"/>
          <w:i w:val="0"/>
          <w:iCs w:val="0"/>
          <w:caps w:val="0"/>
          <w:smallCaps w:val="0"/>
          <w:noProof w:val="0"/>
          <w:color w:val="000000" w:themeColor="text1" w:themeTint="FF" w:themeShade="FF"/>
          <w:sz w:val="14"/>
          <w:szCs w:val="14"/>
          <w:lang w:val="en-US"/>
        </w:rPr>
        <w:t>Timor-Leste Population Census 2022, women 15-49 years.</w:t>
      </w:r>
    </w:p>
    <w:p w:rsidR="4C2578E8" w:rsidP="7D26841A" w:rsidRDefault="4C2578E8" w14:paraId="2DA67065" w14:textId="5270220A">
      <w:pPr>
        <w:pStyle w:val="Notes"/>
        <w:jc w:val="both"/>
        <w:rPr>
          <w:rFonts w:ascii="Calibri" w:hAnsi="Calibri" w:eastAsia="Calibri" w:cs="Calibri"/>
          <w:b w:val="0"/>
          <w:bCs w:val="0"/>
          <w:i w:val="0"/>
          <w:iCs w:val="0"/>
          <w:caps w:val="0"/>
          <w:smallCaps w:val="0"/>
          <w:noProof w:val="0"/>
          <w:color w:val="000000" w:themeColor="text1" w:themeTint="FF" w:themeShade="FF"/>
          <w:sz w:val="14"/>
          <w:szCs w:val="14"/>
          <w:lang w:val="en-US"/>
        </w:rPr>
      </w:pPr>
      <w:r w:rsidRPr="7D26841A" w:rsidR="4C2578E8">
        <w:rPr>
          <w:rFonts w:ascii="Calibri" w:hAnsi="Calibri" w:eastAsia="Calibri" w:cs="Calibri"/>
          <w:b w:val="0"/>
          <w:bCs w:val="0"/>
          <w:i w:val="0"/>
          <w:iCs w:val="0"/>
          <w:caps w:val="0"/>
          <w:smallCaps w:val="0"/>
          <w:noProof w:val="0"/>
          <w:color w:val="000000" w:themeColor="text1" w:themeTint="FF" w:themeShade="FF"/>
          <w:sz w:val="14"/>
          <w:szCs w:val="14"/>
          <w:vertAlign w:val="superscript"/>
          <w:lang w:val="en-US"/>
        </w:rPr>
        <w:t>d</w:t>
      </w:r>
      <w:r w:rsidRPr="7D26841A" w:rsidR="4C2578E8">
        <w:rPr>
          <w:rFonts w:ascii="Calibri" w:hAnsi="Calibri" w:eastAsia="Calibri" w:cs="Calibri"/>
          <w:b w:val="0"/>
          <w:bCs w:val="0"/>
          <w:i w:val="0"/>
          <w:iCs w:val="0"/>
          <w:caps w:val="0"/>
          <w:smallCaps w:val="0"/>
          <w:noProof w:val="0"/>
          <w:color w:val="000000" w:themeColor="text1" w:themeTint="FF" w:themeShade="FF"/>
          <w:sz w:val="14"/>
          <w:szCs w:val="14"/>
          <w:lang w:val="en-US"/>
        </w:rPr>
        <w:t xml:space="preserve"> Food-Based Dietary Guidelines (FBDG) recommend consuming 100 g of cooked fish two-three times a week for adults</w:t>
      </w:r>
      <w:r w:rsidRPr="7D26841A" w:rsidR="4C2578E8">
        <w:rPr>
          <w:rFonts w:ascii="Calibri" w:hAnsi="Calibri" w:eastAsia="Calibri" w:cs="Calibri"/>
          <w:b w:val="0"/>
          <w:bCs w:val="0"/>
          <w:i w:val="0"/>
          <w:iCs w:val="0"/>
          <w:caps w:val="0"/>
          <w:smallCaps w:val="0"/>
          <w:noProof w:val="0"/>
          <w:color w:val="000000" w:themeColor="text1" w:themeTint="FF" w:themeShade="FF"/>
          <w:sz w:val="14"/>
          <w:szCs w:val="14"/>
          <w:vertAlign w:val="superscript"/>
          <w:lang w:val="en"/>
        </w:rPr>
        <w:t>50</w:t>
      </w:r>
      <w:r w:rsidRPr="7D26841A" w:rsidR="4C2578E8">
        <w:rPr>
          <w:rFonts w:ascii="Calibri" w:hAnsi="Calibri" w:eastAsia="Calibri" w:cs="Calibri"/>
          <w:b w:val="0"/>
          <w:bCs w:val="0"/>
          <w:i w:val="0"/>
          <w:iCs w:val="0"/>
          <w:caps w:val="0"/>
          <w:smallCaps w:val="0"/>
          <w:noProof w:val="0"/>
          <w:color w:val="000000" w:themeColor="text1" w:themeTint="FF" w:themeShade="FF"/>
          <w:sz w:val="14"/>
          <w:szCs w:val="14"/>
          <w:lang w:val="en-US"/>
        </w:rPr>
        <w:t>, 250 g cooked equivalent to 45 g/day of raw fish and 16.4 kg/year. The fish quantities recommended by the FBDG are for edible flesh, not whole fish. An edible coefficient of 0.6 has been applied to fish catches contributions, average of edible flesh for Sardinellas, Indian Mackerels, Scads, and Frigate and bullet tunas</w:t>
      </w:r>
      <w:r w:rsidRPr="7D26841A" w:rsidR="4C2578E8">
        <w:rPr>
          <w:rFonts w:ascii="Calibri" w:hAnsi="Calibri" w:eastAsia="Calibri" w:cs="Calibri"/>
          <w:b w:val="0"/>
          <w:bCs w:val="0"/>
          <w:i w:val="0"/>
          <w:iCs w:val="0"/>
          <w:caps w:val="0"/>
          <w:smallCaps w:val="0"/>
          <w:noProof w:val="0"/>
          <w:color w:val="000000" w:themeColor="text1" w:themeTint="FF" w:themeShade="FF"/>
          <w:sz w:val="14"/>
          <w:szCs w:val="14"/>
          <w:vertAlign w:val="superscript"/>
          <w:lang w:val="en"/>
        </w:rPr>
        <w:t>88</w:t>
      </w:r>
      <w:r w:rsidRPr="7D26841A" w:rsidR="4C2578E8">
        <w:rPr>
          <w:rFonts w:ascii="Calibri" w:hAnsi="Calibri" w:eastAsia="Calibri" w:cs="Calibri"/>
          <w:b w:val="0"/>
          <w:bCs w:val="0"/>
          <w:i w:val="0"/>
          <w:iCs w:val="0"/>
          <w:caps w:val="0"/>
          <w:smallCaps w:val="0"/>
          <w:noProof w:val="0"/>
          <w:color w:val="000000" w:themeColor="text1" w:themeTint="FF" w:themeShade="FF"/>
          <w:sz w:val="14"/>
          <w:szCs w:val="14"/>
          <w:lang w:val="en-US"/>
        </w:rPr>
        <w:t>.</w:t>
      </w:r>
    </w:p>
    <w:p w:rsidR="7D26841A" w:rsidP="7D26841A" w:rsidRDefault="7D26841A" w14:paraId="27FE4467" w14:textId="11A3C9BB">
      <w:pPr>
        <w:pStyle w:val="NoSpacing"/>
        <w:rPr>
          <w:rFonts w:ascii="Calibri" w:hAnsi="Calibri" w:eastAsia="Calibri" w:cs="Calibri"/>
          <w:noProof w:val="0"/>
          <w:sz w:val="14"/>
          <w:szCs w:val="14"/>
          <w:lang w:val="en-US"/>
        </w:rPr>
      </w:pPr>
    </w:p>
    <w:p w:rsidR="7D26841A" w:rsidP="7D26841A" w:rsidRDefault="7D26841A" w14:paraId="4C9F7D1D" w14:textId="02135FD0">
      <w:pPr>
        <w:pStyle w:val="NoSpacing"/>
        <w:rPr>
          <w:rFonts w:ascii="Calibri" w:hAnsi="Calibri" w:eastAsia="Calibri" w:cs="Calibri"/>
          <w:noProof w:val="0"/>
          <w:sz w:val="14"/>
          <w:szCs w:val="14"/>
          <w:lang w:val="en-US"/>
        </w:rPr>
      </w:pPr>
    </w:p>
    <w:p w:rsidR="7D26841A" w:rsidP="7D26841A" w:rsidRDefault="7D26841A" w14:paraId="4810BB8C" w14:textId="4D03EAEE">
      <w:pPr>
        <w:pStyle w:val="NoSpacing"/>
        <w:rPr>
          <w:rFonts w:ascii="Calibri" w:hAnsi="Calibri" w:eastAsia="Calibri" w:cs="Calibri"/>
          <w:noProof w:val="0"/>
          <w:sz w:val="14"/>
          <w:szCs w:val="14"/>
          <w:lang w:val="en-US"/>
        </w:rPr>
      </w:pPr>
    </w:p>
    <w:p w:rsidR="7D26841A" w:rsidP="7D26841A" w:rsidRDefault="7D26841A" w14:paraId="0C339C47" w14:textId="22BF8AFD">
      <w:pPr>
        <w:pStyle w:val="NoSpacing"/>
        <w:rPr>
          <w:rFonts w:ascii="Calibri" w:hAnsi="Calibri" w:eastAsia="Calibri" w:cs="Calibri"/>
          <w:noProof w:val="0"/>
          <w:sz w:val="14"/>
          <w:szCs w:val="14"/>
          <w:lang w:val="en-US"/>
        </w:rPr>
      </w:pPr>
    </w:p>
    <w:p w:rsidR="7D26841A" w:rsidP="7D26841A" w:rsidRDefault="7D26841A" w14:paraId="716296C3" w14:textId="72FE31D5">
      <w:pPr>
        <w:pStyle w:val="NoSpacing"/>
        <w:rPr>
          <w:rFonts w:ascii="Calibri" w:hAnsi="Calibri" w:eastAsia="Calibri" w:cs="Calibri"/>
          <w:noProof w:val="0"/>
          <w:sz w:val="14"/>
          <w:szCs w:val="14"/>
          <w:lang w:val="en-US"/>
        </w:rPr>
      </w:pPr>
    </w:p>
    <w:p w:rsidR="7D26841A" w:rsidP="7D26841A" w:rsidRDefault="7D26841A" w14:paraId="0B56D288" w14:textId="716B9130">
      <w:pPr>
        <w:pStyle w:val="NoSpacing"/>
        <w:rPr>
          <w:rFonts w:ascii="Calibri" w:hAnsi="Calibri" w:eastAsia="Calibri" w:cs="Calibri"/>
          <w:noProof w:val="0"/>
          <w:sz w:val="14"/>
          <w:szCs w:val="14"/>
          <w:lang w:val="en-US"/>
        </w:rPr>
      </w:pPr>
    </w:p>
    <w:p w:rsidR="7D26841A" w:rsidP="7D26841A" w:rsidRDefault="7D26841A" w14:paraId="1D597C4F" w14:textId="50C271DB">
      <w:pPr>
        <w:pStyle w:val="NoSpacing"/>
        <w:rPr>
          <w:rFonts w:ascii="Calibri" w:hAnsi="Calibri" w:eastAsia="Calibri" w:cs="Calibri"/>
          <w:noProof w:val="0"/>
          <w:sz w:val="14"/>
          <w:szCs w:val="14"/>
          <w:lang w:val="en-US"/>
        </w:rPr>
      </w:pPr>
    </w:p>
    <w:p w:rsidR="7D26841A" w:rsidP="7D26841A" w:rsidRDefault="7D26841A" w14:paraId="35454B2E" w14:textId="2877AD5F">
      <w:pPr>
        <w:pStyle w:val="NoSpacing"/>
        <w:rPr>
          <w:rFonts w:ascii="Calibri" w:hAnsi="Calibri" w:eastAsia="Calibri" w:cs="Calibri"/>
          <w:noProof w:val="0"/>
          <w:sz w:val="14"/>
          <w:szCs w:val="14"/>
          <w:lang w:val="en-US"/>
        </w:rPr>
      </w:pPr>
    </w:p>
    <w:p w:rsidR="7D26841A" w:rsidP="7D26841A" w:rsidRDefault="7D26841A" w14:paraId="33832B12" w14:textId="57033D3B">
      <w:pPr>
        <w:pStyle w:val="NoSpacing"/>
        <w:rPr>
          <w:rFonts w:ascii="Calibri" w:hAnsi="Calibri" w:eastAsia="Calibri" w:cs="Calibri"/>
          <w:noProof w:val="0"/>
          <w:sz w:val="14"/>
          <w:szCs w:val="14"/>
          <w:lang w:val="en-US"/>
        </w:rPr>
      </w:pPr>
    </w:p>
    <w:p w:rsidR="7D26841A" w:rsidP="7D26841A" w:rsidRDefault="7D26841A" w14:paraId="5A2B960E" w14:textId="783881CD">
      <w:pPr>
        <w:pStyle w:val="NoSpacing"/>
        <w:rPr>
          <w:rFonts w:ascii="Calibri" w:hAnsi="Calibri" w:eastAsia="Calibri" w:cs="Calibri"/>
          <w:noProof w:val="0"/>
          <w:sz w:val="14"/>
          <w:szCs w:val="14"/>
          <w:lang w:val="en-US"/>
        </w:rPr>
      </w:pPr>
    </w:p>
    <w:p w:rsidR="7D26841A" w:rsidP="7D26841A" w:rsidRDefault="7D26841A" w14:paraId="1B3726AD" w14:textId="4E8C0500">
      <w:pPr>
        <w:pStyle w:val="NoSpacing"/>
        <w:rPr>
          <w:rFonts w:ascii="Calibri" w:hAnsi="Calibri" w:eastAsia="Calibri" w:cs="Calibri"/>
          <w:noProof w:val="0"/>
          <w:sz w:val="14"/>
          <w:szCs w:val="14"/>
          <w:lang w:val="en-US"/>
        </w:rPr>
      </w:pPr>
    </w:p>
    <w:p w:rsidR="7D26841A" w:rsidP="7D26841A" w:rsidRDefault="7D26841A" w14:paraId="314AB4B6" w14:textId="3C4EAF84">
      <w:pPr>
        <w:pStyle w:val="NoSpacing"/>
        <w:rPr>
          <w:rFonts w:ascii="Calibri" w:hAnsi="Calibri" w:eastAsia="Calibri" w:cs="Calibri"/>
          <w:noProof w:val="0"/>
          <w:sz w:val="14"/>
          <w:szCs w:val="14"/>
          <w:lang w:val="en-US"/>
        </w:rPr>
      </w:pPr>
    </w:p>
    <w:p w:rsidR="7D26841A" w:rsidP="7D26841A" w:rsidRDefault="7D26841A" w14:paraId="024ECE6F" w14:textId="01EB8C32">
      <w:pPr>
        <w:pStyle w:val="NoSpacing"/>
        <w:rPr>
          <w:rFonts w:ascii="Calibri" w:hAnsi="Calibri" w:eastAsia="Calibri" w:cs="Calibri"/>
          <w:noProof w:val="0"/>
          <w:sz w:val="14"/>
          <w:szCs w:val="14"/>
          <w:lang w:val="en-US"/>
        </w:rPr>
      </w:pPr>
    </w:p>
    <w:p w:rsidR="7D26841A" w:rsidP="7D26841A" w:rsidRDefault="7D26841A" w14:paraId="0886E211" w14:textId="703948EA">
      <w:pPr>
        <w:pStyle w:val="NoSpacing"/>
        <w:rPr>
          <w:rFonts w:ascii="Calibri" w:hAnsi="Calibri" w:eastAsia="Calibri" w:cs="Calibri"/>
          <w:noProof w:val="0"/>
          <w:sz w:val="14"/>
          <w:szCs w:val="14"/>
          <w:lang w:val="en-US"/>
        </w:rPr>
      </w:pPr>
    </w:p>
    <w:p w:rsidR="7D26841A" w:rsidP="7D26841A" w:rsidRDefault="7D26841A" w14:paraId="62831B94" w14:textId="1402C6FB">
      <w:pPr>
        <w:pStyle w:val="NoSpacing"/>
        <w:rPr>
          <w:rFonts w:ascii="Calibri" w:hAnsi="Calibri" w:eastAsia="Calibri" w:cs="Calibri"/>
          <w:noProof w:val="0"/>
          <w:sz w:val="14"/>
          <w:szCs w:val="14"/>
          <w:lang w:val="en-US"/>
        </w:rPr>
      </w:pPr>
    </w:p>
    <w:p w:rsidR="14F77A77" w:rsidP="7D26841A" w:rsidRDefault="14F77A77" w14:paraId="62D6E357" w14:textId="5B7EF6C0">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r w:rsidR="14F77A77">
        <w:drawing>
          <wp:inline wp14:editId="7E292DB4" wp14:anchorId="571C3CB7">
            <wp:extent cx="5715000" cy="2857500"/>
            <wp:effectExtent l="0" t="0" r="0" b="0"/>
            <wp:docPr id="1391494157" name="" title=""/>
            <wp:cNvGraphicFramePr>
              <a:graphicFrameLocks noChangeAspect="1"/>
            </wp:cNvGraphicFramePr>
            <a:graphic>
              <a:graphicData uri="http://schemas.openxmlformats.org/drawingml/2006/picture">
                <pic:pic>
                  <pic:nvPicPr>
                    <pic:cNvPr id="0" name=""/>
                    <pic:cNvPicPr/>
                  </pic:nvPicPr>
                  <pic:blipFill>
                    <a:blip r:embed="R64c9c41ed3ae4941">
                      <a:extLst>
                        <a:ext xmlns:a="http://schemas.openxmlformats.org/drawingml/2006/main" uri="{28A0092B-C50C-407E-A947-70E740481C1C}">
                          <a14:useLocalDpi val="0"/>
                        </a:ext>
                      </a:extLst>
                    </a:blip>
                    <a:stretch>
                      <a:fillRect/>
                    </a:stretch>
                  </pic:blipFill>
                  <pic:spPr>
                    <a:xfrm>
                      <a:off x="0" y="0"/>
                      <a:ext cx="5715000" cy="2857500"/>
                    </a:xfrm>
                    <a:prstGeom prst="rect">
                      <a:avLst/>
                    </a:prstGeom>
                  </pic:spPr>
                </pic:pic>
              </a:graphicData>
            </a:graphic>
          </wp:inline>
        </w:drawing>
      </w:r>
    </w:p>
    <w:p w:rsidR="14F77A77" w:rsidP="7D26841A" w:rsidRDefault="14F77A77" w14:paraId="2E49934D" w14:textId="557D77AF">
      <w:pPr>
        <w:jc w:val="both"/>
        <w:rPr>
          <w:rFonts w:ascii="Calibri" w:hAnsi="Calibri" w:eastAsia="Calibri" w:cs="Calibri"/>
          <w:b w:val="0"/>
          <w:bCs w:val="0"/>
          <w:i w:val="0"/>
          <w:iCs w:val="0"/>
          <w:caps w:val="0"/>
          <w:smallCaps w:val="0"/>
          <w:noProof w:val="0"/>
          <w:color w:val="7F7F7F" w:themeColor="text1" w:themeTint="80" w:themeShade="FF"/>
          <w:sz w:val="14"/>
          <w:szCs w:val="14"/>
          <w:lang w:val="en-US"/>
        </w:rPr>
      </w:pP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Supplementary Fig. 2</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Timor-Leste small-scale fisheries production (</w:t>
      </w: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A</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and contributions to dietary fish recommendations (</w:t>
      </w: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B</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Annual marine small-scale fisheries catches by municipality (2020–2022 average) are shown in Metric tons (Mt), with a total national production of 6,688 Mt (</w:t>
      </w: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Panel A</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The percentage of Women of Reproductive Age (WRA) meeting the recommended annual edible fish intake based on current catches is illustrated, showing that 72.5% of WRA in Timor-Leste could meet guidelines (</w:t>
      </w: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Panel B</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Four municipalities (Atauro, Bobonaro, Lautem, Manatuto) produce surplus catches, indicating potential for trade and redistribution to other municipalities with deficits. Atauro is highlighted in red due to its out scaled catch relative to other municipalities.</w:t>
      </w:r>
    </w:p>
    <w:p w:rsidR="7D26841A" w:rsidP="7D26841A" w:rsidRDefault="7D26841A" w14:paraId="767C1CBF" w14:textId="34A3703C">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7D26841A" w:rsidP="7D26841A" w:rsidRDefault="7D26841A" w14:paraId="3F313460" w14:textId="2CB7A7D5">
      <w:pPr>
        <w:pStyle w:val="Normal"/>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14F77A77" w:rsidP="7D26841A" w:rsidRDefault="14F77A77" w14:paraId="054B7CE6" w14:textId="492AF443">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r w:rsidR="14F77A77">
        <w:drawing>
          <wp:inline wp14:editId="62D705B8" wp14:anchorId="09F8B351">
            <wp:extent cx="5715000" cy="2857500"/>
            <wp:effectExtent l="0" t="0" r="0" b="0"/>
            <wp:docPr id="1337565835" name="" title=""/>
            <wp:cNvGraphicFramePr>
              <a:graphicFrameLocks noChangeAspect="1"/>
            </wp:cNvGraphicFramePr>
            <a:graphic>
              <a:graphicData uri="http://schemas.openxmlformats.org/drawingml/2006/picture">
                <pic:pic>
                  <pic:nvPicPr>
                    <pic:cNvPr id="0" name=""/>
                    <pic:cNvPicPr/>
                  </pic:nvPicPr>
                  <pic:blipFill>
                    <a:blip r:embed="R63570db71cc64b4f">
                      <a:extLst>
                        <a:ext xmlns:a="http://schemas.openxmlformats.org/drawingml/2006/main" uri="{28A0092B-C50C-407E-A947-70E740481C1C}">
                          <a14:useLocalDpi val="0"/>
                        </a:ext>
                      </a:extLst>
                    </a:blip>
                    <a:stretch>
                      <a:fillRect/>
                    </a:stretch>
                  </pic:blipFill>
                  <pic:spPr>
                    <a:xfrm>
                      <a:off x="0" y="0"/>
                      <a:ext cx="5715000" cy="2857500"/>
                    </a:xfrm>
                    <a:prstGeom prst="rect">
                      <a:avLst/>
                    </a:prstGeom>
                  </pic:spPr>
                </pic:pic>
              </a:graphicData>
            </a:graphic>
          </wp:inline>
        </w:drawing>
      </w:r>
    </w:p>
    <w:p w:rsidR="14F77A77" w:rsidP="7D26841A" w:rsidRDefault="14F77A77" w14:paraId="6B4E2EEF" w14:textId="110498D2">
      <w:pPr>
        <w:pStyle w:val="NoSpacing"/>
        <w:jc w:val="both"/>
        <w:rPr>
          <w:rFonts w:ascii="Calibri" w:hAnsi="Calibri" w:eastAsia="Calibri" w:cs="Calibri"/>
          <w:b w:val="0"/>
          <w:bCs w:val="0"/>
          <w:i w:val="0"/>
          <w:iCs w:val="0"/>
          <w:caps w:val="0"/>
          <w:smallCaps w:val="0"/>
          <w:noProof w:val="0"/>
          <w:color w:val="7F7F7F" w:themeColor="text1" w:themeTint="80" w:themeShade="FF"/>
          <w:sz w:val="14"/>
          <w:szCs w:val="14"/>
          <w:lang w:val="en-US"/>
        </w:rPr>
      </w:pP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Supplementary Fig. 3</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Fishery Nutrient Profile clustering of fishing trips gear type. Each plot presents a k-means clustering analysis of fishing trip observations, grouped by their nutritional contributions to the recommended nutrient intake (RNI) for six nutrients. The panels display data subsets for gill nets (</w:t>
      </w: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A</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and all other gear types (</w:t>
      </w: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B</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specifically. The scatter plots within each panel are charted in a two-dimensional space defined by the first two principal components, with the axes denoting the percentage of explained variance. Points are color-coded to denote distinct Fishery Nutrient Profile clusters derived from the k-means algorithm. Convex hulls define the periphery of each cluster, providing insight into the cluster density and separation. Convex hulls around the clusters aid in visualizing the distribution and delineation of Fishery Nutrient Profile groupings across different fishing methods.</w:t>
      </w:r>
    </w:p>
    <w:p w:rsidR="7D26841A" w:rsidP="7D26841A" w:rsidRDefault="7D26841A" w14:paraId="6FBF79A9" w14:textId="624C6081">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7D26841A" w:rsidP="7D26841A" w:rsidRDefault="7D26841A" w14:paraId="0408F1E5" w14:textId="78752968">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7D26841A" w:rsidP="7D26841A" w:rsidRDefault="7D26841A" w14:paraId="5723FAEF" w14:textId="620B0380">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14F77A77" w:rsidP="7D26841A" w:rsidRDefault="14F77A77" w14:paraId="3D23BDC4" w14:textId="34C07C2E">
      <w:pPr>
        <w:pStyle w:val="NoSpacing"/>
        <w:jc w:val="both"/>
        <w:rPr>
          <w:rFonts w:ascii="Calibri" w:hAnsi="Calibri" w:eastAsia="Calibri" w:cs="Calibri"/>
          <w:b w:val="0"/>
          <w:bCs w:val="0"/>
          <w:i w:val="0"/>
          <w:iCs w:val="0"/>
          <w:caps w:val="0"/>
          <w:smallCaps w:val="0"/>
          <w:noProof w:val="0"/>
          <w:color w:val="7F7F7F" w:themeColor="text1" w:themeTint="80" w:themeShade="FF"/>
          <w:sz w:val="14"/>
          <w:szCs w:val="14"/>
          <w:lang w:val="en-US"/>
        </w:rPr>
      </w:pP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Supplementary Table 3</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Results of PERMANOVA analysis evaluating the homogeneity of Fishery Nutrient Profiles within clusters of fishing trips, categorized by gear type (gill net, other gears). The analysis details include degrees of freedom (df), sum of squares, R-squared values (R²), PERMANOVA statistics, and p-values for each cluster and residual variance. The R² values indicate the proportion of variance explained by the clusters.</w:t>
      </w:r>
    </w:p>
    <w:tbl>
      <w:tblPr>
        <w:tblStyle w:val="TableGridLight"/>
        <w:tblW w:w="0" w:type="auto"/>
        <w:tblBorders>
          <w:top w:val="single" w:sz="6"/>
          <w:left w:val="single" w:sz="6"/>
          <w:bottom w:val="single" w:sz="6"/>
          <w:right w:val="single" w:sz="6"/>
        </w:tblBorders>
        <w:tblLayout w:type="fixed"/>
        <w:tblLook w:val="0600" w:firstRow="0" w:lastRow="0" w:firstColumn="0" w:lastColumn="0" w:noHBand="1" w:noVBand="1"/>
      </w:tblPr>
      <w:tblGrid>
        <w:gridCol w:w="1665"/>
        <w:gridCol w:w="1305"/>
        <w:gridCol w:w="1125"/>
        <w:gridCol w:w="1890"/>
        <w:gridCol w:w="900"/>
        <w:gridCol w:w="1110"/>
        <w:gridCol w:w="1035"/>
      </w:tblGrid>
      <w:tr w:rsidR="7D26841A" w:rsidTr="7D26841A" w14:paraId="7A0E2673">
        <w:trPr>
          <w:trHeight w:val="300"/>
        </w:trPr>
        <w:tc>
          <w:tcPr>
            <w:tcW w:w="1665" w:type="dxa"/>
            <w:shd w:val="clear" w:color="auto" w:fill="F2F2F2" w:themeFill="background1" w:themeFillShade="F2"/>
            <w:tcMar>
              <w:left w:w="105" w:type="dxa"/>
              <w:right w:w="105" w:type="dxa"/>
            </w:tcMar>
            <w:vAlign w:val="center"/>
          </w:tcPr>
          <w:p w:rsidR="7D26841A" w:rsidP="7D26841A" w:rsidRDefault="7D26841A" w14:paraId="75C9F4D2" w14:textId="3749E900">
            <w:pPr>
              <w:jc w:val="both"/>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Data subset</w:t>
            </w:r>
          </w:p>
        </w:tc>
        <w:tc>
          <w:tcPr>
            <w:tcW w:w="1305" w:type="dxa"/>
            <w:shd w:val="clear" w:color="auto" w:fill="F2F2F2" w:themeFill="background1" w:themeFillShade="F2"/>
            <w:tcMar>
              <w:left w:w="105" w:type="dxa"/>
              <w:right w:w="105" w:type="dxa"/>
            </w:tcMar>
            <w:vAlign w:val="center"/>
          </w:tcPr>
          <w:p w:rsidR="7D26841A" w:rsidP="7D26841A" w:rsidRDefault="7D26841A" w14:paraId="0194565E" w14:textId="295E20C0">
            <w:pPr>
              <w:jc w:val="both"/>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Term</w:t>
            </w:r>
          </w:p>
        </w:tc>
        <w:tc>
          <w:tcPr>
            <w:tcW w:w="1125" w:type="dxa"/>
            <w:shd w:val="clear" w:color="auto" w:fill="F2F2F2" w:themeFill="background1" w:themeFillShade="F2"/>
            <w:tcMar>
              <w:left w:w="105" w:type="dxa"/>
              <w:right w:w="105" w:type="dxa"/>
            </w:tcMar>
            <w:vAlign w:val="center"/>
          </w:tcPr>
          <w:p w:rsidR="7D26841A" w:rsidP="7D26841A" w:rsidRDefault="7D26841A" w14:paraId="6800E7F0" w14:textId="3351D658">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df</w:t>
            </w:r>
          </w:p>
        </w:tc>
        <w:tc>
          <w:tcPr>
            <w:tcW w:w="1890" w:type="dxa"/>
            <w:shd w:val="clear" w:color="auto" w:fill="F2F2F2" w:themeFill="background1" w:themeFillShade="F2"/>
            <w:tcMar>
              <w:left w:w="105" w:type="dxa"/>
              <w:right w:w="105" w:type="dxa"/>
            </w:tcMar>
            <w:vAlign w:val="center"/>
          </w:tcPr>
          <w:p w:rsidR="7D26841A" w:rsidP="7D26841A" w:rsidRDefault="7D26841A" w14:paraId="67A89954" w14:textId="513473F3">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Sum of squares</w:t>
            </w:r>
          </w:p>
        </w:tc>
        <w:tc>
          <w:tcPr>
            <w:tcW w:w="900" w:type="dxa"/>
            <w:shd w:val="clear" w:color="auto" w:fill="F2F2F2" w:themeFill="background1" w:themeFillShade="F2"/>
            <w:tcMar>
              <w:left w:w="105" w:type="dxa"/>
              <w:right w:w="105" w:type="dxa"/>
            </w:tcMar>
            <w:vAlign w:val="center"/>
          </w:tcPr>
          <w:p w:rsidR="7D26841A" w:rsidP="7D26841A" w:rsidRDefault="7D26841A" w14:paraId="6A86DF1F" w14:textId="1ED92348">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R2</w:t>
            </w:r>
          </w:p>
        </w:tc>
        <w:tc>
          <w:tcPr>
            <w:tcW w:w="1110" w:type="dxa"/>
            <w:shd w:val="clear" w:color="auto" w:fill="F2F2F2" w:themeFill="background1" w:themeFillShade="F2"/>
            <w:tcMar>
              <w:left w:w="105" w:type="dxa"/>
              <w:right w:w="105" w:type="dxa"/>
            </w:tcMar>
            <w:vAlign w:val="center"/>
          </w:tcPr>
          <w:p w:rsidR="7D26841A" w:rsidP="7D26841A" w:rsidRDefault="7D26841A" w14:paraId="5D3E7000" w14:textId="3C98A02D">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Statistic</w:t>
            </w:r>
          </w:p>
        </w:tc>
        <w:tc>
          <w:tcPr>
            <w:tcW w:w="1035" w:type="dxa"/>
            <w:shd w:val="clear" w:color="auto" w:fill="F2F2F2" w:themeFill="background1" w:themeFillShade="F2"/>
            <w:tcMar>
              <w:left w:w="105" w:type="dxa"/>
              <w:right w:w="105" w:type="dxa"/>
            </w:tcMar>
            <w:vAlign w:val="center"/>
          </w:tcPr>
          <w:p w:rsidR="7D26841A" w:rsidP="7D26841A" w:rsidRDefault="7D26841A" w14:paraId="7A708B71" w14:textId="5CCA4492">
            <w:pPr>
              <w:jc w:val="center"/>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1"/>
                <w:bCs w:val="1"/>
                <w:i w:val="0"/>
                <w:iCs w:val="0"/>
                <w:color w:val="000000" w:themeColor="text1" w:themeTint="FF" w:themeShade="FF"/>
                <w:sz w:val="21"/>
                <w:szCs w:val="21"/>
                <w:lang w:val="en-US"/>
              </w:rPr>
              <w:t>p-value</w:t>
            </w:r>
          </w:p>
        </w:tc>
      </w:tr>
      <w:tr w:rsidR="7D26841A" w:rsidTr="7D26841A" w14:paraId="23A819DB">
        <w:trPr>
          <w:trHeight w:val="300"/>
        </w:trPr>
        <w:tc>
          <w:tcPr>
            <w:tcW w:w="1665" w:type="dxa"/>
            <w:vMerge w:val="restart"/>
            <w:tcMar>
              <w:left w:w="105" w:type="dxa"/>
              <w:right w:w="105" w:type="dxa"/>
            </w:tcMar>
            <w:vAlign w:val="center"/>
          </w:tcPr>
          <w:p w:rsidR="7D26841A" w:rsidP="7D26841A" w:rsidRDefault="7D26841A" w14:paraId="0194AC2F" w14:textId="17DA8C11">
            <w:pPr>
              <w:jc w:val="both"/>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Gill net</w:t>
            </w:r>
          </w:p>
        </w:tc>
        <w:tc>
          <w:tcPr>
            <w:tcW w:w="1305" w:type="dxa"/>
            <w:tcMar>
              <w:left w:w="105" w:type="dxa"/>
              <w:right w:w="105" w:type="dxa"/>
            </w:tcMar>
            <w:vAlign w:val="center"/>
          </w:tcPr>
          <w:p w:rsidR="7D26841A" w:rsidP="7D26841A" w:rsidRDefault="7D26841A" w14:paraId="28D0B47C" w14:textId="14D5935F">
            <w:pPr>
              <w:jc w:val="both"/>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Clusters</w:t>
            </w:r>
          </w:p>
        </w:tc>
        <w:tc>
          <w:tcPr>
            <w:tcW w:w="1125" w:type="dxa"/>
            <w:tcMar>
              <w:left w:w="105" w:type="dxa"/>
              <w:right w:w="105" w:type="dxa"/>
            </w:tcMar>
            <w:vAlign w:val="center"/>
          </w:tcPr>
          <w:p w:rsidR="7D26841A" w:rsidP="7D26841A" w:rsidRDefault="7D26841A" w14:paraId="65946DC7" w14:textId="24DDFB31">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4</w:t>
            </w:r>
          </w:p>
        </w:tc>
        <w:tc>
          <w:tcPr>
            <w:tcW w:w="1890" w:type="dxa"/>
            <w:tcMar>
              <w:left w:w="105" w:type="dxa"/>
              <w:right w:w="105" w:type="dxa"/>
            </w:tcMar>
            <w:vAlign w:val="center"/>
          </w:tcPr>
          <w:p w:rsidR="7D26841A" w:rsidP="7D26841A" w:rsidRDefault="7D26841A" w14:paraId="76FF2777" w14:textId="7243C7D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14899.02</w:t>
            </w:r>
          </w:p>
        </w:tc>
        <w:tc>
          <w:tcPr>
            <w:tcW w:w="900" w:type="dxa"/>
            <w:tcMar>
              <w:left w:w="105" w:type="dxa"/>
              <w:right w:w="105" w:type="dxa"/>
            </w:tcMar>
            <w:vAlign w:val="center"/>
          </w:tcPr>
          <w:p w:rsidR="7D26841A" w:rsidP="7D26841A" w:rsidRDefault="7D26841A" w14:paraId="26622861" w14:textId="673DCA2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0.81</w:t>
            </w:r>
          </w:p>
        </w:tc>
        <w:tc>
          <w:tcPr>
            <w:tcW w:w="1110" w:type="dxa"/>
            <w:tcMar>
              <w:left w:w="105" w:type="dxa"/>
              <w:right w:w="105" w:type="dxa"/>
            </w:tcMar>
            <w:vAlign w:val="center"/>
          </w:tcPr>
          <w:p w:rsidR="7D26841A" w:rsidP="7D26841A" w:rsidRDefault="7D26841A" w14:paraId="2AA61AEF" w14:textId="2B3C5DC4">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10879.56</w:t>
            </w:r>
          </w:p>
        </w:tc>
        <w:tc>
          <w:tcPr>
            <w:tcW w:w="1035" w:type="dxa"/>
            <w:tcMar>
              <w:left w:w="105" w:type="dxa"/>
              <w:right w:w="105" w:type="dxa"/>
            </w:tcMar>
            <w:vAlign w:val="center"/>
          </w:tcPr>
          <w:p w:rsidR="7D26841A" w:rsidP="7D26841A" w:rsidRDefault="7D26841A" w14:paraId="10567114" w14:textId="2B5738E2">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&lt; 0.001</w:t>
            </w:r>
          </w:p>
        </w:tc>
      </w:tr>
      <w:tr w:rsidR="7D26841A" w:rsidTr="7D26841A" w14:paraId="347F86DC">
        <w:trPr>
          <w:trHeight w:val="300"/>
        </w:trPr>
        <w:tc>
          <w:tcPr>
            <w:tcW w:w="1665" w:type="dxa"/>
            <w:vMerge/>
            <w:tcBorders>
              <w:top w:sz="0"/>
              <w:left w:sz="0"/>
              <w:bottom w:sz="0"/>
              <w:right w:sz="0"/>
            </w:tcBorders>
            <w:tcMar/>
            <w:vAlign w:val="center"/>
          </w:tcPr>
          <w:p w14:paraId="4289DC0F"/>
        </w:tc>
        <w:tc>
          <w:tcPr>
            <w:tcW w:w="1305" w:type="dxa"/>
            <w:tcMar>
              <w:left w:w="105" w:type="dxa"/>
              <w:right w:w="105" w:type="dxa"/>
            </w:tcMar>
            <w:vAlign w:val="center"/>
          </w:tcPr>
          <w:p w:rsidR="7D26841A" w:rsidP="7D26841A" w:rsidRDefault="7D26841A" w14:paraId="15357765" w14:textId="5230C82B">
            <w:pPr>
              <w:jc w:val="both"/>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Residual</w:t>
            </w:r>
          </w:p>
        </w:tc>
        <w:tc>
          <w:tcPr>
            <w:tcW w:w="1125" w:type="dxa"/>
            <w:tcMar>
              <w:left w:w="105" w:type="dxa"/>
              <w:right w:w="105" w:type="dxa"/>
            </w:tcMar>
            <w:vAlign w:val="center"/>
          </w:tcPr>
          <w:p w:rsidR="7D26841A" w:rsidP="7D26841A" w:rsidRDefault="7D26841A" w14:paraId="31D89B25" w14:textId="6412748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10166</w:t>
            </w:r>
          </w:p>
        </w:tc>
        <w:tc>
          <w:tcPr>
            <w:tcW w:w="1890" w:type="dxa"/>
            <w:tcMar>
              <w:left w:w="105" w:type="dxa"/>
              <w:right w:w="105" w:type="dxa"/>
            </w:tcMar>
            <w:vAlign w:val="center"/>
          </w:tcPr>
          <w:p w:rsidR="7D26841A" w:rsidP="7D26841A" w:rsidRDefault="7D26841A" w14:paraId="4A05B8FA" w14:textId="2B004286">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3480.46</w:t>
            </w:r>
          </w:p>
        </w:tc>
        <w:tc>
          <w:tcPr>
            <w:tcW w:w="900" w:type="dxa"/>
            <w:tcMar>
              <w:left w:w="105" w:type="dxa"/>
              <w:right w:w="105" w:type="dxa"/>
            </w:tcMar>
            <w:vAlign w:val="center"/>
          </w:tcPr>
          <w:p w:rsidR="7D26841A" w:rsidP="7D26841A" w:rsidRDefault="7D26841A" w14:paraId="461805D7" w14:textId="51CB9460">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0.19</w:t>
            </w:r>
          </w:p>
        </w:tc>
        <w:tc>
          <w:tcPr>
            <w:tcW w:w="1110" w:type="dxa"/>
            <w:tcMar>
              <w:left w:w="105" w:type="dxa"/>
              <w:right w:w="105" w:type="dxa"/>
            </w:tcMar>
            <w:vAlign w:val="center"/>
          </w:tcPr>
          <w:p w:rsidR="7D26841A" w:rsidP="7D26841A" w:rsidRDefault="7D26841A" w14:paraId="174A343A" w14:textId="72CD240F">
            <w:pPr>
              <w:jc w:val="right"/>
              <w:rPr>
                <w:rFonts w:ascii="Calibri" w:hAnsi="Calibri" w:eastAsia="Calibri" w:cs="Calibri"/>
                <w:b w:val="0"/>
                <w:bCs w:val="0"/>
                <w:i w:val="0"/>
                <w:iCs w:val="0"/>
                <w:color w:val="000000" w:themeColor="text1" w:themeTint="FF" w:themeShade="FF"/>
                <w:sz w:val="21"/>
                <w:szCs w:val="21"/>
              </w:rPr>
            </w:pPr>
          </w:p>
        </w:tc>
        <w:tc>
          <w:tcPr>
            <w:tcW w:w="1035" w:type="dxa"/>
            <w:tcMar>
              <w:left w:w="105" w:type="dxa"/>
              <w:right w:w="105" w:type="dxa"/>
            </w:tcMar>
            <w:vAlign w:val="center"/>
          </w:tcPr>
          <w:p w:rsidR="7D26841A" w:rsidP="7D26841A" w:rsidRDefault="7D26841A" w14:paraId="2F71842E" w14:textId="05D7F094">
            <w:pPr>
              <w:jc w:val="right"/>
              <w:rPr>
                <w:rFonts w:ascii="Calibri" w:hAnsi="Calibri" w:eastAsia="Calibri" w:cs="Calibri"/>
                <w:b w:val="0"/>
                <w:bCs w:val="0"/>
                <w:i w:val="0"/>
                <w:iCs w:val="0"/>
                <w:color w:val="000000" w:themeColor="text1" w:themeTint="FF" w:themeShade="FF"/>
                <w:sz w:val="21"/>
                <w:szCs w:val="21"/>
              </w:rPr>
            </w:pPr>
          </w:p>
        </w:tc>
      </w:tr>
      <w:tr w:rsidR="7D26841A" w:rsidTr="7D26841A" w14:paraId="56BCCC83">
        <w:trPr>
          <w:trHeight w:val="300"/>
        </w:trPr>
        <w:tc>
          <w:tcPr>
            <w:tcW w:w="1665" w:type="dxa"/>
            <w:vMerge/>
            <w:tcBorders>
              <w:top w:sz="0"/>
              <w:left w:sz="0"/>
              <w:bottom w:sz="0"/>
              <w:right w:sz="0"/>
            </w:tcBorders>
            <w:tcMar/>
            <w:vAlign w:val="center"/>
          </w:tcPr>
          <w:p w14:paraId="10590413"/>
        </w:tc>
        <w:tc>
          <w:tcPr>
            <w:tcW w:w="1305" w:type="dxa"/>
            <w:tcMar>
              <w:left w:w="105" w:type="dxa"/>
              <w:right w:w="105" w:type="dxa"/>
            </w:tcMar>
            <w:vAlign w:val="center"/>
          </w:tcPr>
          <w:p w:rsidR="7D26841A" w:rsidP="7D26841A" w:rsidRDefault="7D26841A" w14:paraId="53D80797" w14:textId="07D1CBEA">
            <w:pPr>
              <w:jc w:val="both"/>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Total</w:t>
            </w:r>
          </w:p>
        </w:tc>
        <w:tc>
          <w:tcPr>
            <w:tcW w:w="1125" w:type="dxa"/>
            <w:tcMar>
              <w:left w:w="105" w:type="dxa"/>
              <w:right w:w="105" w:type="dxa"/>
            </w:tcMar>
            <w:vAlign w:val="center"/>
          </w:tcPr>
          <w:p w:rsidR="7D26841A" w:rsidP="7D26841A" w:rsidRDefault="7D26841A" w14:paraId="274FA727" w14:textId="7F575995">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10170</w:t>
            </w:r>
          </w:p>
        </w:tc>
        <w:tc>
          <w:tcPr>
            <w:tcW w:w="1890" w:type="dxa"/>
            <w:tcMar>
              <w:left w:w="105" w:type="dxa"/>
              <w:right w:w="105" w:type="dxa"/>
            </w:tcMar>
            <w:vAlign w:val="center"/>
          </w:tcPr>
          <w:p w:rsidR="7D26841A" w:rsidP="7D26841A" w:rsidRDefault="7D26841A" w14:paraId="70E47205" w14:textId="497C6164">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18379.48</w:t>
            </w:r>
          </w:p>
        </w:tc>
        <w:tc>
          <w:tcPr>
            <w:tcW w:w="900" w:type="dxa"/>
            <w:tcMar>
              <w:left w:w="105" w:type="dxa"/>
              <w:right w:w="105" w:type="dxa"/>
            </w:tcMar>
            <w:vAlign w:val="center"/>
          </w:tcPr>
          <w:p w:rsidR="7D26841A" w:rsidP="7D26841A" w:rsidRDefault="7D26841A" w14:paraId="75FD0A95" w14:textId="3BC6043A">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w:t>
            </w:r>
          </w:p>
        </w:tc>
        <w:tc>
          <w:tcPr>
            <w:tcW w:w="1110" w:type="dxa"/>
            <w:tcMar>
              <w:left w:w="105" w:type="dxa"/>
              <w:right w:w="105" w:type="dxa"/>
            </w:tcMar>
            <w:vAlign w:val="center"/>
          </w:tcPr>
          <w:p w:rsidR="7D26841A" w:rsidP="7D26841A" w:rsidRDefault="7D26841A" w14:paraId="612FD6A6" w14:textId="629C8BC4">
            <w:pPr>
              <w:jc w:val="right"/>
              <w:rPr>
                <w:rFonts w:ascii="Calibri" w:hAnsi="Calibri" w:eastAsia="Calibri" w:cs="Calibri"/>
                <w:b w:val="0"/>
                <w:bCs w:val="0"/>
                <w:i w:val="0"/>
                <w:iCs w:val="0"/>
                <w:color w:val="000000" w:themeColor="text1" w:themeTint="FF" w:themeShade="FF"/>
                <w:sz w:val="21"/>
                <w:szCs w:val="21"/>
              </w:rPr>
            </w:pPr>
          </w:p>
        </w:tc>
        <w:tc>
          <w:tcPr>
            <w:tcW w:w="1035" w:type="dxa"/>
            <w:tcMar>
              <w:left w:w="105" w:type="dxa"/>
              <w:right w:w="105" w:type="dxa"/>
            </w:tcMar>
            <w:vAlign w:val="center"/>
          </w:tcPr>
          <w:p w:rsidR="7D26841A" w:rsidP="7D26841A" w:rsidRDefault="7D26841A" w14:paraId="73CED619" w14:textId="5D554925">
            <w:pPr>
              <w:jc w:val="right"/>
              <w:rPr>
                <w:rFonts w:ascii="Calibri" w:hAnsi="Calibri" w:eastAsia="Calibri" w:cs="Calibri"/>
                <w:b w:val="0"/>
                <w:bCs w:val="0"/>
                <w:i w:val="0"/>
                <w:iCs w:val="0"/>
                <w:color w:val="000000" w:themeColor="text1" w:themeTint="FF" w:themeShade="FF"/>
                <w:sz w:val="21"/>
                <w:szCs w:val="21"/>
              </w:rPr>
            </w:pPr>
          </w:p>
        </w:tc>
      </w:tr>
      <w:tr w:rsidR="7D26841A" w:rsidTr="7D26841A" w14:paraId="7490A42C">
        <w:trPr>
          <w:trHeight w:val="300"/>
        </w:trPr>
        <w:tc>
          <w:tcPr>
            <w:tcW w:w="1665" w:type="dxa"/>
            <w:vMerge w:val="restart"/>
            <w:tcMar>
              <w:left w:w="105" w:type="dxa"/>
              <w:right w:w="105" w:type="dxa"/>
            </w:tcMar>
            <w:vAlign w:val="center"/>
          </w:tcPr>
          <w:p w:rsidR="7D26841A" w:rsidP="7D26841A" w:rsidRDefault="7D26841A" w14:paraId="7E879B07" w14:textId="1D8536BF">
            <w:pPr>
              <w:jc w:val="both"/>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Other gears</w:t>
            </w:r>
          </w:p>
        </w:tc>
        <w:tc>
          <w:tcPr>
            <w:tcW w:w="1305" w:type="dxa"/>
            <w:tcMar>
              <w:left w:w="105" w:type="dxa"/>
              <w:right w:w="105" w:type="dxa"/>
            </w:tcMar>
            <w:vAlign w:val="center"/>
          </w:tcPr>
          <w:p w:rsidR="7D26841A" w:rsidP="7D26841A" w:rsidRDefault="7D26841A" w14:paraId="28BD62F6" w14:textId="264326B3">
            <w:pPr>
              <w:jc w:val="both"/>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Clusters</w:t>
            </w:r>
          </w:p>
        </w:tc>
        <w:tc>
          <w:tcPr>
            <w:tcW w:w="1125" w:type="dxa"/>
            <w:tcMar>
              <w:left w:w="105" w:type="dxa"/>
              <w:right w:w="105" w:type="dxa"/>
            </w:tcMar>
            <w:vAlign w:val="center"/>
          </w:tcPr>
          <w:p w:rsidR="7D26841A" w:rsidP="7D26841A" w:rsidRDefault="7D26841A" w14:paraId="6C1D359E" w14:textId="424913DB">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4</w:t>
            </w:r>
          </w:p>
        </w:tc>
        <w:tc>
          <w:tcPr>
            <w:tcW w:w="1890" w:type="dxa"/>
            <w:tcMar>
              <w:left w:w="105" w:type="dxa"/>
              <w:right w:w="105" w:type="dxa"/>
            </w:tcMar>
            <w:vAlign w:val="center"/>
          </w:tcPr>
          <w:p w:rsidR="7D26841A" w:rsidP="7D26841A" w:rsidRDefault="7D26841A" w14:paraId="388B2D2F" w14:textId="74F5FE93">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10871.14</w:t>
            </w:r>
          </w:p>
        </w:tc>
        <w:tc>
          <w:tcPr>
            <w:tcW w:w="900" w:type="dxa"/>
            <w:tcMar>
              <w:left w:w="105" w:type="dxa"/>
              <w:right w:w="105" w:type="dxa"/>
            </w:tcMar>
            <w:vAlign w:val="center"/>
          </w:tcPr>
          <w:p w:rsidR="7D26841A" w:rsidP="7D26841A" w:rsidRDefault="7D26841A" w14:paraId="49B4BDAA" w14:textId="0815CD6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0.85</w:t>
            </w:r>
          </w:p>
        </w:tc>
        <w:tc>
          <w:tcPr>
            <w:tcW w:w="1110" w:type="dxa"/>
            <w:tcMar>
              <w:left w:w="105" w:type="dxa"/>
              <w:right w:w="105" w:type="dxa"/>
            </w:tcMar>
            <w:vAlign w:val="center"/>
          </w:tcPr>
          <w:p w:rsidR="7D26841A" w:rsidP="7D26841A" w:rsidRDefault="7D26841A" w14:paraId="5E173D06" w14:textId="5008360C">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7753.61</w:t>
            </w:r>
          </w:p>
        </w:tc>
        <w:tc>
          <w:tcPr>
            <w:tcW w:w="1035" w:type="dxa"/>
            <w:tcMar>
              <w:left w:w="105" w:type="dxa"/>
              <w:right w:w="105" w:type="dxa"/>
            </w:tcMar>
            <w:vAlign w:val="center"/>
          </w:tcPr>
          <w:p w:rsidR="7D26841A" w:rsidP="7D26841A" w:rsidRDefault="7D26841A" w14:paraId="3FDBD86A" w14:textId="3957EFF1">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&lt; 0.001</w:t>
            </w:r>
          </w:p>
        </w:tc>
      </w:tr>
      <w:tr w:rsidR="7D26841A" w:rsidTr="7D26841A" w14:paraId="2D3A631E">
        <w:trPr>
          <w:trHeight w:val="300"/>
        </w:trPr>
        <w:tc>
          <w:tcPr>
            <w:tcW w:w="1665" w:type="dxa"/>
            <w:vMerge/>
            <w:tcBorders>
              <w:top w:sz="0"/>
              <w:left w:sz="0"/>
              <w:bottom w:sz="0"/>
              <w:right w:sz="0"/>
            </w:tcBorders>
            <w:tcMar/>
            <w:vAlign w:val="center"/>
          </w:tcPr>
          <w:p w14:paraId="737D9F8E"/>
        </w:tc>
        <w:tc>
          <w:tcPr>
            <w:tcW w:w="1305" w:type="dxa"/>
            <w:tcMar>
              <w:left w:w="105" w:type="dxa"/>
              <w:right w:w="105" w:type="dxa"/>
            </w:tcMar>
            <w:vAlign w:val="center"/>
          </w:tcPr>
          <w:p w:rsidR="7D26841A" w:rsidP="7D26841A" w:rsidRDefault="7D26841A" w14:paraId="03496973" w14:textId="28C45541">
            <w:pPr>
              <w:jc w:val="both"/>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Residual</w:t>
            </w:r>
          </w:p>
        </w:tc>
        <w:tc>
          <w:tcPr>
            <w:tcW w:w="1125" w:type="dxa"/>
            <w:tcMar>
              <w:left w:w="105" w:type="dxa"/>
              <w:right w:w="105" w:type="dxa"/>
            </w:tcMar>
            <w:vAlign w:val="center"/>
          </w:tcPr>
          <w:p w:rsidR="7D26841A" w:rsidP="7D26841A" w:rsidRDefault="7D26841A" w14:paraId="1BA6A16A" w14:textId="3A5EC2DE">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5477</w:t>
            </w:r>
          </w:p>
        </w:tc>
        <w:tc>
          <w:tcPr>
            <w:tcW w:w="1890" w:type="dxa"/>
            <w:tcMar>
              <w:left w:w="105" w:type="dxa"/>
              <w:right w:w="105" w:type="dxa"/>
            </w:tcMar>
            <w:vAlign w:val="center"/>
          </w:tcPr>
          <w:p w:rsidR="7D26841A" w:rsidP="7D26841A" w:rsidRDefault="7D26841A" w14:paraId="4BCA4BDF" w14:textId="3F12327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1919.79</w:t>
            </w:r>
          </w:p>
        </w:tc>
        <w:tc>
          <w:tcPr>
            <w:tcW w:w="900" w:type="dxa"/>
            <w:tcMar>
              <w:left w:w="105" w:type="dxa"/>
              <w:right w:w="105" w:type="dxa"/>
            </w:tcMar>
            <w:vAlign w:val="center"/>
          </w:tcPr>
          <w:p w:rsidR="7D26841A" w:rsidP="7D26841A" w:rsidRDefault="7D26841A" w14:paraId="180A28BE" w14:textId="716748D5">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0.15</w:t>
            </w:r>
          </w:p>
        </w:tc>
        <w:tc>
          <w:tcPr>
            <w:tcW w:w="1110" w:type="dxa"/>
            <w:tcMar>
              <w:left w:w="105" w:type="dxa"/>
              <w:right w:w="105" w:type="dxa"/>
            </w:tcMar>
            <w:vAlign w:val="center"/>
          </w:tcPr>
          <w:p w:rsidR="7D26841A" w:rsidP="7D26841A" w:rsidRDefault="7D26841A" w14:paraId="66F6C394" w14:textId="2FB728B3">
            <w:pPr>
              <w:jc w:val="right"/>
              <w:rPr>
                <w:rFonts w:ascii="Calibri" w:hAnsi="Calibri" w:eastAsia="Calibri" w:cs="Calibri"/>
                <w:b w:val="0"/>
                <w:bCs w:val="0"/>
                <w:i w:val="0"/>
                <w:iCs w:val="0"/>
                <w:color w:val="000000" w:themeColor="text1" w:themeTint="FF" w:themeShade="FF"/>
                <w:sz w:val="21"/>
                <w:szCs w:val="21"/>
              </w:rPr>
            </w:pPr>
          </w:p>
        </w:tc>
        <w:tc>
          <w:tcPr>
            <w:tcW w:w="1035" w:type="dxa"/>
            <w:tcMar>
              <w:left w:w="105" w:type="dxa"/>
              <w:right w:w="105" w:type="dxa"/>
            </w:tcMar>
            <w:vAlign w:val="center"/>
          </w:tcPr>
          <w:p w:rsidR="7D26841A" w:rsidP="7D26841A" w:rsidRDefault="7D26841A" w14:paraId="50CEAC25" w14:textId="58A710FB">
            <w:pPr>
              <w:jc w:val="right"/>
              <w:rPr>
                <w:rFonts w:ascii="Calibri" w:hAnsi="Calibri" w:eastAsia="Calibri" w:cs="Calibri"/>
                <w:b w:val="0"/>
                <w:bCs w:val="0"/>
                <w:i w:val="0"/>
                <w:iCs w:val="0"/>
                <w:color w:val="000000" w:themeColor="text1" w:themeTint="FF" w:themeShade="FF"/>
                <w:sz w:val="21"/>
                <w:szCs w:val="21"/>
              </w:rPr>
            </w:pPr>
          </w:p>
        </w:tc>
      </w:tr>
      <w:tr w:rsidR="7D26841A" w:rsidTr="7D26841A" w14:paraId="5546591A">
        <w:trPr>
          <w:trHeight w:val="300"/>
        </w:trPr>
        <w:tc>
          <w:tcPr>
            <w:tcW w:w="1665" w:type="dxa"/>
            <w:vMerge/>
            <w:tcBorders>
              <w:top w:sz="0"/>
              <w:left w:sz="0"/>
              <w:bottom w:sz="0"/>
              <w:right w:sz="0"/>
            </w:tcBorders>
            <w:tcMar/>
            <w:vAlign w:val="center"/>
          </w:tcPr>
          <w:p w14:paraId="798F1038"/>
        </w:tc>
        <w:tc>
          <w:tcPr>
            <w:tcW w:w="1305" w:type="dxa"/>
            <w:tcMar>
              <w:left w:w="105" w:type="dxa"/>
              <w:right w:w="105" w:type="dxa"/>
            </w:tcMar>
            <w:vAlign w:val="center"/>
          </w:tcPr>
          <w:p w:rsidR="7D26841A" w:rsidP="7D26841A" w:rsidRDefault="7D26841A" w14:paraId="1639AF3A" w14:textId="5675E88B">
            <w:pPr>
              <w:jc w:val="both"/>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Total</w:t>
            </w:r>
          </w:p>
        </w:tc>
        <w:tc>
          <w:tcPr>
            <w:tcW w:w="1125" w:type="dxa"/>
            <w:tcMar>
              <w:left w:w="105" w:type="dxa"/>
              <w:right w:w="105" w:type="dxa"/>
            </w:tcMar>
            <w:vAlign w:val="center"/>
          </w:tcPr>
          <w:p w:rsidR="7D26841A" w:rsidP="7D26841A" w:rsidRDefault="7D26841A" w14:paraId="0AA191BA" w14:textId="65ADCA09">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5481</w:t>
            </w:r>
          </w:p>
        </w:tc>
        <w:tc>
          <w:tcPr>
            <w:tcW w:w="1890" w:type="dxa"/>
            <w:tcMar>
              <w:left w:w="105" w:type="dxa"/>
              <w:right w:w="105" w:type="dxa"/>
            </w:tcMar>
            <w:vAlign w:val="center"/>
          </w:tcPr>
          <w:p w:rsidR="7D26841A" w:rsidP="7D26841A" w:rsidRDefault="7D26841A" w14:paraId="7A2656B6" w14:textId="425B11A2">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12790.93</w:t>
            </w:r>
          </w:p>
        </w:tc>
        <w:tc>
          <w:tcPr>
            <w:tcW w:w="900" w:type="dxa"/>
            <w:tcMar>
              <w:left w:w="105" w:type="dxa"/>
              <w:right w:w="105" w:type="dxa"/>
            </w:tcMar>
            <w:vAlign w:val="center"/>
          </w:tcPr>
          <w:p w:rsidR="7D26841A" w:rsidP="7D26841A" w:rsidRDefault="7D26841A" w14:paraId="1E1E89B4" w14:textId="7F30731A">
            <w:pPr>
              <w:jc w:val="right"/>
              <w:rPr>
                <w:rFonts w:ascii="Calibri" w:hAnsi="Calibri" w:eastAsia="Calibri" w:cs="Calibri"/>
                <w:b w:val="0"/>
                <w:bCs w:val="0"/>
                <w:i w:val="0"/>
                <w:iCs w:val="0"/>
                <w:color w:val="000000" w:themeColor="text1" w:themeTint="FF" w:themeShade="FF"/>
                <w:sz w:val="21"/>
                <w:szCs w:val="21"/>
              </w:rPr>
            </w:pPr>
            <w:r w:rsidRPr="7D26841A" w:rsidR="7D26841A">
              <w:rPr>
                <w:rFonts w:ascii="Calibri" w:hAnsi="Calibri" w:eastAsia="Calibri" w:cs="Calibri"/>
                <w:b w:val="0"/>
                <w:bCs w:val="0"/>
                <w:i w:val="0"/>
                <w:iCs w:val="0"/>
                <w:color w:val="000000" w:themeColor="text1" w:themeTint="FF" w:themeShade="FF"/>
                <w:sz w:val="21"/>
                <w:szCs w:val="21"/>
                <w:lang w:val="en-US"/>
              </w:rPr>
              <w:t>1</w:t>
            </w:r>
          </w:p>
        </w:tc>
        <w:tc>
          <w:tcPr>
            <w:tcW w:w="1110" w:type="dxa"/>
            <w:tcMar>
              <w:left w:w="105" w:type="dxa"/>
              <w:right w:w="105" w:type="dxa"/>
            </w:tcMar>
            <w:vAlign w:val="center"/>
          </w:tcPr>
          <w:p w:rsidR="7D26841A" w:rsidP="7D26841A" w:rsidRDefault="7D26841A" w14:paraId="1161C8AC" w14:textId="1F00659B">
            <w:pPr>
              <w:jc w:val="right"/>
              <w:rPr>
                <w:rFonts w:ascii="Calibri" w:hAnsi="Calibri" w:eastAsia="Calibri" w:cs="Calibri"/>
                <w:b w:val="0"/>
                <w:bCs w:val="0"/>
                <w:i w:val="0"/>
                <w:iCs w:val="0"/>
                <w:color w:val="000000" w:themeColor="text1" w:themeTint="FF" w:themeShade="FF"/>
                <w:sz w:val="21"/>
                <w:szCs w:val="21"/>
              </w:rPr>
            </w:pPr>
          </w:p>
        </w:tc>
        <w:tc>
          <w:tcPr>
            <w:tcW w:w="1035" w:type="dxa"/>
            <w:tcMar>
              <w:left w:w="105" w:type="dxa"/>
              <w:right w:w="105" w:type="dxa"/>
            </w:tcMar>
            <w:vAlign w:val="center"/>
          </w:tcPr>
          <w:p w:rsidR="7D26841A" w:rsidP="7D26841A" w:rsidRDefault="7D26841A" w14:paraId="79ED97F4" w14:textId="1275F293">
            <w:pPr>
              <w:jc w:val="right"/>
              <w:rPr>
                <w:rFonts w:ascii="Calibri" w:hAnsi="Calibri" w:eastAsia="Calibri" w:cs="Calibri"/>
                <w:b w:val="0"/>
                <w:bCs w:val="0"/>
                <w:i w:val="0"/>
                <w:iCs w:val="0"/>
                <w:color w:val="000000" w:themeColor="text1" w:themeTint="FF" w:themeShade="FF"/>
                <w:sz w:val="21"/>
                <w:szCs w:val="21"/>
              </w:rPr>
            </w:pPr>
          </w:p>
        </w:tc>
      </w:tr>
    </w:tbl>
    <w:p w:rsidR="7D26841A" w:rsidP="7D26841A" w:rsidRDefault="7D26841A" w14:paraId="1625A36F" w14:textId="3A8B4E03">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14F77A77" w:rsidP="7D26841A" w:rsidRDefault="14F77A77" w14:paraId="0D61A0C2" w14:textId="2B10255A">
      <w:pPr>
        <w:pStyle w:val="NoSpacing"/>
        <w:jc w:val="both"/>
        <w:rPr>
          <w:rFonts w:ascii="Calibri" w:hAnsi="Calibri" w:eastAsia="Calibri" w:cs="Calibri"/>
          <w:b w:val="0"/>
          <w:bCs w:val="0"/>
          <w:i w:val="0"/>
          <w:iCs w:val="0"/>
          <w:caps w:val="0"/>
          <w:smallCaps w:val="0"/>
          <w:noProof w:val="0"/>
          <w:color w:val="7F7F7F" w:themeColor="text1" w:themeTint="80" w:themeShade="FF"/>
          <w:sz w:val="14"/>
          <w:szCs w:val="14"/>
          <w:lang w:val="en-US"/>
        </w:rPr>
      </w:pP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Supplementary Table 4.</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xml:space="preserve"> Performance Metrics for </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XGBoost</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xml:space="preserve"> Model Across Fishing Data Subsets. This table provides the predictive performance metrics of an </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XGBoost</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xml:space="preserve"> classification model for two distinct subsets of fishing gill nets and other gear data. The metrics collectively reflect the model’s ability to discriminate between Fishery Nutrient Profiles, its overall accuracy, and the balance between the sensitivity and specificity for each subset.</w:t>
      </w:r>
    </w:p>
    <w:tbl>
      <w:tblPr>
        <w:tblStyle w:val="TableNormal"/>
        <w:tblW w:w="0" w:type="auto"/>
        <w:tblBorders>
          <w:top w:val="single" w:sz="6"/>
          <w:left w:val="single" w:sz="6"/>
          <w:bottom w:val="single" w:sz="6"/>
          <w:right w:val="single" w:sz="6"/>
        </w:tblBorders>
        <w:tblLayout w:type="fixed"/>
        <w:tblLook w:val="06A0" w:firstRow="1" w:lastRow="0" w:firstColumn="1" w:lastColumn="0" w:noHBand="1" w:noVBand="1"/>
      </w:tblPr>
      <w:tblGrid>
        <w:gridCol w:w="2295"/>
        <w:gridCol w:w="4590"/>
        <w:gridCol w:w="900"/>
        <w:gridCol w:w="1320"/>
      </w:tblGrid>
      <w:tr w:rsidR="7D26841A" w:rsidTr="7D26841A" w14:paraId="791CBFD0">
        <w:trPr>
          <w:trHeight w:val="300"/>
        </w:trPr>
        <w:tc>
          <w:tcPr>
            <w:tcW w:w="2295" w:type="dxa"/>
            <w:tcBorders>
              <w:top w:val="single" w:color="808080" w:themeColor="background1" w:themeShade="80" w:sz="6"/>
              <w:left w:val="single" w:color="808080" w:themeColor="background1" w:themeShade="80" w:sz="6"/>
              <w:bottom w:val="single" w:color="76716C" w:sz="6"/>
              <w:right w:val="single" w:sz="0"/>
            </w:tcBorders>
            <w:tcMar>
              <w:top w:w="60" w:type="dxa"/>
              <w:left w:w="60" w:type="dxa"/>
              <w:bottom w:w="60" w:type="dxa"/>
              <w:right w:w="60" w:type="dxa"/>
            </w:tcMar>
            <w:vAlign w:val="top"/>
          </w:tcPr>
          <w:p w:rsidR="7D26841A" w:rsidP="7D26841A" w:rsidRDefault="7D26841A" w14:paraId="0FE23CAB" w14:textId="16F73CCD">
            <w:pPr>
              <w:jc w:val="center"/>
              <w:rPr>
                <w:rFonts w:ascii="Helvetica Neue" w:hAnsi="Helvetica Neue" w:eastAsia="Helvetica Neue" w:cs="Helvetica Neue"/>
                <w:b w:val="0"/>
                <w:bCs w:val="0"/>
                <w:i w:val="0"/>
                <w:iCs w:val="0"/>
                <w:color w:val="262626" w:themeColor="text1" w:themeTint="D9" w:themeShade="FF"/>
                <w:sz w:val="15"/>
                <w:szCs w:val="15"/>
              </w:rPr>
            </w:pPr>
            <w:r w:rsidRPr="7D26841A" w:rsidR="7D26841A">
              <w:rPr>
                <w:rFonts w:ascii="Helvetica Neue" w:hAnsi="Helvetica Neue" w:eastAsia="Helvetica Neue" w:cs="Helvetica Neue"/>
                <w:b w:val="1"/>
                <w:bCs w:val="1"/>
                <w:i w:val="0"/>
                <w:iCs w:val="0"/>
                <w:color w:val="262626" w:themeColor="text1" w:themeTint="D9" w:themeShade="FF"/>
                <w:sz w:val="15"/>
                <w:szCs w:val="15"/>
                <w:lang w:val="en-US"/>
              </w:rPr>
              <w:t>Metric</w:t>
            </w:r>
          </w:p>
        </w:tc>
        <w:tc>
          <w:tcPr>
            <w:tcW w:w="4590" w:type="dxa"/>
            <w:tcBorders>
              <w:top w:val="single" w:color="808080" w:themeColor="background1" w:themeShade="80" w:sz="6"/>
              <w:left w:val="single" w:sz="0"/>
              <w:bottom w:val="single" w:color="76716C" w:sz="6"/>
              <w:right w:val="single" w:sz="0"/>
            </w:tcBorders>
            <w:tcMar>
              <w:top w:w="60" w:type="dxa"/>
              <w:left w:w="60" w:type="dxa"/>
              <w:bottom w:w="60" w:type="dxa"/>
              <w:right w:w="60" w:type="dxa"/>
            </w:tcMar>
            <w:vAlign w:val="top"/>
          </w:tcPr>
          <w:p w:rsidR="7D26841A" w:rsidP="7D26841A" w:rsidRDefault="7D26841A" w14:paraId="2CF30E30" w14:textId="6A4F2488">
            <w:pPr>
              <w:jc w:val="center"/>
              <w:rPr>
                <w:rFonts w:ascii="Helvetica Neue" w:hAnsi="Helvetica Neue" w:eastAsia="Helvetica Neue" w:cs="Helvetica Neue"/>
                <w:b w:val="0"/>
                <w:bCs w:val="0"/>
                <w:i w:val="0"/>
                <w:iCs w:val="0"/>
                <w:color w:val="262626" w:themeColor="text1" w:themeTint="D9" w:themeShade="FF"/>
                <w:sz w:val="15"/>
                <w:szCs w:val="15"/>
              </w:rPr>
            </w:pPr>
            <w:r w:rsidRPr="7D26841A" w:rsidR="7D26841A">
              <w:rPr>
                <w:rFonts w:ascii="Helvetica Neue" w:hAnsi="Helvetica Neue" w:eastAsia="Helvetica Neue" w:cs="Helvetica Neue"/>
                <w:b w:val="1"/>
                <w:bCs w:val="1"/>
                <w:i w:val="0"/>
                <w:iCs w:val="0"/>
                <w:color w:val="262626" w:themeColor="text1" w:themeTint="D9" w:themeShade="FF"/>
                <w:sz w:val="15"/>
                <w:szCs w:val="15"/>
                <w:lang w:val="en-US"/>
              </w:rPr>
              <w:t>Description</w:t>
            </w:r>
          </w:p>
        </w:tc>
        <w:tc>
          <w:tcPr>
            <w:tcW w:w="900" w:type="dxa"/>
            <w:tcBorders>
              <w:top w:val="single" w:color="808080" w:themeColor="background1" w:themeShade="80" w:sz="6"/>
              <w:left w:val="single" w:sz="0"/>
              <w:bottom w:val="single" w:color="76716C" w:sz="6"/>
              <w:right w:val="single" w:sz="0"/>
            </w:tcBorders>
            <w:tcMar>
              <w:top w:w="60" w:type="dxa"/>
              <w:left w:w="60" w:type="dxa"/>
              <w:bottom w:w="60" w:type="dxa"/>
              <w:right w:w="60" w:type="dxa"/>
            </w:tcMar>
            <w:vAlign w:val="top"/>
          </w:tcPr>
          <w:p w:rsidR="7D26841A" w:rsidP="7D26841A" w:rsidRDefault="7D26841A" w14:paraId="70A322BF" w14:textId="47EE2997">
            <w:pPr>
              <w:jc w:val="center"/>
              <w:rPr>
                <w:rFonts w:ascii="Helvetica Neue" w:hAnsi="Helvetica Neue" w:eastAsia="Helvetica Neue" w:cs="Helvetica Neue"/>
                <w:b w:val="0"/>
                <w:bCs w:val="0"/>
                <w:i w:val="0"/>
                <w:iCs w:val="0"/>
                <w:color w:val="262626" w:themeColor="text1" w:themeTint="D9" w:themeShade="FF"/>
                <w:sz w:val="15"/>
                <w:szCs w:val="15"/>
              </w:rPr>
            </w:pPr>
            <w:r w:rsidRPr="7D26841A" w:rsidR="7D26841A">
              <w:rPr>
                <w:rFonts w:ascii="Helvetica Neue" w:hAnsi="Helvetica Neue" w:eastAsia="Helvetica Neue" w:cs="Helvetica Neue"/>
                <w:b w:val="1"/>
                <w:bCs w:val="1"/>
                <w:i w:val="0"/>
                <w:iCs w:val="0"/>
                <w:color w:val="262626" w:themeColor="text1" w:themeTint="D9" w:themeShade="FF"/>
                <w:sz w:val="15"/>
                <w:szCs w:val="15"/>
                <w:lang w:val="en-US"/>
              </w:rPr>
              <w:t>Gill nets</w:t>
            </w:r>
          </w:p>
        </w:tc>
        <w:tc>
          <w:tcPr>
            <w:tcW w:w="1320" w:type="dxa"/>
            <w:tcBorders>
              <w:top w:val="single" w:color="808080" w:themeColor="background1" w:themeShade="80" w:sz="6"/>
              <w:left w:val="single" w:sz="0"/>
              <w:bottom w:val="single" w:color="76716C" w:sz="6"/>
              <w:right w:val="single" w:color="808080" w:themeColor="background1" w:themeShade="80" w:sz="6"/>
            </w:tcBorders>
            <w:tcMar>
              <w:top w:w="60" w:type="dxa"/>
              <w:left w:w="60" w:type="dxa"/>
              <w:bottom w:w="60" w:type="dxa"/>
              <w:right w:w="60" w:type="dxa"/>
            </w:tcMar>
            <w:vAlign w:val="top"/>
          </w:tcPr>
          <w:p w:rsidR="7D26841A" w:rsidP="7D26841A" w:rsidRDefault="7D26841A" w14:paraId="7E6EA48C" w14:textId="3907E249">
            <w:pPr>
              <w:jc w:val="center"/>
              <w:rPr>
                <w:rFonts w:ascii="Helvetica Neue" w:hAnsi="Helvetica Neue" w:eastAsia="Helvetica Neue" w:cs="Helvetica Neue"/>
                <w:b w:val="0"/>
                <w:bCs w:val="0"/>
                <w:i w:val="0"/>
                <w:iCs w:val="0"/>
                <w:color w:val="262626" w:themeColor="text1" w:themeTint="D9" w:themeShade="FF"/>
                <w:sz w:val="15"/>
                <w:szCs w:val="15"/>
              </w:rPr>
            </w:pPr>
            <w:r w:rsidRPr="7D26841A" w:rsidR="7D26841A">
              <w:rPr>
                <w:rFonts w:ascii="Helvetica Neue" w:hAnsi="Helvetica Neue" w:eastAsia="Helvetica Neue" w:cs="Helvetica Neue"/>
                <w:b w:val="1"/>
                <w:bCs w:val="1"/>
                <w:i w:val="0"/>
                <w:iCs w:val="0"/>
                <w:color w:val="262626" w:themeColor="text1" w:themeTint="D9" w:themeShade="FF"/>
                <w:sz w:val="15"/>
                <w:szCs w:val="15"/>
                <w:lang w:val="en-US"/>
              </w:rPr>
              <w:t>Other gears</w:t>
            </w:r>
          </w:p>
        </w:tc>
      </w:tr>
      <w:tr w:rsidR="7D26841A" w:rsidTr="7D26841A" w14:paraId="39812BA9">
        <w:trPr>
          <w:trHeight w:val="300"/>
        </w:trPr>
        <w:tc>
          <w:tcPr>
            <w:tcW w:w="2295" w:type="dxa"/>
            <w:tcBorders>
              <w:top w:val="single" w:color="76716C" w:sz="6"/>
              <w:left w:val="single" w:color="808080" w:themeColor="background1" w:themeShade="80" w:sz="6"/>
              <w:bottom w:val="single" w:sz="0"/>
              <w:right w:val="single" w:sz="0"/>
            </w:tcBorders>
            <w:tcMar>
              <w:top w:w="60" w:type="dxa"/>
              <w:left w:w="60" w:type="dxa"/>
              <w:bottom w:w="60" w:type="dxa"/>
              <w:right w:w="60" w:type="dxa"/>
            </w:tcMar>
            <w:vAlign w:val="top"/>
          </w:tcPr>
          <w:p w:rsidR="7D26841A" w:rsidP="7D26841A" w:rsidRDefault="7D26841A" w14:paraId="2B226B3D" w14:textId="1B99D7A4">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ROC AUC Score</w:t>
            </w:r>
          </w:p>
        </w:tc>
        <w:tc>
          <w:tcPr>
            <w:tcW w:w="4590" w:type="dxa"/>
            <w:tcBorders>
              <w:top w:val="single" w:color="76716C" w:sz="6"/>
              <w:left w:val="single" w:sz="0"/>
              <w:bottom w:val="single" w:sz="0"/>
              <w:right w:val="single" w:sz="0"/>
            </w:tcBorders>
            <w:tcMar>
              <w:top w:w="60" w:type="dxa"/>
              <w:left w:w="60" w:type="dxa"/>
              <w:bottom w:w="60" w:type="dxa"/>
              <w:right w:w="60" w:type="dxa"/>
            </w:tcMar>
            <w:vAlign w:val="top"/>
          </w:tcPr>
          <w:p w:rsidR="7D26841A" w:rsidP="7D26841A" w:rsidRDefault="7D26841A" w14:paraId="310514FD" w14:textId="2FB4BAD5">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Measures overall model performance, with 1 being perfect</w:t>
            </w:r>
          </w:p>
        </w:tc>
        <w:tc>
          <w:tcPr>
            <w:tcW w:w="900" w:type="dxa"/>
            <w:tcBorders>
              <w:top w:val="single" w:color="76716C" w:sz="6"/>
              <w:left w:val="single" w:sz="0"/>
              <w:bottom w:val="single" w:sz="0"/>
              <w:right w:val="single" w:sz="0"/>
            </w:tcBorders>
            <w:tcMar>
              <w:top w:w="60" w:type="dxa"/>
              <w:left w:w="60" w:type="dxa"/>
              <w:bottom w:w="60" w:type="dxa"/>
              <w:right w:w="60" w:type="dxa"/>
            </w:tcMar>
            <w:vAlign w:val="top"/>
          </w:tcPr>
          <w:p w:rsidR="7D26841A" w:rsidP="7D26841A" w:rsidRDefault="7D26841A" w14:paraId="6E52321E" w14:textId="5C71EDCE">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0.92</w:t>
            </w:r>
          </w:p>
        </w:tc>
        <w:tc>
          <w:tcPr>
            <w:tcW w:w="1320" w:type="dxa"/>
            <w:tcBorders>
              <w:top w:val="single" w:color="76716C" w:sz="6"/>
              <w:left w:val="single" w:sz="0"/>
              <w:bottom w:val="single" w:sz="0"/>
              <w:right w:val="single" w:color="808080" w:themeColor="background1" w:themeShade="80" w:sz="6"/>
            </w:tcBorders>
            <w:tcMar>
              <w:top w:w="60" w:type="dxa"/>
              <w:left w:w="60" w:type="dxa"/>
              <w:bottom w:w="60" w:type="dxa"/>
              <w:right w:w="60" w:type="dxa"/>
            </w:tcMar>
            <w:vAlign w:val="top"/>
          </w:tcPr>
          <w:p w:rsidR="7D26841A" w:rsidP="7D26841A" w:rsidRDefault="7D26841A" w14:paraId="0A1F4B7B" w14:textId="74BAC07E">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0.91</w:t>
            </w:r>
          </w:p>
        </w:tc>
      </w:tr>
      <w:tr w:rsidR="7D26841A" w:rsidTr="7D26841A" w14:paraId="252076CC">
        <w:trPr>
          <w:trHeight w:val="300"/>
        </w:trPr>
        <w:tc>
          <w:tcPr>
            <w:tcW w:w="2295" w:type="dxa"/>
            <w:tcBorders>
              <w:top w:val="single" w:sz="0"/>
              <w:left w:val="single" w:color="808080" w:themeColor="background1" w:themeShade="80" w:sz="6"/>
              <w:bottom w:val="single" w:sz="0"/>
              <w:right w:val="single" w:sz="0"/>
            </w:tcBorders>
            <w:tcMar>
              <w:top w:w="60" w:type="dxa"/>
              <w:left w:w="60" w:type="dxa"/>
              <w:bottom w:w="60" w:type="dxa"/>
              <w:right w:w="60" w:type="dxa"/>
            </w:tcMar>
            <w:vAlign w:val="top"/>
          </w:tcPr>
          <w:p w:rsidR="7D26841A" w:rsidP="7D26841A" w:rsidRDefault="7D26841A" w14:paraId="0C4EE2D9" w14:textId="2DADA67A">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Accuracy</w:t>
            </w:r>
          </w:p>
        </w:tc>
        <w:tc>
          <w:tcPr>
            <w:tcW w:w="4590" w:type="dxa"/>
            <w:tcMar>
              <w:top w:w="60" w:type="dxa"/>
              <w:left w:w="60" w:type="dxa"/>
              <w:bottom w:w="60" w:type="dxa"/>
              <w:right w:w="60" w:type="dxa"/>
            </w:tcMar>
            <w:vAlign w:val="top"/>
          </w:tcPr>
          <w:p w:rsidR="7D26841A" w:rsidP="7D26841A" w:rsidRDefault="7D26841A" w14:paraId="77377509" w14:textId="1718A0C2">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Proportion of correct predictions</w:t>
            </w:r>
          </w:p>
        </w:tc>
        <w:tc>
          <w:tcPr>
            <w:tcW w:w="900" w:type="dxa"/>
            <w:tcMar>
              <w:top w:w="60" w:type="dxa"/>
              <w:left w:w="60" w:type="dxa"/>
              <w:bottom w:w="60" w:type="dxa"/>
              <w:right w:w="60" w:type="dxa"/>
            </w:tcMar>
            <w:vAlign w:val="top"/>
          </w:tcPr>
          <w:p w:rsidR="7D26841A" w:rsidP="7D26841A" w:rsidRDefault="7D26841A" w14:paraId="0A776FE7" w14:textId="25A8C619">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0.76</w:t>
            </w:r>
          </w:p>
        </w:tc>
        <w:tc>
          <w:tcPr>
            <w:tcW w:w="1320" w:type="dxa"/>
            <w:tcBorders>
              <w:top w:val="single" w:sz="0"/>
              <w:left w:val="single" w:sz="0"/>
              <w:bottom w:val="single" w:sz="0"/>
              <w:right w:val="single" w:color="808080" w:themeColor="background1" w:themeShade="80" w:sz="6"/>
            </w:tcBorders>
            <w:tcMar>
              <w:top w:w="60" w:type="dxa"/>
              <w:left w:w="60" w:type="dxa"/>
              <w:bottom w:w="60" w:type="dxa"/>
              <w:right w:w="60" w:type="dxa"/>
            </w:tcMar>
            <w:vAlign w:val="top"/>
          </w:tcPr>
          <w:p w:rsidR="7D26841A" w:rsidP="7D26841A" w:rsidRDefault="7D26841A" w14:paraId="6365BBC7" w14:textId="519FBDD9">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0.8</w:t>
            </w:r>
          </w:p>
        </w:tc>
      </w:tr>
      <w:tr w:rsidR="7D26841A" w:rsidTr="7D26841A" w14:paraId="2C151B62">
        <w:trPr>
          <w:trHeight w:val="300"/>
        </w:trPr>
        <w:tc>
          <w:tcPr>
            <w:tcW w:w="2295" w:type="dxa"/>
            <w:tcBorders>
              <w:top w:val="single" w:sz="0"/>
              <w:left w:val="single" w:color="808080" w:themeColor="background1" w:themeShade="80" w:sz="6"/>
              <w:bottom w:val="single" w:sz="0"/>
              <w:right w:val="single" w:sz="0"/>
            </w:tcBorders>
            <w:tcMar>
              <w:top w:w="60" w:type="dxa"/>
              <w:left w:w="60" w:type="dxa"/>
              <w:bottom w:w="60" w:type="dxa"/>
              <w:right w:w="60" w:type="dxa"/>
            </w:tcMar>
            <w:vAlign w:val="top"/>
          </w:tcPr>
          <w:p w:rsidR="7D26841A" w:rsidP="7D26841A" w:rsidRDefault="7D26841A" w14:paraId="0F06E910" w14:textId="642AF11D">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Kappa Statistic</w:t>
            </w:r>
          </w:p>
        </w:tc>
        <w:tc>
          <w:tcPr>
            <w:tcW w:w="4590" w:type="dxa"/>
            <w:tcMar>
              <w:top w:w="60" w:type="dxa"/>
              <w:left w:w="60" w:type="dxa"/>
              <w:bottom w:w="60" w:type="dxa"/>
              <w:right w:w="60" w:type="dxa"/>
            </w:tcMar>
            <w:vAlign w:val="top"/>
          </w:tcPr>
          <w:p w:rsidR="7D26841A" w:rsidP="7D26841A" w:rsidRDefault="7D26841A" w14:paraId="15A824AB" w14:textId="39139ED3">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Agreement between predicted and actual values beyond chance</w:t>
            </w:r>
          </w:p>
        </w:tc>
        <w:tc>
          <w:tcPr>
            <w:tcW w:w="900" w:type="dxa"/>
            <w:tcMar>
              <w:top w:w="60" w:type="dxa"/>
              <w:left w:w="60" w:type="dxa"/>
              <w:bottom w:w="60" w:type="dxa"/>
              <w:right w:w="60" w:type="dxa"/>
            </w:tcMar>
            <w:vAlign w:val="top"/>
          </w:tcPr>
          <w:p w:rsidR="7D26841A" w:rsidP="7D26841A" w:rsidRDefault="7D26841A" w14:paraId="3D2C57AC" w14:textId="311979B6">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0.62</w:t>
            </w:r>
          </w:p>
        </w:tc>
        <w:tc>
          <w:tcPr>
            <w:tcW w:w="1320" w:type="dxa"/>
            <w:tcBorders>
              <w:top w:val="single" w:sz="0"/>
              <w:left w:val="single" w:sz="0"/>
              <w:bottom w:val="single" w:sz="0"/>
              <w:right w:val="single" w:color="808080" w:themeColor="background1" w:themeShade="80" w:sz="6"/>
            </w:tcBorders>
            <w:tcMar>
              <w:top w:w="60" w:type="dxa"/>
              <w:left w:w="60" w:type="dxa"/>
              <w:bottom w:w="60" w:type="dxa"/>
              <w:right w:w="60" w:type="dxa"/>
            </w:tcMar>
            <w:vAlign w:val="top"/>
          </w:tcPr>
          <w:p w:rsidR="7D26841A" w:rsidP="7D26841A" w:rsidRDefault="7D26841A" w14:paraId="03570523" w14:textId="0D4F4280">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0.7</w:t>
            </w:r>
          </w:p>
        </w:tc>
      </w:tr>
      <w:tr w:rsidR="7D26841A" w:rsidTr="7D26841A" w14:paraId="02AB6E18">
        <w:trPr>
          <w:trHeight w:val="300"/>
        </w:trPr>
        <w:tc>
          <w:tcPr>
            <w:tcW w:w="2295" w:type="dxa"/>
            <w:tcBorders>
              <w:top w:val="single" w:sz="0"/>
              <w:left w:val="single" w:color="808080" w:themeColor="background1" w:themeShade="80" w:sz="6"/>
              <w:bottom w:val="single" w:sz="0"/>
              <w:right w:val="single" w:sz="0"/>
            </w:tcBorders>
            <w:tcMar>
              <w:top w:w="60" w:type="dxa"/>
              <w:left w:w="60" w:type="dxa"/>
              <w:bottom w:w="60" w:type="dxa"/>
              <w:right w:w="60" w:type="dxa"/>
            </w:tcMar>
            <w:vAlign w:val="top"/>
          </w:tcPr>
          <w:p w:rsidR="7D26841A" w:rsidP="7D26841A" w:rsidRDefault="7D26841A" w14:paraId="41E1F083" w14:textId="1A337B77">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Recall</w:t>
            </w:r>
          </w:p>
        </w:tc>
        <w:tc>
          <w:tcPr>
            <w:tcW w:w="4590" w:type="dxa"/>
            <w:tcMar>
              <w:top w:w="60" w:type="dxa"/>
              <w:left w:w="60" w:type="dxa"/>
              <w:bottom w:w="60" w:type="dxa"/>
              <w:right w:w="60" w:type="dxa"/>
            </w:tcMar>
            <w:vAlign w:val="top"/>
          </w:tcPr>
          <w:p w:rsidR="7D26841A" w:rsidP="7D26841A" w:rsidRDefault="7D26841A" w14:paraId="42FD56DF" w14:textId="576AB4F0">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Ability to correctly identify positive cases (true positives)</w:t>
            </w:r>
          </w:p>
        </w:tc>
        <w:tc>
          <w:tcPr>
            <w:tcW w:w="900" w:type="dxa"/>
            <w:tcMar>
              <w:top w:w="60" w:type="dxa"/>
              <w:left w:w="60" w:type="dxa"/>
              <w:bottom w:w="60" w:type="dxa"/>
              <w:right w:w="60" w:type="dxa"/>
            </w:tcMar>
            <w:vAlign w:val="top"/>
          </w:tcPr>
          <w:p w:rsidR="7D26841A" w:rsidP="7D26841A" w:rsidRDefault="7D26841A" w14:paraId="5E668B5D" w14:textId="7DA55970">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0.77</w:t>
            </w:r>
          </w:p>
        </w:tc>
        <w:tc>
          <w:tcPr>
            <w:tcW w:w="1320" w:type="dxa"/>
            <w:tcBorders>
              <w:top w:val="single" w:sz="0"/>
              <w:left w:val="single" w:sz="0"/>
              <w:bottom w:val="single" w:sz="0"/>
              <w:right w:val="single" w:color="808080" w:themeColor="background1" w:themeShade="80" w:sz="6"/>
            </w:tcBorders>
            <w:tcMar>
              <w:top w:w="60" w:type="dxa"/>
              <w:left w:w="60" w:type="dxa"/>
              <w:bottom w:w="60" w:type="dxa"/>
              <w:right w:w="60" w:type="dxa"/>
            </w:tcMar>
            <w:vAlign w:val="top"/>
          </w:tcPr>
          <w:p w:rsidR="7D26841A" w:rsidP="7D26841A" w:rsidRDefault="7D26841A" w14:paraId="4BB918B0" w14:textId="6F975F87">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0.81</w:t>
            </w:r>
          </w:p>
        </w:tc>
      </w:tr>
      <w:tr w:rsidR="7D26841A" w:rsidTr="7D26841A" w14:paraId="59DB0AEF">
        <w:trPr>
          <w:trHeight w:val="300"/>
        </w:trPr>
        <w:tc>
          <w:tcPr>
            <w:tcW w:w="2295" w:type="dxa"/>
            <w:tcBorders>
              <w:top w:val="single" w:sz="0"/>
              <w:left w:val="single" w:color="808080" w:themeColor="background1" w:themeShade="80" w:sz="6"/>
              <w:bottom w:val="single" w:sz="0"/>
              <w:right w:val="single" w:sz="0"/>
            </w:tcBorders>
            <w:tcMar>
              <w:top w:w="60" w:type="dxa"/>
              <w:left w:w="60" w:type="dxa"/>
              <w:bottom w:w="60" w:type="dxa"/>
              <w:right w:w="60" w:type="dxa"/>
            </w:tcMar>
            <w:vAlign w:val="top"/>
          </w:tcPr>
          <w:p w:rsidR="7D26841A" w:rsidP="7D26841A" w:rsidRDefault="7D26841A" w14:paraId="1F8D3609" w14:textId="5BA3092B">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Specificity</w:t>
            </w:r>
          </w:p>
        </w:tc>
        <w:tc>
          <w:tcPr>
            <w:tcW w:w="4590" w:type="dxa"/>
            <w:tcMar>
              <w:top w:w="60" w:type="dxa"/>
              <w:left w:w="60" w:type="dxa"/>
              <w:bottom w:w="60" w:type="dxa"/>
              <w:right w:w="60" w:type="dxa"/>
            </w:tcMar>
            <w:vAlign w:val="top"/>
          </w:tcPr>
          <w:p w:rsidR="7D26841A" w:rsidP="7D26841A" w:rsidRDefault="7D26841A" w14:paraId="36B34557" w14:textId="440FBB03">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Ability to correctly identify negative cases (true negatives)</w:t>
            </w:r>
          </w:p>
        </w:tc>
        <w:tc>
          <w:tcPr>
            <w:tcW w:w="900" w:type="dxa"/>
            <w:tcMar>
              <w:top w:w="60" w:type="dxa"/>
              <w:left w:w="60" w:type="dxa"/>
              <w:bottom w:w="60" w:type="dxa"/>
              <w:right w:w="60" w:type="dxa"/>
            </w:tcMar>
            <w:vAlign w:val="top"/>
          </w:tcPr>
          <w:p w:rsidR="7D26841A" w:rsidP="7D26841A" w:rsidRDefault="7D26841A" w14:paraId="4E014C48" w14:textId="68C93F32">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0.88</w:t>
            </w:r>
          </w:p>
        </w:tc>
        <w:tc>
          <w:tcPr>
            <w:tcW w:w="1320" w:type="dxa"/>
            <w:tcBorders>
              <w:top w:val="single" w:sz="0"/>
              <w:left w:val="single" w:sz="0"/>
              <w:bottom w:val="single" w:sz="0"/>
              <w:right w:val="single" w:color="808080" w:themeColor="background1" w:themeShade="80" w:sz="6"/>
            </w:tcBorders>
            <w:tcMar>
              <w:top w:w="60" w:type="dxa"/>
              <w:left w:w="60" w:type="dxa"/>
              <w:bottom w:w="60" w:type="dxa"/>
              <w:right w:w="60" w:type="dxa"/>
            </w:tcMar>
            <w:vAlign w:val="top"/>
          </w:tcPr>
          <w:p w:rsidR="7D26841A" w:rsidP="7D26841A" w:rsidRDefault="7D26841A" w14:paraId="764AA119" w14:textId="05328D6C">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0.9</w:t>
            </w:r>
          </w:p>
        </w:tc>
      </w:tr>
      <w:tr w:rsidR="7D26841A" w:rsidTr="7D26841A" w14:paraId="5F15D209">
        <w:trPr>
          <w:trHeight w:val="300"/>
        </w:trPr>
        <w:tc>
          <w:tcPr>
            <w:tcW w:w="2295" w:type="dxa"/>
            <w:tcBorders>
              <w:top w:val="single" w:sz="0"/>
              <w:left w:val="single" w:color="808080" w:themeColor="background1" w:themeShade="80" w:sz="6"/>
              <w:bottom w:val="single" w:sz="0"/>
              <w:right w:val="single" w:sz="0"/>
            </w:tcBorders>
            <w:tcMar>
              <w:top w:w="60" w:type="dxa"/>
              <w:left w:w="60" w:type="dxa"/>
              <w:bottom w:w="60" w:type="dxa"/>
              <w:right w:w="60" w:type="dxa"/>
            </w:tcMar>
            <w:vAlign w:val="top"/>
          </w:tcPr>
          <w:p w:rsidR="7D26841A" w:rsidP="7D26841A" w:rsidRDefault="7D26841A" w14:paraId="6711CD61" w14:textId="10A578F4">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Precision</w:t>
            </w:r>
          </w:p>
        </w:tc>
        <w:tc>
          <w:tcPr>
            <w:tcW w:w="4590" w:type="dxa"/>
            <w:tcMar>
              <w:top w:w="60" w:type="dxa"/>
              <w:left w:w="60" w:type="dxa"/>
              <w:bottom w:w="60" w:type="dxa"/>
              <w:right w:w="60" w:type="dxa"/>
            </w:tcMar>
            <w:vAlign w:val="top"/>
          </w:tcPr>
          <w:p w:rsidR="7D26841A" w:rsidP="7D26841A" w:rsidRDefault="7D26841A" w14:paraId="0CA22513" w14:textId="6E672AD9">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Likelihood that positive prediction is correct</w:t>
            </w:r>
          </w:p>
        </w:tc>
        <w:tc>
          <w:tcPr>
            <w:tcW w:w="900" w:type="dxa"/>
            <w:tcMar>
              <w:top w:w="60" w:type="dxa"/>
              <w:left w:w="60" w:type="dxa"/>
              <w:bottom w:w="60" w:type="dxa"/>
              <w:right w:w="60" w:type="dxa"/>
            </w:tcMar>
            <w:vAlign w:val="top"/>
          </w:tcPr>
          <w:p w:rsidR="7D26841A" w:rsidP="7D26841A" w:rsidRDefault="7D26841A" w14:paraId="75F8FD27" w14:textId="4BBCFC97">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0.74</w:t>
            </w:r>
          </w:p>
        </w:tc>
        <w:tc>
          <w:tcPr>
            <w:tcW w:w="1320" w:type="dxa"/>
            <w:tcBorders>
              <w:top w:val="single" w:sz="0"/>
              <w:left w:val="single" w:sz="0"/>
              <w:bottom w:val="single" w:sz="0"/>
              <w:right w:val="single" w:color="808080" w:themeColor="background1" w:themeShade="80" w:sz="6"/>
            </w:tcBorders>
            <w:tcMar>
              <w:top w:w="60" w:type="dxa"/>
              <w:left w:w="60" w:type="dxa"/>
              <w:bottom w:w="60" w:type="dxa"/>
              <w:right w:w="60" w:type="dxa"/>
            </w:tcMar>
            <w:vAlign w:val="top"/>
          </w:tcPr>
          <w:p w:rsidR="7D26841A" w:rsidP="7D26841A" w:rsidRDefault="7D26841A" w14:paraId="55BDD8C6" w14:textId="4F8DBDA5">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0.8</w:t>
            </w:r>
          </w:p>
        </w:tc>
      </w:tr>
      <w:tr w:rsidR="7D26841A" w:rsidTr="7D26841A" w14:paraId="7408D7E5">
        <w:trPr>
          <w:trHeight w:val="300"/>
        </w:trPr>
        <w:tc>
          <w:tcPr>
            <w:tcW w:w="2295" w:type="dxa"/>
            <w:tcBorders>
              <w:top w:val="single" w:sz="0"/>
              <w:left w:val="single" w:color="808080" w:themeColor="background1" w:themeShade="80" w:sz="6"/>
              <w:bottom w:val="single" w:sz="0"/>
              <w:right w:val="single" w:sz="0"/>
            </w:tcBorders>
            <w:tcMar>
              <w:top w:w="60" w:type="dxa"/>
              <w:left w:w="60" w:type="dxa"/>
              <w:bottom w:w="60" w:type="dxa"/>
              <w:right w:w="60" w:type="dxa"/>
            </w:tcMar>
            <w:vAlign w:val="top"/>
          </w:tcPr>
          <w:p w:rsidR="7D26841A" w:rsidP="7D26841A" w:rsidRDefault="7D26841A" w14:paraId="62869A21" w14:textId="7FA1C98D">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Negative Predictive Value</w:t>
            </w:r>
          </w:p>
        </w:tc>
        <w:tc>
          <w:tcPr>
            <w:tcW w:w="4590" w:type="dxa"/>
            <w:tcMar>
              <w:top w:w="60" w:type="dxa"/>
              <w:left w:w="60" w:type="dxa"/>
              <w:bottom w:w="60" w:type="dxa"/>
              <w:right w:w="60" w:type="dxa"/>
            </w:tcMar>
            <w:vAlign w:val="top"/>
          </w:tcPr>
          <w:p w:rsidR="7D26841A" w:rsidP="7D26841A" w:rsidRDefault="7D26841A" w14:paraId="7C70B61A" w14:textId="17FBD968">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Likelihood that negative prediction is correct</w:t>
            </w:r>
          </w:p>
        </w:tc>
        <w:tc>
          <w:tcPr>
            <w:tcW w:w="900" w:type="dxa"/>
            <w:tcMar>
              <w:top w:w="60" w:type="dxa"/>
              <w:left w:w="60" w:type="dxa"/>
              <w:bottom w:w="60" w:type="dxa"/>
              <w:right w:w="60" w:type="dxa"/>
            </w:tcMar>
            <w:vAlign w:val="top"/>
          </w:tcPr>
          <w:p w:rsidR="7D26841A" w:rsidP="7D26841A" w:rsidRDefault="7D26841A" w14:paraId="538DC4DB" w14:textId="408B64C9">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0.87</w:t>
            </w:r>
          </w:p>
        </w:tc>
        <w:tc>
          <w:tcPr>
            <w:tcW w:w="1320" w:type="dxa"/>
            <w:tcBorders>
              <w:top w:val="single" w:sz="0"/>
              <w:left w:val="single" w:sz="0"/>
              <w:bottom w:val="single" w:sz="0"/>
              <w:right w:val="single" w:color="808080" w:themeColor="background1" w:themeShade="80" w:sz="6"/>
            </w:tcBorders>
            <w:tcMar>
              <w:top w:w="60" w:type="dxa"/>
              <w:left w:w="60" w:type="dxa"/>
              <w:bottom w:w="60" w:type="dxa"/>
              <w:right w:w="60" w:type="dxa"/>
            </w:tcMar>
            <w:vAlign w:val="top"/>
          </w:tcPr>
          <w:p w:rsidR="7D26841A" w:rsidP="7D26841A" w:rsidRDefault="7D26841A" w14:paraId="305A8618" w14:textId="22413C96">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0.9</w:t>
            </w:r>
          </w:p>
        </w:tc>
      </w:tr>
      <w:tr w:rsidR="7D26841A" w:rsidTr="7D26841A" w14:paraId="25A2A21E">
        <w:trPr>
          <w:trHeight w:val="300"/>
        </w:trPr>
        <w:tc>
          <w:tcPr>
            <w:tcW w:w="2295" w:type="dxa"/>
            <w:tcBorders>
              <w:top w:val="single" w:sz="0"/>
              <w:left w:val="single" w:color="808080" w:themeColor="background1" w:themeShade="80" w:sz="6"/>
              <w:bottom w:val="single" w:sz="0"/>
              <w:right w:val="single" w:sz="0"/>
            </w:tcBorders>
            <w:tcMar>
              <w:top w:w="60" w:type="dxa"/>
              <w:left w:w="60" w:type="dxa"/>
              <w:bottom w:w="60" w:type="dxa"/>
              <w:right w:w="60" w:type="dxa"/>
            </w:tcMar>
            <w:vAlign w:val="top"/>
          </w:tcPr>
          <w:p w:rsidR="7D26841A" w:rsidP="7D26841A" w:rsidRDefault="7D26841A" w14:paraId="119260F0" w14:textId="5AB258A8">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Youden's J Index</w:t>
            </w:r>
          </w:p>
        </w:tc>
        <w:tc>
          <w:tcPr>
            <w:tcW w:w="4590" w:type="dxa"/>
            <w:tcMar>
              <w:top w:w="60" w:type="dxa"/>
              <w:left w:w="60" w:type="dxa"/>
              <w:bottom w:w="60" w:type="dxa"/>
              <w:right w:w="60" w:type="dxa"/>
            </w:tcMar>
            <w:vAlign w:val="top"/>
          </w:tcPr>
          <w:p w:rsidR="7D26841A" w:rsidP="7D26841A" w:rsidRDefault="7D26841A" w14:paraId="358D2EE6" w14:textId="037DDDF2">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Sum of sensitivity and specificity minus 1, indicating effectiveness</w:t>
            </w:r>
          </w:p>
        </w:tc>
        <w:tc>
          <w:tcPr>
            <w:tcW w:w="900" w:type="dxa"/>
            <w:tcMar>
              <w:top w:w="60" w:type="dxa"/>
              <w:left w:w="60" w:type="dxa"/>
              <w:bottom w:w="60" w:type="dxa"/>
              <w:right w:w="60" w:type="dxa"/>
            </w:tcMar>
            <w:vAlign w:val="top"/>
          </w:tcPr>
          <w:p w:rsidR="7D26841A" w:rsidP="7D26841A" w:rsidRDefault="7D26841A" w14:paraId="246D6523" w14:textId="54FECE16">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0.65</w:t>
            </w:r>
          </w:p>
        </w:tc>
        <w:tc>
          <w:tcPr>
            <w:tcW w:w="1320" w:type="dxa"/>
            <w:tcBorders>
              <w:top w:val="single" w:sz="0"/>
              <w:left w:val="single" w:sz="0"/>
              <w:bottom w:val="single" w:sz="0"/>
              <w:right w:val="single" w:color="808080" w:themeColor="background1" w:themeShade="80" w:sz="6"/>
            </w:tcBorders>
            <w:tcMar>
              <w:top w:w="60" w:type="dxa"/>
              <w:left w:w="60" w:type="dxa"/>
              <w:bottom w:w="60" w:type="dxa"/>
              <w:right w:w="60" w:type="dxa"/>
            </w:tcMar>
            <w:vAlign w:val="top"/>
          </w:tcPr>
          <w:p w:rsidR="7D26841A" w:rsidP="7D26841A" w:rsidRDefault="7D26841A" w14:paraId="6D91D826" w14:textId="74E3E4E1">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0.71</w:t>
            </w:r>
          </w:p>
        </w:tc>
      </w:tr>
      <w:tr w:rsidR="7D26841A" w:rsidTr="7D26841A" w14:paraId="7CC45E5A">
        <w:trPr>
          <w:trHeight w:val="300"/>
        </w:trPr>
        <w:tc>
          <w:tcPr>
            <w:tcW w:w="2295" w:type="dxa"/>
            <w:tcBorders>
              <w:top w:val="single" w:sz="0"/>
              <w:left w:val="single" w:color="808080" w:themeColor="background1" w:themeShade="80" w:sz="6"/>
              <w:bottom w:val="single" w:sz="0"/>
              <w:right w:val="single" w:sz="0"/>
            </w:tcBorders>
            <w:tcMar>
              <w:top w:w="60" w:type="dxa"/>
              <w:left w:w="60" w:type="dxa"/>
              <w:bottom w:w="60" w:type="dxa"/>
              <w:right w:w="60" w:type="dxa"/>
            </w:tcMar>
            <w:vAlign w:val="top"/>
          </w:tcPr>
          <w:p w:rsidR="7D26841A" w:rsidP="7D26841A" w:rsidRDefault="7D26841A" w14:paraId="7DEB4EA6" w14:textId="7E00C1AB">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Balanced Accuracy</w:t>
            </w:r>
          </w:p>
        </w:tc>
        <w:tc>
          <w:tcPr>
            <w:tcW w:w="4590" w:type="dxa"/>
            <w:tcMar>
              <w:top w:w="60" w:type="dxa"/>
              <w:left w:w="60" w:type="dxa"/>
              <w:bottom w:w="60" w:type="dxa"/>
              <w:right w:w="60" w:type="dxa"/>
            </w:tcMar>
            <w:vAlign w:val="top"/>
          </w:tcPr>
          <w:p w:rsidR="7D26841A" w:rsidP="7D26841A" w:rsidRDefault="7D26841A" w14:paraId="45CABAEE" w14:textId="7E0C3272">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Average of sensitivity and specificity</w:t>
            </w:r>
          </w:p>
        </w:tc>
        <w:tc>
          <w:tcPr>
            <w:tcW w:w="900" w:type="dxa"/>
            <w:tcMar>
              <w:top w:w="60" w:type="dxa"/>
              <w:left w:w="60" w:type="dxa"/>
              <w:bottom w:w="60" w:type="dxa"/>
              <w:right w:w="60" w:type="dxa"/>
            </w:tcMar>
            <w:vAlign w:val="top"/>
          </w:tcPr>
          <w:p w:rsidR="7D26841A" w:rsidP="7D26841A" w:rsidRDefault="7D26841A" w14:paraId="07E002E3" w14:textId="2F2C266C">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0.82</w:t>
            </w:r>
          </w:p>
        </w:tc>
        <w:tc>
          <w:tcPr>
            <w:tcW w:w="1320" w:type="dxa"/>
            <w:tcBorders>
              <w:top w:val="single" w:sz="0"/>
              <w:left w:val="single" w:sz="0"/>
              <w:bottom w:val="single" w:sz="0"/>
              <w:right w:val="single" w:color="808080" w:themeColor="background1" w:themeShade="80" w:sz="6"/>
            </w:tcBorders>
            <w:tcMar>
              <w:top w:w="60" w:type="dxa"/>
              <w:left w:w="60" w:type="dxa"/>
              <w:bottom w:w="60" w:type="dxa"/>
              <w:right w:w="60" w:type="dxa"/>
            </w:tcMar>
            <w:vAlign w:val="top"/>
          </w:tcPr>
          <w:p w:rsidR="7D26841A" w:rsidP="7D26841A" w:rsidRDefault="7D26841A" w14:paraId="2E9A980B" w14:textId="77190E4A">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0.86</w:t>
            </w:r>
          </w:p>
        </w:tc>
      </w:tr>
      <w:tr w:rsidR="7D26841A" w:rsidTr="7D26841A" w14:paraId="389B90C4">
        <w:trPr>
          <w:trHeight w:val="300"/>
        </w:trPr>
        <w:tc>
          <w:tcPr>
            <w:tcW w:w="2295" w:type="dxa"/>
            <w:tcBorders>
              <w:top w:val="single" w:sz="0"/>
              <w:left w:val="single" w:color="808080" w:themeColor="background1" w:themeShade="80" w:sz="6"/>
              <w:bottom w:val="single" w:sz="0"/>
              <w:right w:val="single" w:sz="0"/>
            </w:tcBorders>
            <w:tcMar>
              <w:top w:w="60" w:type="dxa"/>
              <w:left w:w="60" w:type="dxa"/>
              <w:bottom w:w="60" w:type="dxa"/>
              <w:right w:w="60" w:type="dxa"/>
            </w:tcMar>
            <w:vAlign w:val="top"/>
          </w:tcPr>
          <w:p w:rsidR="7D26841A" w:rsidP="7D26841A" w:rsidRDefault="7D26841A" w14:paraId="71AB205F" w14:textId="76FA81D6">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Detection Prevalence</w:t>
            </w:r>
          </w:p>
        </w:tc>
        <w:tc>
          <w:tcPr>
            <w:tcW w:w="4590" w:type="dxa"/>
            <w:tcMar>
              <w:top w:w="60" w:type="dxa"/>
              <w:left w:w="60" w:type="dxa"/>
              <w:bottom w:w="60" w:type="dxa"/>
              <w:right w:w="60" w:type="dxa"/>
            </w:tcMar>
            <w:vAlign w:val="top"/>
          </w:tcPr>
          <w:p w:rsidR="7D26841A" w:rsidP="7D26841A" w:rsidRDefault="7D26841A" w14:paraId="17862989" w14:textId="381688AB">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Proportion of cases predicted as positive</w:t>
            </w:r>
          </w:p>
        </w:tc>
        <w:tc>
          <w:tcPr>
            <w:tcW w:w="900" w:type="dxa"/>
            <w:tcMar>
              <w:top w:w="60" w:type="dxa"/>
              <w:left w:w="60" w:type="dxa"/>
              <w:bottom w:w="60" w:type="dxa"/>
              <w:right w:w="60" w:type="dxa"/>
            </w:tcMar>
            <w:vAlign w:val="top"/>
          </w:tcPr>
          <w:p w:rsidR="7D26841A" w:rsidP="7D26841A" w:rsidRDefault="7D26841A" w14:paraId="0162C729" w14:textId="3462F182">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0.33</w:t>
            </w:r>
          </w:p>
        </w:tc>
        <w:tc>
          <w:tcPr>
            <w:tcW w:w="1320" w:type="dxa"/>
            <w:tcBorders>
              <w:top w:val="single" w:sz="0"/>
              <w:left w:val="single" w:sz="0"/>
              <w:bottom w:val="single" w:sz="0"/>
              <w:right w:val="single" w:color="808080" w:themeColor="background1" w:themeShade="80" w:sz="6"/>
            </w:tcBorders>
            <w:tcMar>
              <w:top w:w="60" w:type="dxa"/>
              <w:left w:w="60" w:type="dxa"/>
              <w:bottom w:w="60" w:type="dxa"/>
              <w:right w:w="60" w:type="dxa"/>
            </w:tcMar>
            <w:vAlign w:val="top"/>
          </w:tcPr>
          <w:p w:rsidR="7D26841A" w:rsidP="7D26841A" w:rsidRDefault="7D26841A" w14:paraId="7C75E4BA" w14:textId="1C9A4660">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0.33</w:t>
            </w:r>
          </w:p>
        </w:tc>
      </w:tr>
      <w:tr w:rsidR="7D26841A" w:rsidTr="7D26841A" w14:paraId="21E873CC">
        <w:trPr>
          <w:trHeight w:val="300"/>
        </w:trPr>
        <w:tc>
          <w:tcPr>
            <w:tcW w:w="2295" w:type="dxa"/>
            <w:tcBorders>
              <w:top w:val="single" w:sz="0"/>
              <w:left w:val="single" w:color="808080" w:themeColor="background1" w:themeShade="80" w:sz="6"/>
              <w:bottom w:val="single" w:color="808080" w:themeColor="background1" w:themeShade="80" w:sz="6"/>
              <w:right w:val="single" w:sz="0"/>
            </w:tcBorders>
            <w:tcMar>
              <w:top w:w="60" w:type="dxa"/>
              <w:left w:w="60" w:type="dxa"/>
              <w:bottom w:w="60" w:type="dxa"/>
              <w:right w:w="60" w:type="dxa"/>
            </w:tcMar>
            <w:vAlign w:val="top"/>
          </w:tcPr>
          <w:p w:rsidR="7D26841A" w:rsidP="7D26841A" w:rsidRDefault="7D26841A" w14:paraId="12213B68" w14:textId="6D3E7B85">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F-measure</w:t>
            </w:r>
          </w:p>
        </w:tc>
        <w:tc>
          <w:tcPr>
            <w:tcW w:w="4590" w:type="dxa"/>
            <w:tcBorders>
              <w:top w:val="single" w:sz="0"/>
              <w:left w:val="single" w:sz="0"/>
              <w:bottom w:val="single" w:color="808080" w:themeColor="background1" w:themeShade="80" w:sz="6"/>
              <w:right w:val="single" w:sz="0"/>
            </w:tcBorders>
            <w:tcMar>
              <w:top w:w="60" w:type="dxa"/>
              <w:left w:w="60" w:type="dxa"/>
              <w:bottom w:w="60" w:type="dxa"/>
              <w:right w:w="60" w:type="dxa"/>
            </w:tcMar>
            <w:vAlign w:val="top"/>
          </w:tcPr>
          <w:p w:rsidR="7D26841A" w:rsidP="7D26841A" w:rsidRDefault="7D26841A" w14:paraId="7FE81510" w14:textId="6BF9B704">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Harmonic mean of Precision and Recall</w:t>
            </w:r>
          </w:p>
        </w:tc>
        <w:tc>
          <w:tcPr>
            <w:tcW w:w="900" w:type="dxa"/>
            <w:tcBorders>
              <w:top w:val="single" w:sz="0"/>
              <w:left w:val="single" w:sz="0"/>
              <w:bottom w:val="single" w:color="808080" w:themeColor="background1" w:themeShade="80" w:sz="6"/>
              <w:right w:val="single" w:sz="0"/>
            </w:tcBorders>
            <w:tcMar>
              <w:top w:w="60" w:type="dxa"/>
              <w:left w:w="60" w:type="dxa"/>
              <w:bottom w:w="60" w:type="dxa"/>
              <w:right w:w="60" w:type="dxa"/>
            </w:tcMar>
            <w:vAlign w:val="top"/>
          </w:tcPr>
          <w:p w:rsidR="7D26841A" w:rsidP="7D26841A" w:rsidRDefault="7D26841A" w14:paraId="22280F42" w14:textId="7E2EC331">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0.75</w:t>
            </w:r>
          </w:p>
        </w:tc>
        <w:tc>
          <w:tcPr>
            <w:tcW w:w="1320" w:type="dxa"/>
            <w:tcBorders>
              <w:top w:val="single" w:sz="0"/>
              <w:left w:val="single" w:sz="0"/>
              <w:bottom w:val="single" w:color="808080" w:themeColor="background1" w:themeShade="80" w:sz="6"/>
              <w:right w:val="single" w:color="808080" w:themeColor="background1" w:themeShade="80" w:sz="6"/>
            </w:tcBorders>
            <w:tcMar>
              <w:top w:w="60" w:type="dxa"/>
              <w:left w:w="60" w:type="dxa"/>
              <w:bottom w:w="60" w:type="dxa"/>
              <w:right w:w="60" w:type="dxa"/>
            </w:tcMar>
            <w:vAlign w:val="top"/>
          </w:tcPr>
          <w:p w:rsidR="7D26841A" w:rsidP="7D26841A" w:rsidRDefault="7D26841A" w14:paraId="547E5D47" w14:textId="79B20C41">
            <w:pPr>
              <w:jc w:val="center"/>
              <w:rPr>
                <w:rFonts w:ascii="Helvetica Neue" w:hAnsi="Helvetica Neue" w:eastAsia="Helvetica Neue" w:cs="Helvetica Neue"/>
                <w:b w:val="0"/>
                <w:bCs w:val="0"/>
                <w:i w:val="0"/>
                <w:iCs w:val="0"/>
                <w:color w:val="000000" w:themeColor="text1" w:themeTint="FF" w:themeShade="FF"/>
                <w:sz w:val="15"/>
                <w:szCs w:val="15"/>
              </w:rPr>
            </w:pPr>
            <w:r w:rsidRPr="7D26841A" w:rsidR="7D26841A">
              <w:rPr>
                <w:rFonts w:ascii="Helvetica Neue" w:hAnsi="Helvetica Neue" w:eastAsia="Helvetica Neue" w:cs="Helvetica Neue"/>
                <w:b w:val="0"/>
                <w:bCs w:val="0"/>
                <w:i w:val="0"/>
                <w:iCs w:val="0"/>
                <w:color w:val="000000" w:themeColor="text1" w:themeTint="FF" w:themeShade="FF"/>
                <w:sz w:val="15"/>
                <w:szCs w:val="15"/>
                <w:lang w:val="en-US"/>
              </w:rPr>
              <w:t>0.8</w:t>
            </w:r>
          </w:p>
        </w:tc>
      </w:tr>
    </w:tbl>
    <w:p w:rsidR="7D26841A" w:rsidP="7D26841A" w:rsidRDefault="7D26841A" w14:paraId="4748AE96" w14:textId="5FE56348">
      <w:pPr>
        <w:jc w:val="left"/>
        <w:rPr>
          <w:rFonts w:ascii="Calibri" w:hAnsi="Calibri" w:eastAsia="Calibri" w:cs="Calibri"/>
          <w:b w:val="0"/>
          <w:bCs w:val="0"/>
          <w:i w:val="0"/>
          <w:iCs w:val="0"/>
          <w:caps w:val="0"/>
          <w:smallCaps w:val="0"/>
          <w:noProof w:val="0"/>
          <w:color w:val="000000" w:themeColor="text1" w:themeTint="FF" w:themeShade="FF"/>
          <w:sz w:val="21"/>
          <w:szCs w:val="21"/>
          <w:lang w:val="en-US"/>
        </w:rPr>
      </w:pPr>
    </w:p>
    <w:p w:rsidR="7D26841A" w:rsidP="7D26841A" w:rsidRDefault="7D26841A" w14:paraId="317E6AB3" w14:textId="4B94B6E3">
      <w:pPr>
        <w:jc w:val="left"/>
        <w:rPr>
          <w:rFonts w:ascii="Calibri" w:hAnsi="Calibri" w:eastAsia="Calibri" w:cs="Calibri"/>
          <w:b w:val="0"/>
          <w:bCs w:val="0"/>
          <w:i w:val="0"/>
          <w:iCs w:val="0"/>
          <w:caps w:val="0"/>
          <w:smallCaps w:val="0"/>
          <w:noProof w:val="0"/>
          <w:color w:val="000000" w:themeColor="text1" w:themeTint="FF" w:themeShade="FF"/>
          <w:sz w:val="21"/>
          <w:szCs w:val="21"/>
          <w:lang w:val="en-US"/>
        </w:rPr>
      </w:pPr>
    </w:p>
    <w:p w:rsidR="14F77A77" w:rsidP="7D26841A" w:rsidRDefault="14F77A77" w14:paraId="4381F337" w14:textId="0D1B18E3">
      <w:pPr>
        <w:jc w:val="left"/>
        <w:rPr>
          <w:rFonts w:ascii="Calibri" w:hAnsi="Calibri" w:eastAsia="Calibri" w:cs="Calibri"/>
          <w:b w:val="0"/>
          <w:bCs w:val="0"/>
          <w:i w:val="0"/>
          <w:iCs w:val="0"/>
          <w:caps w:val="0"/>
          <w:smallCaps w:val="0"/>
          <w:noProof w:val="0"/>
          <w:color w:val="7F7F7F" w:themeColor="text1" w:themeTint="80" w:themeShade="FF"/>
          <w:sz w:val="14"/>
          <w:szCs w:val="14"/>
          <w:lang w:val="en-US"/>
        </w:rPr>
      </w:pPr>
      <w:r w:rsidR="14F77A77">
        <w:drawing>
          <wp:inline wp14:editId="18E5C0DC" wp14:anchorId="085AEC10">
            <wp:extent cx="5715000" cy="2543175"/>
            <wp:effectExtent l="0" t="0" r="0" b="0"/>
            <wp:docPr id="810212333" name="" title=""/>
            <wp:cNvGraphicFramePr>
              <a:graphicFrameLocks noChangeAspect="1"/>
            </wp:cNvGraphicFramePr>
            <a:graphic>
              <a:graphicData uri="http://schemas.openxmlformats.org/drawingml/2006/picture">
                <pic:pic>
                  <pic:nvPicPr>
                    <pic:cNvPr id="0" name=""/>
                    <pic:cNvPicPr/>
                  </pic:nvPicPr>
                  <pic:blipFill>
                    <a:blip r:embed="R05d651d97eb243bb">
                      <a:extLst>
                        <a:ext xmlns:a="http://schemas.openxmlformats.org/drawingml/2006/main" uri="{28A0092B-C50C-407E-A947-70E740481C1C}">
                          <a14:useLocalDpi val="0"/>
                        </a:ext>
                      </a:extLst>
                    </a:blip>
                    <a:stretch>
                      <a:fillRect/>
                    </a:stretch>
                  </pic:blipFill>
                  <pic:spPr>
                    <a:xfrm>
                      <a:off x="0" y="0"/>
                      <a:ext cx="5715000" cy="2543175"/>
                    </a:xfrm>
                    <a:prstGeom prst="rect">
                      <a:avLst/>
                    </a:prstGeom>
                  </pic:spPr>
                </pic:pic>
              </a:graphicData>
            </a:graphic>
          </wp:inline>
        </w:drawing>
      </w: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Supplementary Fig. 4</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xml:space="preserve">: Aggregated feature importance (XGBoost gain) for predicting nutritional outcomes across fishing gears. </w:t>
      </w: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Panel A</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xml:space="preserve"> presents feature importance for gill nets, with predictors including habitat, mesh size, vessel type, and the interaction between habitat and mesh size. </w:t>
      </w:r>
      <w:r w:rsidRPr="7D26841A" w:rsidR="14F77A77">
        <w:rPr>
          <w:rFonts w:ascii="Calibri" w:hAnsi="Calibri" w:eastAsia="Calibri" w:cs="Calibri"/>
          <w:b w:val="1"/>
          <w:bCs w:val="1"/>
          <w:i w:val="0"/>
          <w:iCs w:val="0"/>
          <w:caps w:val="0"/>
          <w:smallCaps w:val="0"/>
          <w:noProof w:val="0"/>
          <w:color w:val="7F7F7F" w:themeColor="text1" w:themeTint="80" w:themeShade="FF"/>
          <w:sz w:val="14"/>
          <w:szCs w:val="14"/>
          <w:lang w:val="en-US"/>
        </w:rPr>
        <w:t>Panel B</w:t>
      </w:r>
      <w:r w:rsidRPr="7D26841A" w:rsidR="14F77A77">
        <w:rPr>
          <w:rFonts w:ascii="Calibri" w:hAnsi="Calibri" w:eastAsia="Calibri" w:cs="Calibri"/>
          <w:b w:val="0"/>
          <w:bCs w:val="0"/>
          <w:i w:val="0"/>
          <w:iCs w:val="0"/>
          <w:caps w:val="0"/>
          <w:smallCaps w:val="0"/>
          <w:noProof w:val="0"/>
          <w:color w:val="7F7F7F" w:themeColor="text1" w:themeTint="80" w:themeShade="FF"/>
          <w:sz w:val="14"/>
          <w:szCs w:val="14"/>
          <w:lang w:val="en-US"/>
        </w:rPr>
        <w:t xml:space="preserve"> shows feature importance for all other gear types, with predictors including gear type, habitat, vessel type, and the interaction between habitat and gear type. The x-axis denotes the aggregated gain, with higher values indicating greater predictor influence on model accuracy.</w:t>
      </w:r>
    </w:p>
    <w:p w:rsidR="7D26841A" w:rsidP="7D26841A" w:rsidRDefault="7D26841A" w14:paraId="0ECE5911" w14:textId="0C7C7AA2">
      <w:pPr>
        <w:jc w:val="left"/>
        <w:rPr>
          <w:rFonts w:ascii="Calibri" w:hAnsi="Calibri" w:eastAsia="Calibri" w:cs="Calibri"/>
          <w:b w:val="0"/>
          <w:bCs w:val="0"/>
          <w:i w:val="0"/>
          <w:iCs w:val="0"/>
          <w:caps w:val="0"/>
          <w:smallCaps w:val="0"/>
          <w:noProof w:val="0"/>
          <w:color w:val="7F7F7F" w:themeColor="text1" w:themeTint="80" w:themeShade="FF"/>
          <w:sz w:val="14"/>
          <w:szCs w:val="14"/>
          <w:lang w:val="en-US"/>
        </w:rPr>
      </w:pPr>
    </w:p>
    <w:p w:rsidR="7D26841A" w:rsidP="7D26841A" w:rsidRDefault="7D26841A" w14:paraId="1B117DC5" w14:textId="60C87250">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7D26841A" w:rsidP="7D26841A" w:rsidRDefault="7D26841A" w14:paraId="14245714" w14:textId="20A24106">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7D26841A" w:rsidP="7D26841A" w:rsidRDefault="7D26841A" w14:paraId="5987956B" w14:textId="52AA27F1">
      <w:pPr>
        <w:jc w:val="both"/>
        <w:rPr>
          <w:rFonts w:ascii="Calibri" w:hAnsi="Calibri" w:eastAsia="Calibri" w:cs="Calibri"/>
          <w:b w:val="0"/>
          <w:bCs w:val="0"/>
          <w:i w:val="0"/>
          <w:iCs w:val="0"/>
          <w:caps w:val="0"/>
          <w:smallCaps w:val="0"/>
          <w:noProof w:val="0"/>
          <w:color w:val="000000" w:themeColor="text1" w:themeTint="FF" w:themeShade="FF"/>
          <w:sz w:val="21"/>
          <w:szCs w:val="21"/>
          <w:lang w:val="en-US"/>
        </w:rPr>
      </w:pPr>
    </w:p>
    <w:p w:rsidR="7D26841A" w:rsidRDefault="7D26841A" w14:paraId="5B75562B" w14:textId="352FF10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C684A4"/>
    <w:rsid w:val="002A704B"/>
    <w:rsid w:val="0F1C3EFD"/>
    <w:rsid w:val="1367B424"/>
    <w:rsid w:val="14F77A77"/>
    <w:rsid w:val="4C2578E8"/>
    <w:rsid w:val="4C38D75C"/>
    <w:rsid w:val="574CEC3A"/>
    <w:rsid w:val="5BC684A4"/>
    <w:rsid w:val="69848DAA"/>
    <w:rsid w:val="6E871FE4"/>
    <w:rsid w:val="6E871FE4"/>
    <w:rsid w:val="71535A9D"/>
    <w:rsid w:val="72620076"/>
    <w:rsid w:val="7D268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84A4"/>
  <w15:chartTrackingRefBased/>
  <w15:docId w15:val="{85977FE2-5F82-492C-A158-ED16D89C26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tes" w:customStyle="true">
    <w:uiPriority w:val="1"/>
    <w:name w:val="Notes"/>
    <w:basedOn w:val="Normal"/>
    <w:link w:val="NotesChar"/>
    <w:qFormat/>
    <w:rsid w:val="7D26841A"/>
    <w:rPr>
      <w:rFonts w:ascii="Calibri" w:hAnsi="Calibri" w:eastAsia="Times New Roman" w:cs="Calibri"/>
      <w:color w:val="000000" w:themeColor="text1" w:themeTint="FF" w:themeShade="FF"/>
      <w:sz w:val="20"/>
      <w:szCs w:val="20"/>
    </w:rPr>
    <w:pPr>
      <w:jc w:val="both"/>
    </w:pPr>
  </w:style>
  <w:style w:type="character" w:styleId="NotesChar" w:customStyle="true">
    <w:uiPriority w:val="1"/>
    <w:name w:val="Notes Char"/>
    <w:basedOn w:val="DefaultParagraphFont"/>
    <w:link w:val="Notes"/>
    <w:rsid w:val="7D26841A"/>
    <w:rPr>
      <w:rFonts w:ascii="Calibri" w:hAnsi="Calibri" w:eastAsia="Times New Roman" w:cs="Calibri" w:asciiTheme="majorAscii" w:hAnsiTheme="majorAscii" w:cstheme="majorAscii"/>
      <w:color w:val="000000" w:themeColor="text1" w:themeTint="FF" w:themeShade="FF"/>
      <w:sz w:val="20"/>
      <w:szCs w:val="20"/>
    </w:rPr>
  </w:style>
  <w:style w:type="paragraph" w:styleId="NoSpacing">
    <w:uiPriority w:val="1"/>
    <w:name w:val="No Spacing"/>
    <w:qFormat/>
    <w:rsid w:val="7D26841A"/>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1b8ce49b66af4995" /><Relationship Type="http://schemas.openxmlformats.org/officeDocument/2006/relationships/image" Target="/media/image2.png" Id="R64c9c41ed3ae4941" /><Relationship Type="http://schemas.openxmlformats.org/officeDocument/2006/relationships/image" Target="/media/image3.png" Id="R63570db71cc64b4f" /><Relationship Type="http://schemas.openxmlformats.org/officeDocument/2006/relationships/image" Target="/media/image4.png" Id="R05d651d97eb243b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2024-11-30T12:46:42.6895783Z</dcterms:created>
  <dcterms:modified xsi:type="dcterms:W3CDTF">2024-11-30T13:09:49.1862346Z</dcterms:modified>
  <dc:creator>Longobardi, Lorenzo (WorldFish)</dc:creator>
  <lastModifiedBy>Longobardi, Lorenzo (WorldFish)</lastModifiedBy>
</coreProperties>
</file>