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017" w:rsidRDefault="004A5017" w:rsidP="004A5017">
      <w:pPr>
        <w:rPr>
          <w:lang w:val="en-GB"/>
        </w:rPr>
      </w:pPr>
    </w:p>
    <w:p w:rsidR="004A5017" w:rsidRDefault="004A5017" w:rsidP="004A5017">
      <w:pPr>
        <w:pStyle w:val="Heading4"/>
      </w:pPr>
      <w:r>
        <w:t>Supplemental Table 1. Activity of ceftazidime-avibactam</w:t>
      </w:r>
      <w:r w:rsidRPr="003F65D8">
        <w:t xml:space="preserve"> </w:t>
      </w:r>
      <w:r>
        <w:t xml:space="preserve">against levofloxacin-resistant </w:t>
      </w:r>
      <w:r w:rsidRPr="002305FE">
        <w:rPr>
          <w:i/>
        </w:rPr>
        <w:t>E. coli</w:t>
      </w:r>
      <w:r>
        <w:t>; ATLAS</w:t>
      </w:r>
      <w:r w:rsidRPr="003F65D8">
        <w:t xml:space="preserve">, </w:t>
      </w:r>
      <w:r>
        <w:t xml:space="preserve">by region and year, </w:t>
      </w:r>
      <w:r w:rsidRPr="003F65D8">
        <w:t>201</w:t>
      </w:r>
      <w:r>
        <w:t>2–2018.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21"/>
        <w:gridCol w:w="1559"/>
        <w:gridCol w:w="1559"/>
        <w:gridCol w:w="1985"/>
        <w:gridCol w:w="601"/>
        <w:gridCol w:w="522"/>
        <w:gridCol w:w="753"/>
      </w:tblGrid>
      <w:tr w:rsidR="004A5017" w:rsidRPr="00EE73E5" w:rsidTr="00E12EF0">
        <w:trPr>
          <w:trHeight w:val="300"/>
          <w:tblHeader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header"/>
            </w:pPr>
            <w:r>
              <w:t xml:space="preserve">Region, </w:t>
            </w:r>
            <w:r>
              <w:br/>
            </w:r>
            <w:r w:rsidRPr="00EE73E5">
              <w:t>Year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017" w:rsidRPr="00EE73E5" w:rsidRDefault="004A5017" w:rsidP="00E12EF0">
            <w:pPr>
              <w:pStyle w:val="Tableheader"/>
            </w:pPr>
            <w:r>
              <w:t>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header"/>
            </w:pPr>
            <w:r w:rsidRPr="00EE73E5">
              <w:t>MIC</w:t>
            </w:r>
            <w:r w:rsidRPr="00EE73E5">
              <w:rPr>
                <w:vertAlign w:val="subscript"/>
              </w:rPr>
              <w:t>50</w:t>
            </w:r>
            <w:r>
              <w:br/>
              <w:t>(mg/L)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header"/>
            </w:pPr>
            <w:r w:rsidRPr="00EE73E5">
              <w:t>MIC</w:t>
            </w:r>
            <w:r w:rsidRPr="00EE73E5">
              <w:rPr>
                <w:vertAlign w:val="subscript"/>
              </w:rPr>
              <w:t>90</w:t>
            </w:r>
            <w:r>
              <w:br/>
              <w:t>(mg/L)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header"/>
            </w:pPr>
            <w:r w:rsidRPr="00EE73E5">
              <w:t>Range</w:t>
            </w:r>
            <w:r>
              <w:br/>
              <w:t>(mg/L)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header"/>
            </w:pPr>
            <w:r w:rsidRPr="00EE73E5">
              <w:t>%S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header"/>
            </w:pPr>
            <w:r w:rsidRPr="00EE73E5">
              <w:t>%I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header"/>
            </w:pPr>
            <w:r w:rsidRPr="00EE73E5">
              <w:t>%R</w:t>
            </w:r>
          </w:p>
        </w:tc>
      </w:tr>
      <w:tr w:rsidR="004A5017" w:rsidRPr="00E128EE" w:rsidTr="00E12EF0">
        <w:trPr>
          <w:trHeight w:val="300"/>
        </w:trPr>
        <w:tc>
          <w:tcPr>
            <w:tcW w:w="53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Africa/Middle East, ESBL-positive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2012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B72A2D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2013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0.03–</w:t>
            </w:r>
            <w:r w:rsidRPr="00EE73E5">
              <w:t>2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2014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0.03–</w:t>
            </w:r>
            <w:r w:rsidRPr="00EE73E5">
              <w:t>2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2015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0.06–</w:t>
            </w:r>
            <w:r w:rsidRPr="00EE73E5">
              <w:t>16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98.5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1.5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2016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0.03–</w:t>
            </w:r>
            <w:r w:rsidRPr="00EE73E5">
              <w:t>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2017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99.3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0.7</w:t>
            </w:r>
          </w:p>
        </w:tc>
      </w:tr>
      <w:tr w:rsidR="004A5017" w:rsidRPr="00E128EE" w:rsidTr="00E12EF0">
        <w:trPr>
          <w:trHeight w:val="300"/>
        </w:trPr>
        <w:tc>
          <w:tcPr>
            <w:tcW w:w="53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Africa/Middle East, ESBL-negative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2012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2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2013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98.6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1.4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2014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98.9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1.1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2015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2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2016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2017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≤</w:t>
            </w:r>
            <w:r>
              <w:t>0.015–</w:t>
            </w:r>
            <w:r w:rsidRPr="00EE73E5">
              <w:t>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8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128EE" w:rsidTr="00E12EF0">
        <w:trPr>
          <w:trHeight w:val="300"/>
        </w:trPr>
        <w:tc>
          <w:tcPr>
            <w:tcW w:w="53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Asia/South Pacific, ESBL-positive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2012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99.2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0.8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2013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99.3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0.7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2014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2015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2016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206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97.1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2.9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2017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204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97.1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2.9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291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91.8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8.2</w:t>
            </w:r>
          </w:p>
        </w:tc>
      </w:tr>
      <w:tr w:rsidR="004A5017" w:rsidRPr="00E128EE" w:rsidTr="00E12EF0">
        <w:trPr>
          <w:trHeight w:val="300"/>
        </w:trPr>
        <w:tc>
          <w:tcPr>
            <w:tcW w:w="53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lastRenderedPageBreak/>
              <w:t>Asia/South Pacific, ESBL-negative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2012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2013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0.5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2014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0.5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2015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99.2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0.8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2016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2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2017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97.3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2.7</w:t>
            </w:r>
          </w:p>
        </w:tc>
      </w:tr>
      <w:tr w:rsidR="004A5017" w:rsidRPr="00E128EE" w:rsidTr="00E12EF0">
        <w:trPr>
          <w:trHeight w:val="300"/>
        </w:trPr>
        <w:tc>
          <w:tcPr>
            <w:tcW w:w="53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Europe, ESBL-positive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2012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64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99.4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0.6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2013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361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2014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347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2015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305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99.3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0.7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2016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316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2017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343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99.7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0.3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443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98.6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1.4</w:t>
            </w:r>
          </w:p>
        </w:tc>
      </w:tr>
      <w:tr w:rsidR="004A5017" w:rsidRPr="00E128EE" w:rsidTr="00E12EF0">
        <w:trPr>
          <w:trHeight w:val="300"/>
        </w:trPr>
        <w:tc>
          <w:tcPr>
            <w:tcW w:w="53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Europe, ESBL-negative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2012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247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16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99.6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0.4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2013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340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64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99.7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0.3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2014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380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2015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315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64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99.7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0.3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2016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393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</w:t>
            </w:r>
            <w:r>
              <w:t>.0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2017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326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99.7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0.3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372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99.2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0.8</w:t>
            </w:r>
          </w:p>
        </w:tc>
      </w:tr>
      <w:tr w:rsidR="004A5017" w:rsidRPr="00E128EE" w:rsidTr="00E12EF0">
        <w:trPr>
          <w:trHeight w:val="300"/>
        </w:trPr>
        <w:tc>
          <w:tcPr>
            <w:tcW w:w="53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Latin America, ESBL-positive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2012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2013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2014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229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lastRenderedPageBreak/>
              <w:t>2015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32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</w:t>
            </w:r>
            <w:r>
              <w:t>.0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2016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311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2017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258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99.6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0.4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241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≥256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99.2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0.8</w:t>
            </w:r>
          </w:p>
        </w:tc>
      </w:tr>
      <w:tr w:rsidR="004A5017" w:rsidRPr="00E128EE" w:rsidTr="00E12EF0">
        <w:trPr>
          <w:trHeight w:val="300"/>
        </w:trPr>
        <w:tc>
          <w:tcPr>
            <w:tcW w:w="53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Latin America, ESBL-negative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2012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2013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2014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2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2015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2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2016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0.5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2017</w:t>
            </w:r>
          </w:p>
        </w:tc>
        <w:tc>
          <w:tcPr>
            <w:tcW w:w="709" w:type="dxa"/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180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0.5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  <w:tr w:rsidR="004A5017" w:rsidRPr="00EE73E5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2018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A5017" w:rsidRPr="00EE73E5" w:rsidRDefault="004A5017" w:rsidP="00E12EF0">
            <w:pPr>
              <w:pStyle w:val="Tabletext"/>
            </w:pPr>
            <w:r w:rsidRPr="00EE73E5">
              <w:t>213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0.25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>
              <w:t>≤0.015–</w:t>
            </w:r>
            <w:r w:rsidRPr="00EE73E5">
              <w:t>4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100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EE73E5" w:rsidRDefault="004A5017" w:rsidP="00E12EF0">
            <w:pPr>
              <w:pStyle w:val="Tabletext"/>
            </w:pPr>
            <w:r w:rsidRPr="00EE73E5">
              <w:t>0</w:t>
            </w:r>
            <w:r>
              <w:t>.0</w:t>
            </w:r>
          </w:p>
        </w:tc>
      </w:tr>
    </w:tbl>
    <w:p w:rsidR="004A5017" w:rsidRDefault="004A5017" w:rsidP="004A5017">
      <w:pPr>
        <w:pStyle w:val="FootnoteText"/>
      </w:pPr>
      <w:r w:rsidRPr="00B72A2D">
        <w:t>–</w:t>
      </w:r>
      <w:r>
        <w:t xml:space="preserve"> Indicates no breakpoint for the agent</w:t>
      </w:r>
      <w:r>
        <w:br/>
        <w:t xml:space="preserve">ESBL, extended-spectrum </w:t>
      </w:r>
      <w:r>
        <w:rPr>
          <w:rFonts w:ascii="Calibri" w:hAnsi="Calibri" w:cs="Calibri"/>
        </w:rPr>
        <w:t>β</w:t>
      </w:r>
      <w:r>
        <w:t xml:space="preserve">-lactamase; %I, percentage of isolates susceptible, increased exposure; </w:t>
      </w:r>
      <w:r w:rsidRPr="00CF037C">
        <w:t>MIC, minimum inhibitory concentration; MIC</w:t>
      </w:r>
      <w:r w:rsidRPr="003B75D2">
        <w:rPr>
          <w:vertAlign w:val="subscript"/>
        </w:rPr>
        <w:t>50</w:t>
      </w:r>
      <w:r w:rsidRPr="00CF037C">
        <w:t>, MIC required to inhibit growth of 50% of isolates (mg/L); MIC</w:t>
      </w:r>
      <w:r w:rsidRPr="003B75D2">
        <w:rPr>
          <w:vertAlign w:val="subscript"/>
        </w:rPr>
        <w:t>90</w:t>
      </w:r>
      <w:r w:rsidRPr="00CF037C">
        <w:t>, MIC required to inhibit growth of 90% of isolates (mg/L)</w:t>
      </w:r>
      <w:r>
        <w:t xml:space="preserve">; %R, percentage of isolates resistant; %S, percentage of isolates susceptible, standard dosing. </w:t>
      </w:r>
      <w:r>
        <w:br w:type="page"/>
      </w:r>
    </w:p>
    <w:p w:rsidR="004A5017" w:rsidRDefault="004A5017" w:rsidP="004A5017">
      <w:pPr>
        <w:pStyle w:val="EndnoteText"/>
      </w:pPr>
    </w:p>
    <w:p w:rsidR="004A5017" w:rsidRDefault="004A5017" w:rsidP="004A5017">
      <w:pPr>
        <w:pStyle w:val="Heading4"/>
      </w:pPr>
      <w:r>
        <w:t>Supplemental Table 2. Activity of colistin</w:t>
      </w:r>
      <w:r w:rsidRPr="003F65D8">
        <w:t xml:space="preserve"> </w:t>
      </w:r>
      <w:r>
        <w:t xml:space="preserve">against levofloxacin-resistant </w:t>
      </w:r>
      <w:r w:rsidRPr="002305FE">
        <w:rPr>
          <w:i/>
        </w:rPr>
        <w:t>E. coli</w:t>
      </w:r>
      <w:r>
        <w:t>, ATLAS</w:t>
      </w:r>
      <w:r w:rsidRPr="003F65D8">
        <w:t xml:space="preserve">, </w:t>
      </w:r>
      <w:r>
        <w:t xml:space="preserve">by region and year, </w:t>
      </w:r>
      <w:r w:rsidRPr="003F65D8">
        <w:t>201</w:t>
      </w:r>
      <w:r>
        <w:t>4*–2018.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5"/>
        <w:gridCol w:w="618"/>
        <w:gridCol w:w="1559"/>
        <w:gridCol w:w="1559"/>
        <w:gridCol w:w="1701"/>
        <w:gridCol w:w="709"/>
        <w:gridCol w:w="709"/>
        <w:gridCol w:w="595"/>
      </w:tblGrid>
      <w:tr w:rsidR="004A5017" w:rsidRPr="00333802" w:rsidTr="00E12EF0">
        <w:trPr>
          <w:trHeight w:val="300"/>
          <w:tblHeader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Region, </w:t>
            </w:r>
            <w:r>
              <w:rPr>
                <w:b/>
                <w:bCs/>
              </w:rPr>
              <w:br/>
            </w:r>
            <w:r w:rsidRPr="00333802">
              <w:rPr>
                <w:b/>
                <w:bCs/>
              </w:rPr>
              <w:t>Year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017" w:rsidRPr="00333802" w:rsidRDefault="004A5017" w:rsidP="00E1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jc w:val="center"/>
              <w:rPr>
                <w:b/>
                <w:bCs/>
              </w:rPr>
            </w:pPr>
            <w:r w:rsidRPr="00333802">
              <w:rPr>
                <w:b/>
                <w:bCs/>
              </w:rPr>
              <w:t>MIC</w:t>
            </w:r>
            <w:r w:rsidRPr="0020641A">
              <w:rPr>
                <w:b/>
                <w:bCs/>
                <w:vertAlign w:val="subscript"/>
              </w:rPr>
              <w:t>50</w:t>
            </w:r>
            <w:r>
              <w:rPr>
                <w:b/>
                <w:bCs/>
              </w:rPr>
              <w:br/>
              <w:t>(mg/L)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jc w:val="center"/>
              <w:rPr>
                <w:b/>
                <w:bCs/>
              </w:rPr>
            </w:pPr>
            <w:r w:rsidRPr="00333802">
              <w:rPr>
                <w:b/>
                <w:bCs/>
              </w:rPr>
              <w:t>MIC</w:t>
            </w:r>
            <w:r w:rsidRPr="0020641A">
              <w:rPr>
                <w:b/>
                <w:bCs/>
                <w:vertAlign w:val="subscript"/>
              </w:rPr>
              <w:t>90</w:t>
            </w:r>
            <w:r>
              <w:rPr>
                <w:b/>
                <w:bCs/>
              </w:rPr>
              <w:br/>
              <w:t>(mg/L)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jc w:val="center"/>
              <w:rPr>
                <w:b/>
                <w:bCs/>
              </w:rPr>
            </w:pPr>
            <w:r w:rsidRPr="00333802">
              <w:rPr>
                <w:b/>
                <w:bCs/>
              </w:rPr>
              <w:t>Range</w:t>
            </w:r>
            <w:r>
              <w:rPr>
                <w:b/>
                <w:bCs/>
              </w:rPr>
              <w:br/>
              <w:t>(mg/L)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jc w:val="center"/>
              <w:rPr>
                <w:b/>
                <w:bCs/>
              </w:rPr>
            </w:pPr>
            <w:r w:rsidRPr="00333802">
              <w:rPr>
                <w:b/>
                <w:bCs/>
              </w:rPr>
              <w:t>%S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jc w:val="center"/>
              <w:rPr>
                <w:b/>
                <w:bCs/>
              </w:rPr>
            </w:pPr>
            <w:r w:rsidRPr="00333802">
              <w:rPr>
                <w:b/>
                <w:bCs/>
              </w:rPr>
              <w:t>%I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jc w:val="center"/>
              <w:rPr>
                <w:b/>
                <w:bCs/>
              </w:rPr>
            </w:pPr>
            <w:r w:rsidRPr="00333802">
              <w:rPr>
                <w:b/>
                <w:bCs/>
              </w:rPr>
              <w:t>%R</w:t>
            </w:r>
          </w:p>
        </w:tc>
      </w:tr>
      <w:tr w:rsidR="004A5017" w:rsidRPr="00E128EE" w:rsidTr="00E12EF0">
        <w:trPr>
          <w:trHeight w:val="300"/>
        </w:trPr>
        <w:tc>
          <w:tcPr>
            <w:tcW w:w="691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Africa/Middle East, ESBL-positive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2014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109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0.25–</w:t>
            </w:r>
            <w:r w:rsidRPr="00333802"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0.9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2015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0.25–</w:t>
            </w:r>
            <w:r w:rsidRPr="00333802"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98.5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1.5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2016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98.7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1.3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2017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98.8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1.2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2018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136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≤0.06–</w:t>
            </w:r>
            <w:r w:rsidRPr="00333802"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</w:t>
            </w:r>
            <w:r>
              <w:t>.0</w:t>
            </w:r>
          </w:p>
        </w:tc>
      </w:tr>
      <w:tr w:rsidR="004A5017" w:rsidRPr="00E128EE" w:rsidTr="00E12EF0">
        <w:trPr>
          <w:trHeight w:val="300"/>
        </w:trPr>
        <w:tc>
          <w:tcPr>
            <w:tcW w:w="691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Africa/Middle East, ESBL-negative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2014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0.25–</w:t>
            </w:r>
            <w:r w:rsidRPr="00333802"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98.9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1.1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2015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0.25–</w:t>
            </w:r>
            <w:r w:rsidRPr="00333802">
              <w:t>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</w:t>
            </w:r>
            <w:r>
              <w:t>.0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2016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≤0.06–</w:t>
            </w:r>
            <w:r w:rsidRPr="00333802"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98.8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1.3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2017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≥16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98.7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1.3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2018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110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≤0.06–</w:t>
            </w:r>
            <w:r w:rsidRPr="00333802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97.3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2.7</w:t>
            </w:r>
          </w:p>
        </w:tc>
      </w:tr>
      <w:tr w:rsidR="004A5017" w:rsidRPr="00E128EE" w:rsidTr="00E12EF0">
        <w:trPr>
          <w:trHeight w:val="300"/>
        </w:trPr>
        <w:tc>
          <w:tcPr>
            <w:tcW w:w="521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Asia/South Pacific, ESBL-positive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2014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159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0.25–</w:t>
            </w:r>
            <w:r w:rsidRPr="00333802"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98.7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1.3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2015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152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0.25–</w:t>
            </w:r>
            <w:r w:rsidRPr="00333802"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98.7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1.3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2016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206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  <w:r>
              <w:t>.0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2017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204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98.5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1.5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2018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291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≤0.06–</w:t>
            </w:r>
            <w:r w:rsidRPr="00333802">
              <w:t>≥16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</w:t>
            </w:r>
            <w:r>
              <w:t>.0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  <w:r>
              <w:t>.0</w:t>
            </w:r>
          </w:p>
        </w:tc>
      </w:tr>
      <w:tr w:rsidR="004A5017" w:rsidRPr="00E128EE" w:rsidTr="00E12EF0">
        <w:trPr>
          <w:trHeight w:val="300"/>
        </w:trPr>
        <w:tc>
          <w:tcPr>
            <w:tcW w:w="521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Asia/South Pacific, ESBL-negative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2014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150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0.7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2015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119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0.8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2016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173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≤0.06–</w:t>
            </w:r>
            <w:r w:rsidRPr="00333802">
              <w:t>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</w:t>
            </w:r>
            <w:r>
              <w:t>.0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2017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154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</w:t>
            </w:r>
            <w:r>
              <w:t>.0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2018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184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≤0.06–</w:t>
            </w:r>
            <w:r w:rsidRPr="00333802">
              <w:t>≥16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98.4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1.6</w:t>
            </w:r>
          </w:p>
        </w:tc>
      </w:tr>
      <w:tr w:rsidR="004A5017" w:rsidRPr="00E128EE" w:rsidTr="00E12EF0">
        <w:trPr>
          <w:trHeight w:val="300"/>
        </w:trPr>
        <w:tc>
          <w:tcPr>
            <w:tcW w:w="521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Europe, ESBL-positive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lastRenderedPageBreak/>
              <w:t>2014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347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0.25–</w:t>
            </w:r>
            <w:r w:rsidRPr="00333802"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98.8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1.2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2015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305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≥16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0.7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2016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316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≤0.06–</w:t>
            </w:r>
            <w:r w:rsidRPr="00333802"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0.9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2017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343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0.6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2018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443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≤</w:t>
            </w:r>
            <w:r>
              <w:t>0.06–</w:t>
            </w:r>
            <w:r w:rsidRPr="00333802">
              <w:t>≥16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0.9</w:t>
            </w:r>
          </w:p>
        </w:tc>
      </w:tr>
      <w:tr w:rsidR="004A5017" w:rsidRPr="00E128EE" w:rsidTr="00E12EF0">
        <w:trPr>
          <w:trHeight w:val="300"/>
        </w:trPr>
        <w:tc>
          <w:tcPr>
            <w:tcW w:w="521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Europe, ESBL-negative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rPr>
                <w:b/>
              </w:rPr>
            </w:pP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2014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380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98.7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1.3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2015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315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0.6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2016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393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≤0.06–</w:t>
            </w:r>
            <w:r w:rsidRPr="00333802">
              <w:t>≥16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2017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326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≤0.06–</w:t>
            </w:r>
            <w:r w:rsidRPr="00333802">
              <w:t>≥16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98.5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1.5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2018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372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≤0.06–</w:t>
            </w:r>
            <w:r w:rsidRPr="00333802">
              <w:t>≥16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98.4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1.6</w:t>
            </w:r>
          </w:p>
        </w:tc>
      </w:tr>
      <w:tr w:rsidR="004A5017" w:rsidRPr="00E128EE" w:rsidTr="00E12EF0">
        <w:trPr>
          <w:trHeight w:val="300"/>
        </w:trPr>
        <w:tc>
          <w:tcPr>
            <w:tcW w:w="521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Latin America, ESBL-positive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2014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229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0.25–</w:t>
            </w:r>
            <w:r w:rsidRPr="00333802">
              <w:t>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</w:t>
            </w:r>
            <w:r>
              <w:t>.0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2015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193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2016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311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≤0.06–</w:t>
            </w:r>
            <w:r w:rsidRPr="00333802"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0.6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2017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258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97.7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2.3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2018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241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≤0.06–</w:t>
            </w:r>
            <w:r w:rsidRPr="00333802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0.8</w:t>
            </w:r>
          </w:p>
        </w:tc>
      </w:tr>
      <w:tr w:rsidR="004A5017" w:rsidRPr="00E128EE" w:rsidTr="00E12EF0">
        <w:trPr>
          <w:trHeight w:val="300"/>
        </w:trPr>
        <w:tc>
          <w:tcPr>
            <w:tcW w:w="521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Latin America, ESBL-negative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2014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146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0.25–</w:t>
            </w:r>
            <w:r w:rsidRPr="00333802"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0.7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2015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163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98.2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1.8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2016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183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2017</w:t>
            </w:r>
          </w:p>
        </w:tc>
        <w:tc>
          <w:tcPr>
            <w:tcW w:w="618" w:type="dxa"/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180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0.12–</w:t>
            </w:r>
            <w:r w:rsidRPr="00333802">
              <w:t>≥16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0.6</w:t>
            </w:r>
          </w:p>
        </w:tc>
      </w:tr>
      <w:tr w:rsidR="004A5017" w:rsidRPr="00333802" w:rsidTr="00E12EF0">
        <w:trPr>
          <w:trHeight w:val="300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2018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:rsidR="004A5017" w:rsidRPr="00333802" w:rsidRDefault="004A5017" w:rsidP="00E12EF0">
            <w:pPr>
              <w:pStyle w:val="Tabletext"/>
            </w:pPr>
            <w:r w:rsidRPr="00333802">
              <w:t>213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>
              <w:t>≤0.06–</w:t>
            </w:r>
            <w:r w:rsidRPr="00333802">
              <w:t>≥16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99.1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B72A2D">
              <w:t>–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333802" w:rsidRDefault="004A5017" w:rsidP="00E12EF0">
            <w:pPr>
              <w:pStyle w:val="Tabletext"/>
            </w:pPr>
            <w:r w:rsidRPr="00333802">
              <w:t>0.9</w:t>
            </w:r>
          </w:p>
        </w:tc>
      </w:tr>
    </w:tbl>
    <w:p w:rsidR="004A5017" w:rsidRDefault="004A5017" w:rsidP="004A5017">
      <w:pPr>
        <w:pStyle w:val="FootnoteText"/>
      </w:pPr>
      <w:r>
        <w:t>* Colistin was included on the comparator panel from 2014 onwards</w:t>
      </w:r>
      <w:r>
        <w:br/>
      </w:r>
      <w:r w:rsidRPr="00B72A2D">
        <w:t>–</w:t>
      </w:r>
      <w:r>
        <w:t xml:space="preserve"> Indicates no breakpoint for the agent</w:t>
      </w:r>
      <w:r>
        <w:br/>
        <w:t xml:space="preserve">ESBL, extended-spectrum </w:t>
      </w:r>
      <w:r>
        <w:rPr>
          <w:rFonts w:ascii="Calibri" w:hAnsi="Calibri" w:cs="Calibri"/>
        </w:rPr>
        <w:t>β</w:t>
      </w:r>
      <w:r>
        <w:t xml:space="preserve">-lactamase; %I, percentage of isolates susceptible, increased exposure; </w:t>
      </w:r>
      <w:r w:rsidRPr="00CF037C">
        <w:t>MIC, minimum inhibitory concentration; MIC</w:t>
      </w:r>
      <w:r w:rsidRPr="003B75D2">
        <w:rPr>
          <w:vertAlign w:val="subscript"/>
        </w:rPr>
        <w:t>50</w:t>
      </w:r>
      <w:r w:rsidRPr="00CF037C">
        <w:t>, MIC required to inhibit growth of 50% of isolates (mg/L); MIC</w:t>
      </w:r>
      <w:r w:rsidRPr="003B75D2">
        <w:rPr>
          <w:vertAlign w:val="subscript"/>
        </w:rPr>
        <w:t>90</w:t>
      </w:r>
      <w:r w:rsidRPr="00CF037C">
        <w:t xml:space="preserve">, </w:t>
      </w:r>
      <w:r w:rsidRPr="00CF037C">
        <w:lastRenderedPageBreak/>
        <w:t>MIC required to inhibit growth of 90% of isolates (mg/L)</w:t>
      </w:r>
      <w:r>
        <w:t xml:space="preserve">; %R, percentage of isolates resistant; %S, percentage of isolates susceptible, standard dosing. </w:t>
      </w:r>
      <w:r>
        <w:br w:type="page"/>
      </w:r>
    </w:p>
    <w:p w:rsidR="004A5017" w:rsidRDefault="004A5017" w:rsidP="004A5017"/>
    <w:p w:rsidR="004A5017" w:rsidRDefault="004A5017" w:rsidP="004A5017">
      <w:pPr>
        <w:pStyle w:val="Heading4"/>
      </w:pPr>
      <w:r>
        <w:t xml:space="preserve">Supplemental Table 3. Activity of imipenem against levofloxacin-resistant </w:t>
      </w:r>
      <w:r w:rsidRPr="002305FE">
        <w:rPr>
          <w:i/>
        </w:rPr>
        <w:t>E. coli</w:t>
      </w:r>
      <w:r>
        <w:t xml:space="preserve"> </w:t>
      </w:r>
      <w:r w:rsidRPr="003F65D8">
        <w:t>is</w:t>
      </w:r>
      <w:r>
        <w:t>olates, ATLAS</w:t>
      </w:r>
      <w:r w:rsidRPr="003F65D8">
        <w:t xml:space="preserve">, </w:t>
      </w:r>
      <w:r>
        <w:t xml:space="preserve">by region and year, </w:t>
      </w:r>
      <w:r w:rsidRPr="003F65D8">
        <w:t>201</w:t>
      </w:r>
      <w:r>
        <w:t>2–2018.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0"/>
        <w:gridCol w:w="570"/>
        <w:gridCol w:w="1520"/>
        <w:gridCol w:w="1650"/>
        <w:gridCol w:w="1650"/>
        <w:gridCol w:w="829"/>
        <w:gridCol w:w="522"/>
        <w:gridCol w:w="965"/>
      </w:tblGrid>
      <w:tr w:rsidR="004A5017" w:rsidRPr="00134A60" w:rsidTr="00E12EF0">
        <w:trPr>
          <w:trHeight w:val="300"/>
          <w:tblHeader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091DE2" w:rsidRDefault="004A5017" w:rsidP="00E12EF0">
            <w:pPr>
              <w:pStyle w:val="Tableheader"/>
            </w:pPr>
            <w:r>
              <w:t xml:space="preserve">Region, </w:t>
            </w:r>
            <w:r w:rsidRPr="00091DE2">
              <w:t>Year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017" w:rsidRPr="00091DE2" w:rsidRDefault="004A5017" w:rsidP="00E12EF0">
            <w:pPr>
              <w:pStyle w:val="Tableheader"/>
            </w:pPr>
            <w:r>
              <w:t>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091DE2" w:rsidRDefault="004A5017" w:rsidP="00E12EF0">
            <w:pPr>
              <w:pStyle w:val="Tableheader"/>
            </w:pPr>
            <w:r w:rsidRPr="00091DE2">
              <w:t>MIC</w:t>
            </w:r>
            <w:r w:rsidRPr="00091DE2">
              <w:rPr>
                <w:vertAlign w:val="subscript"/>
              </w:rPr>
              <w:t>50</w:t>
            </w:r>
            <w:r>
              <w:br/>
              <w:t>(</w:t>
            </w:r>
            <w:r w:rsidRPr="00091DE2">
              <w:t>mg/L</w:t>
            </w:r>
            <w:r>
              <w:t>)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091DE2" w:rsidRDefault="004A5017" w:rsidP="00E12EF0">
            <w:pPr>
              <w:pStyle w:val="Tableheader"/>
            </w:pPr>
            <w:r w:rsidRPr="00091DE2">
              <w:t>MIC</w:t>
            </w:r>
            <w:r w:rsidRPr="00091DE2">
              <w:rPr>
                <w:vertAlign w:val="subscript"/>
              </w:rPr>
              <w:t>90</w:t>
            </w:r>
            <w:r>
              <w:br/>
              <w:t>(</w:t>
            </w:r>
            <w:r w:rsidRPr="00091DE2">
              <w:t>mg/L</w:t>
            </w:r>
            <w:r>
              <w:t>)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091DE2" w:rsidRDefault="004A5017" w:rsidP="00E12EF0">
            <w:pPr>
              <w:pStyle w:val="Tableheader"/>
            </w:pPr>
            <w:r w:rsidRPr="00091DE2">
              <w:t>Range</w:t>
            </w:r>
            <w:r>
              <w:br/>
              <w:t>(mg/L)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091DE2" w:rsidRDefault="004A5017" w:rsidP="00E12EF0">
            <w:pPr>
              <w:pStyle w:val="Tableheader"/>
            </w:pPr>
            <w:r w:rsidRPr="00091DE2">
              <w:t>%S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091DE2" w:rsidRDefault="004A5017" w:rsidP="00E12EF0">
            <w:pPr>
              <w:pStyle w:val="Tableheader"/>
            </w:pPr>
            <w:r w:rsidRPr="00091DE2">
              <w:t>%I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091DE2" w:rsidRDefault="004A5017" w:rsidP="00E12EF0">
            <w:pPr>
              <w:pStyle w:val="Tableheader"/>
            </w:pPr>
            <w:r w:rsidRPr="00091DE2">
              <w:t>%R</w:t>
            </w:r>
          </w:p>
        </w:tc>
      </w:tr>
      <w:tr w:rsidR="004A5017" w:rsidRPr="00E128EE" w:rsidTr="00E12EF0">
        <w:trPr>
          <w:trHeight w:val="300"/>
        </w:trPr>
        <w:tc>
          <w:tcPr>
            <w:tcW w:w="518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Africa/Middle East, ESBL-positive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2012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0.5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2013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2014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0.12–</w:t>
            </w:r>
            <w:r w:rsidRPr="00134A60"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2015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0.12–</w:t>
            </w:r>
            <w:r w:rsidRPr="00134A60"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2016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0.12–</w:t>
            </w:r>
            <w:r w:rsidRPr="00134A60"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2017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4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98.8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1.2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2018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0.12–</w:t>
            </w:r>
            <w:r w:rsidRPr="00134A60">
              <w:t>≥16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97.8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0.7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1.5</w:t>
            </w:r>
          </w:p>
        </w:tc>
      </w:tr>
      <w:tr w:rsidR="004A5017" w:rsidRPr="00E128EE" w:rsidTr="00E12EF0">
        <w:trPr>
          <w:trHeight w:val="300"/>
        </w:trPr>
        <w:tc>
          <w:tcPr>
            <w:tcW w:w="518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Africa/Middle East, ESBL-negative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2012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2013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8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98.6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1.4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2014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0.12–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96.8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1.1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2.1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2015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0.12–</w:t>
            </w:r>
            <w:r w:rsidRPr="00134A60"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2016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2017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2018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4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99.1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0.9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E128EE" w:rsidTr="00E12EF0">
        <w:trPr>
          <w:trHeight w:val="300"/>
        </w:trPr>
        <w:tc>
          <w:tcPr>
            <w:tcW w:w="349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Asia/South Pacific, ESBL-positive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2012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99.2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0.8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2013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≤0.03–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99.3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0.7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2014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2015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0.12–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99.3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0.7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2016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206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96.6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3.4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2017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204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96.6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3.4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2018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291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≥16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90.4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1.4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8.2</w:t>
            </w:r>
          </w:p>
        </w:tc>
      </w:tr>
      <w:tr w:rsidR="004A5017" w:rsidRPr="00E128EE" w:rsidTr="00E12EF0">
        <w:trPr>
          <w:trHeight w:val="300"/>
        </w:trPr>
        <w:tc>
          <w:tcPr>
            <w:tcW w:w="349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lastRenderedPageBreak/>
              <w:t>Asia/South Pacific, ESBL-negative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2012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2013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2014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2015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0.12–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99.2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0.8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2016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0.12–</w:t>
            </w:r>
            <w:r w:rsidRPr="00134A60">
              <w:t>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2017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≤0.03–</w:t>
            </w:r>
            <w:r w:rsidRPr="00134A60">
              <w:t>4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99.4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0.6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2018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≥16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97.3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2.2</w:t>
            </w:r>
          </w:p>
        </w:tc>
      </w:tr>
      <w:tr w:rsidR="004A5017" w:rsidRPr="00E128EE" w:rsidTr="00E12EF0">
        <w:trPr>
          <w:trHeight w:val="300"/>
        </w:trPr>
        <w:tc>
          <w:tcPr>
            <w:tcW w:w="349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Europe, ESBL-positive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2012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98.9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1.1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2013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361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≤0.03–</w:t>
            </w:r>
            <w:r w:rsidRPr="00134A60"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2014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347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4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99.7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0.3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2015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305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97</w:t>
            </w:r>
            <w:r>
              <w:t>.0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1.6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1.3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2016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316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≤0.03–</w:t>
            </w:r>
            <w:r w:rsidRPr="00134A60">
              <w:t>4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0.9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2017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343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99.7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0.3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2018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443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0.12–</w:t>
            </w:r>
            <w:r w:rsidRPr="00134A60">
              <w:t>≥16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98.4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1.4</w:t>
            </w:r>
          </w:p>
        </w:tc>
      </w:tr>
      <w:tr w:rsidR="004A5017" w:rsidRPr="00E128EE" w:rsidTr="00E12EF0">
        <w:trPr>
          <w:trHeight w:val="300"/>
        </w:trPr>
        <w:tc>
          <w:tcPr>
            <w:tcW w:w="349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Europe, ESBL-negative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2012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247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≤0.03–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96.8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1.2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2013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340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4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99.7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0.3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2014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380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8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98.9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0.3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0.8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2015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315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98.1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1.3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0.6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2016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393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≤0.03–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98.5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2017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326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≤0.03–</w:t>
            </w:r>
            <w:r w:rsidRPr="00134A60">
              <w:t>4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99.7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0.3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2018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372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≥16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98.9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1.1</w:t>
            </w:r>
          </w:p>
        </w:tc>
      </w:tr>
      <w:tr w:rsidR="004A5017" w:rsidRPr="00E128EE" w:rsidTr="00E12EF0">
        <w:trPr>
          <w:trHeight w:val="300"/>
        </w:trPr>
        <w:tc>
          <w:tcPr>
            <w:tcW w:w="349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Latin America, ESBL-positive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2012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4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99.3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0.7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2013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2014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229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0.4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0.4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lastRenderedPageBreak/>
              <w:t>2015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0.12–</w:t>
            </w:r>
            <w:r w:rsidRPr="00134A60">
              <w:t>8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</w:t>
            </w:r>
            <w:r>
              <w:t>.0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2016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311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8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98.4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0.6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2017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258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99.6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0.4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2018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241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0.12–</w:t>
            </w:r>
            <w:r w:rsidRPr="00134A60">
              <w:t>≥16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99.2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0.8</w:t>
            </w:r>
          </w:p>
        </w:tc>
      </w:tr>
      <w:tr w:rsidR="004A5017" w:rsidRPr="00E128EE" w:rsidTr="00E12EF0">
        <w:trPr>
          <w:trHeight w:val="300"/>
        </w:trPr>
        <w:tc>
          <w:tcPr>
            <w:tcW w:w="349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Latin America, ESBL-negative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2012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4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</w:t>
            </w:r>
            <w:r>
              <w:t>.0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2013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8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99.3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0.7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2014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8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99.3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0.7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2015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8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99.4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0.6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2016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≤0.03–</w:t>
            </w:r>
            <w:r w:rsidRPr="00134A60">
              <w:t>≥16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99.5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2017</w:t>
            </w:r>
          </w:p>
        </w:tc>
        <w:tc>
          <w:tcPr>
            <w:tcW w:w="580" w:type="dxa"/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180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0.06–</w:t>
            </w:r>
            <w:r w:rsidRPr="00134A60">
              <w:t>2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100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</w:tr>
      <w:tr w:rsidR="004A5017" w:rsidRPr="00134A60" w:rsidTr="00E12EF0">
        <w:trPr>
          <w:trHeight w:val="300"/>
        </w:trPr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2018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</w:tcPr>
          <w:p w:rsidR="004A5017" w:rsidRPr="00134A60" w:rsidRDefault="004A5017" w:rsidP="00E12EF0">
            <w:pPr>
              <w:pStyle w:val="Tabletext"/>
            </w:pPr>
            <w:r w:rsidRPr="00134A60">
              <w:t>213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0.12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0.25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>
              <w:t>0.12–</w:t>
            </w:r>
            <w:r w:rsidRPr="00134A60">
              <w:t>8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99.5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</w:t>
            </w:r>
            <w:r>
              <w:t>.0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134A60" w:rsidRDefault="004A5017" w:rsidP="00E12EF0">
            <w:pPr>
              <w:pStyle w:val="Tabletext"/>
            </w:pPr>
            <w:r w:rsidRPr="00134A60">
              <w:t>0.5</w:t>
            </w:r>
          </w:p>
        </w:tc>
      </w:tr>
    </w:tbl>
    <w:p w:rsidR="004A5017" w:rsidRDefault="004A5017" w:rsidP="004A5017">
      <w:pPr>
        <w:pStyle w:val="FootnoteText"/>
      </w:pPr>
      <w:r>
        <w:t xml:space="preserve">ESBL, extended-spectrum </w:t>
      </w:r>
      <w:r>
        <w:rPr>
          <w:rFonts w:ascii="Calibri" w:hAnsi="Calibri" w:cs="Calibri"/>
        </w:rPr>
        <w:t>β</w:t>
      </w:r>
      <w:r>
        <w:t xml:space="preserve">-lactamase; %I, percentage of isolates susceptible, increased exposure; </w:t>
      </w:r>
      <w:r w:rsidRPr="00CF037C">
        <w:t>MIC, minimum inhibitory concentration; MIC</w:t>
      </w:r>
      <w:r w:rsidRPr="003B75D2">
        <w:rPr>
          <w:vertAlign w:val="subscript"/>
        </w:rPr>
        <w:t>50</w:t>
      </w:r>
      <w:r w:rsidRPr="00CF037C">
        <w:t>, MIC required to inhibit growth of 50% of isolates (mg/L); MIC</w:t>
      </w:r>
      <w:r w:rsidRPr="003B75D2">
        <w:rPr>
          <w:vertAlign w:val="subscript"/>
        </w:rPr>
        <w:t>90</w:t>
      </w:r>
      <w:r w:rsidRPr="00CF037C">
        <w:t>, MIC required to inhibit growth of 90% of isolates (mg/L)</w:t>
      </w:r>
      <w:r>
        <w:t xml:space="preserve">; %R, percentage of isolates resistant; %S, percentage of isolates susceptible, standard dosing. </w:t>
      </w:r>
      <w:r>
        <w:br w:type="page"/>
      </w:r>
    </w:p>
    <w:p w:rsidR="004A5017" w:rsidRDefault="004A5017" w:rsidP="004A5017"/>
    <w:p w:rsidR="004A5017" w:rsidRDefault="004A5017" w:rsidP="004A5017">
      <w:pPr>
        <w:pStyle w:val="Heading4"/>
      </w:pPr>
      <w:r>
        <w:t xml:space="preserve">Supplemental Table 4. Activity of meropenem against levofloxacin-resistant </w:t>
      </w:r>
      <w:r w:rsidRPr="002305FE">
        <w:rPr>
          <w:i/>
        </w:rPr>
        <w:t>E. coli</w:t>
      </w:r>
      <w:r>
        <w:t xml:space="preserve"> </w:t>
      </w:r>
      <w:r w:rsidRPr="003F65D8">
        <w:t>is</w:t>
      </w:r>
      <w:r>
        <w:t>olates, ATLAS</w:t>
      </w:r>
      <w:r w:rsidRPr="003F65D8">
        <w:t xml:space="preserve">, </w:t>
      </w:r>
      <w:r>
        <w:t xml:space="preserve">by region and year, </w:t>
      </w:r>
      <w:r w:rsidRPr="003F65D8">
        <w:t>201</w:t>
      </w:r>
      <w:r>
        <w:t>2–2018.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142"/>
        <w:gridCol w:w="1559"/>
        <w:gridCol w:w="1559"/>
        <w:gridCol w:w="1985"/>
        <w:gridCol w:w="708"/>
        <w:gridCol w:w="567"/>
        <w:gridCol w:w="709"/>
      </w:tblGrid>
      <w:tr w:rsidR="004A5017" w:rsidRPr="00D3705A" w:rsidTr="00E12EF0">
        <w:trPr>
          <w:trHeight w:val="300"/>
          <w:tblHeader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header"/>
            </w:pPr>
            <w:r>
              <w:t xml:space="preserve">Region, </w:t>
            </w:r>
            <w:r>
              <w:br/>
            </w:r>
            <w:r w:rsidRPr="00D3705A">
              <w:t>Year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017" w:rsidRPr="00D3705A" w:rsidRDefault="004A5017" w:rsidP="00E12EF0">
            <w:pPr>
              <w:pStyle w:val="Tableheader"/>
            </w:pPr>
            <w:r>
              <w:t>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header"/>
            </w:pPr>
            <w:r w:rsidRPr="00D3705A">
              <w:t>MIC</w:t>
            </w:r>
            <w:r w:rsidRPr="009F5C2C">
              <w:rPr>
                <w:vertAlign w:val="subscript"/>
              </w:rPr>
              <w:t>50</w:t>
            </w:r>
            <w:r>
              <w:br/>
              <w:t>(mg/L)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header"/>
            </w:pPr>
            <w:r w:rsidRPr="00D3705A">
              <w:t>MIC</w:t>
            </w:r>
            <w:r w:rsidRPr="009F5C2C">
              <w:rPr>
                <w:vertAlign w:val="subscript"/>
              </w:rPr>
              <w:t>90</w:t>
            </w:r>
            <w:r>
              <w:br/>
              <w:t>(mg/L)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header"/>
            </w:pPr>
            <w:r w:rsidRPr="00D3705A">
              <w:t>Range</w:t>
            </w:r>
            <w:r>
              <w:br/>
              <w:t>(mg/L)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header"/>
            </w:pPr>
            <w:r w:rsidRPr="00D3705A">
              <w:t>%S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header"/>
            </w:pPr>
            <w:r w:rsidRPr="00D3705A">
              <w:t>%I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header"/>
            </w:pPr>
            <w:r w:rsidRPr="00D3705A">
              <w:t>%R</w:t>
            </w:r>
          </w:p>
        </w:tc>
      </w:tr>
      <w:tr w:rsidR="004A5017" w:rsidRPr="00E128EE" w:rsidTr="00E12EF0">
        <w:trPr>
          <w:trHeight w:val="300"/>
        </w:trPr>
        <w:tc>
          <w:tcPr>
            <w:tcW w:w="379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Africa/Middle East, ESBL-positive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0.06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</w:t>
            </w:r>
            <w:r>
              <w:t>.0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0.03–</w:t>
            </w:r>
            <w:r w:rsidRPr="00D3705A">
              <w:t>0.25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0.5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0.5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0.06–</w:t>
            </w:r>
            <w:r w:rsidRPr="00D3705A">
              <w:t>≥32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98.5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0.7</w:t>
            </w:r>
          </w:p>
        </w:tc>
      </w:tr>
      <w:tr w:rsidR="004A5017" w:rsidRPr="00E128EE" w:rsidTr="00E12EF0">
        <w:trPr>
          <w:trHeight w:val="300"/>
        </w:trPr>
        <w:tc>
          <w:tcPr>
            <w:tcW w:w="5353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Africa/Middle East, ESBL-negative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0.06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0.008–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98.6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1.4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96.8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1.1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2.1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0.25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0.25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0.06–</w:t>
            </w:r>
            <w:r w:rsidRPr="00D3705A"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E128EE" w:rsidTr="00E12EF0">
        <w:trPr>
          <w:trHeight w:val="300"/>
        </w:trPr>
        <w:tc>
          <w:tcPr>
            <w:tcW w:w="379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Asia/South Pacific, ESBL-positive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2012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123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98.4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1.6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2013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148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0.7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2014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159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0.12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2015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152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98.7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0.7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2016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206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0.008–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96.6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2.4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2017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204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96.6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2.5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291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0.06–</w:t>
            </w:r>
            <w:r w:rsidRPr="00D3705A">
              <w:t>≥32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91.1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8.6</w:t>
            </w:r>
          </w:p>
        </w:tc>
      </w:tr>
      <w:tr w:rsidR="004A5017" w:rsidRPr="00E128EE" w:rsidTr="00E12EF0">
        <w:trPr>
          <w:trHeight w:val="300"/>
        </w:trPr>
        <w:tc>
          <w:tcPr>
            <w:tcW w:w="379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lastRenderedPageBreak/>
              <w:t>Asia/South Pacific, ESBL-negative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2012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131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0.25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2013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143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0.06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2014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150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≤0.004–</w:t>
            </w:r>
            <w:r w:rsidRPr="00D3705A">
              <w:t>0.25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2015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119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0.8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2016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173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0.25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2017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154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0.008–</w:t>
            </w:r>
            <w:r w:rsidRPr="00D3705A">
              <w:t>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184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0.06–</w:t>
            </w:r>
            <w:r w:rsidRPr="00D3705A">
              <w:t>≥32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97.3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2.2</w:t>
            </w:r>
          </w:p>
        </w:tc>
      </w:tr>
      <w:tr w:rsidR="004A5017" w:rsidRPr="00E128EE" w:rsidTr="00E12EF0">
        <w:trPr>
          <w:trHeight w:val="300"/>
        </w:trPr>
        <w:tc>
          <w:tcPr>
            <w:tcW w:w="379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Europe, ESBL-positive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2012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175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0.008–</w:t>
            </w:r>
            <w:r w:rsidRPr="00D3705A">
              <w:t>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2013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361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≤0.004–</w:t>
            </w:r>
            <w:r w:rsidRPr="00D3705A">
              <w:t>0.25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2014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347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2015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305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0.008–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96.7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2.6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0.7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2016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316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2017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343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0.008–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0.3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443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0.06–</w:t>
            </w:r>
            <w:r w:rsidRPr="00D3705A">
              <w:t>≥32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97.7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1.8</w:t>
            </w:r>
          </w:p>
        </w:tc>
      </w:tr>
      <w:tr w:rsidR="004A5017" w:rsidRPr="00E128EE" w:rsidTr="00E12EF0">
        <w:trPr>
          <w:trHeight w:val="300"/>
        </w:trPr>
        <w:tc>
          <w:tcPr>
            <w:tcW w:w="379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Europe, ESBL-negative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2012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247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≤0.004–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0.4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2013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340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≤0.004–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0.3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2014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380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0.008–</w:t>
            </w:r>
            <w:r w:rsidRPr="00D3705A">
              <w:t>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2015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315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0.008–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</w:t>
            </w:r>
            <w:r>
              <w:t>.0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0.3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2016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393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0.008–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98.5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0.8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2017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326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0.008–</w:t>
            </w:r>
            <w:r w:rsidRPr="00D3705A">
              <w:t>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372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0.06–</w:t>
            </w:r>
            <w:r w:rsidRPr="00D3705A">
              <w:t>≥32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98.7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1.1</w:t>
            </w:r>
          </w:p>
        </w:tc>
      </w:tr>
      <w:tr w:rsidR="004A5017" w:rsidRPr="00E128EE" w:rsidTr="00E12EF0">
        <w:trPr>
          <w:trHeight w:val="300"/>
        </w:trPr>
        <w:tc>
          <w:tcPr>
            <w:tcW w:w="379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Latin America, ESBL-positive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2012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150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2013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185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2014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229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98.7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0.9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lastRenderedPageBreak/>
              <w:t>2015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193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</w:t>
            </w:r>
            <w:r>
              <w:t>.0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0.5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2016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311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98.7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1.3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2017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258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98.8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0.4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241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0.06–</w:t>
            </w:r>
            <w:r w:rsidRPr="00D3705A">
              <w:t>≥32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0.8</w:t>
            </w:r>
          </w:p>
        </w:tc>
      </w:tr>
      <w:tr w:rsidR="004A5017" w:rsidRPr="00E128EE" w:rsidTr="00E12EF0">
        <w:trPr>
          <w:trHeight w:val="300"/>
        </w:trPr>
        <w:tc>
          <w:tcPr>
            <w:tcW w:w="3794" w:type="dxa"/>
            <w:gridSpan w:val="4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Latin America, ESBL-negative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2012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0.008–</w:t>
            </w:r>
            <w:r w:rsidRPr="00D3705A">
              <w:t>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</w:t>
            </w:r>
            <w:r>
              <w:t>.0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2013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147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0.008–</w:t>
            </w:r>
            <w:r w:rsidRPr="00D3705A">
              <w:t>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2014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146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2015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163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0.008–</w:t>
            </w:r>
            <w:r w:rsidRPr="00D3705A">
              <w:t>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2016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183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0.015–</w:t>
            </w:r>
            <w:r w:rsidRPr="00D3705A">
              <w:t>16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0.5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2017</w:t>
            </w:r>
          </w:p>
        </w:tc>
        <w:tc>
          <w:tcPr>
            <w:tcW w:w="567" w:type="dxa"/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180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0.008–</w:t>
            </w:r>
            <w:r w:rsidRPr="00D3705A">
              <w:t>0.12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</w:tr>
      <w:tr w:rsidR="004A5017" w:rsidRPr="00D3705A" w:rsidTr="00E12EF0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2018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5017" w:rsidRPr="00D3705A" w:rsidRDefault="004A5017" w:rsidP="00E12EF0">
            <w:pPr>
              <w:pStyle w:val="Tabletext"/>
            </w:pPr>
            <w:r w:rsidRPr="00D3705A">
              <w:t>213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>
              <w:t>0.06–</w:t>
            </w:r>
            <w:r w:rsidRPr="00D3705A">
              <w:t>≥32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99.1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</w:t>
            </w:r>
            <w:r>
              <w:t>.0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D3705A" w:rsidRDefault="004A5017" w:rsidP="00E12EF0">
            <w:pPr>
              <w:pStyle w:val="Tabletext"/>
            </w:pPr>
            <w:r w:rsidRPr="00D3705A">
              <w:t>0.9</w:t>
            </w:r>
          </w:p>
        </w:tc>
      </w:tr>
    </w:tbl>
    <w:p w:rsidR="004A5017" w:rsidRDefault="004A5017" w:rsidP="004A5017">
      <w:pPr>
        <w:pStyle w:val="FootnoteText"/>
      </w:pPr>
      <w:r>
        <w:t xml:space="preserve">ESBL, extended-spectrum </w:t>
      </w:r>
      <w:r>
        <w:rPr>
          <w:rFonts w:ascii="Calibri" w:hAnsi="Calibri" w:cs="Calibri"/>
        </w:rPr>
        <w:t>β</w:t>
      </w:r>
      <w:r>
        <w:t xml:space="preserve">-lactamase; %I, percentage of isolates susceptible, increased exposure; </w:t>
      </w:r>
      <w:r w:rsidRPr="00CF037C">
        <w:t>MIC, minimum inhibitory concentration; MIC</w:t>
      </w:r>
      <w:r w:rsidRPr="003B75D2">
        <w:rPr>
          <w:vertAlign w:val="subscript"/>
        </w:rPr>
        <w:t>50</w:t>
      </w:r>
      <w:r w:rsidRPr="00CF037C">
        <w:t>, MIC required to inhibit growth of 50% of isolates (mg/L); MIC</w:t>
      </w:r>
      <w:r w:rsidRPr="003B75D2">
        <w:rPr>
          <w:vertAlign w:val="subscript"/>
        </w:rPr>
        <w:t>90</w:t>
      </w:r>
      <w:r w:rsidRPr="00CF037C">
        <w:t>, MIC required to inhibit growth of 90% of isolates (mg/L)</w:t>
      </w:r>
      <w:r>
        <w:t xml:space="preserve">; %R, percentage of isolates resistant; %S, percentage of isolates susceptible, standard dosing. </w:t>
      </w:r>
      <w:r>
        <w:br w:type="page"/>
      </w:r>
    </w:p>
    <w:p w:rsidR="004A5017" w:rsidRDefault="004A5017" w:rsidP="004A5017"/>
    <w:p w:rsidR="004A5017" w:rsidRDefault="004A5017" w:rsidP="004A5017">
      <w:pPr>
        <w:pStyle w:val="Heading4"/>
      </w:pPr>
      <w:r>
        <w:t xml:space="preserve">Supplemental Table 5. Activity of tigecycline against levofloxacin-resistant </w:t>
      </w:r>
      <w:r w:rsidRPr="002305FE">
        <w:rPr>
          <w:i/>
        </w:rPr>
        <w:t>E. coli</w:t>
      </w:r>
      <w:r>
        <w:t>, ATLAS</w:t>
      </w:r>
      <w:r w:rsidRPr="003F65D8">
        <w:t xml:space="preserve">, </w:t>
      </w:r>
      <w:r>
        <w:t xml:space="preserve">by region and year, </w:t>
      </w:r>
      <w:r w:rsidRPr="003F65D8">
        <w:t>201</w:t>
      </w:r>
      <w:r>
        <w:t>2–2018.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26"/>
        <w:gridCol w:w="1643"/>
        <w:gridCol w:w="1507"/>
        <w:gridCol w:w="1916"/>
        <w:gridCol w:w="689"/>
        <w:gridCol w:w="553"/>
        <w:gridCol w:w="690"/>
      </w:tblGrid>
      <w:tr w:rsidR="004A5017" w:rsidRPr="004352C3" w:rsidTr="00E12EF0">
        <w:trPr>
          <w:trHeight w:val="300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header"/>
            </w:pPr>
            <w:r>
              <w:t xml:space="preserve">Region, </w:t>
            </w:r>
            <w:r>
              <w:br/>
            </w:r>
            <w:r w:rsidRPr="004352C3">
              <w:t>Year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017" w:rsidRPr="004352C3" w:rsidRDefault="004A5017" w:rsidP="00E12EF0">
            <w:pPr>
              <w:pStyle w:val="Tableheader"/>
            </w:pPr>
            <w:r>
              <w:t>N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header"/>
            </w:pPr>
            <w:r w:rsidRPr="004352C3">
              <w:t>MIC</w:t>
            </w:r>
            <w:r w:rsidRPr="006D68FB">
              <w:rPr>
                <w:vertAlign w:val="subscript"/>
              </w:rPr>
              <w:t>50</w:t>
            </w:r>
            <w:r>
              <w:br/>
              <w:t>(mg/L)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header"/>
            </w:pPr>
            <w:r w:rsidRPr="004352C3">
              <w:t>MIC</w:t>
            </w:r>
            <w:r w:rsidRPr="006D68FB">
              <w:rPr>
                <w:vertAlign w:val="subscript"/>
              </w:rPr>
              <w:t>90</w:t>
            </w:r>
            <w:r>
              <w:br/>
              <w:t>(mg/L)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header"/>
            </w:pPr>
            <w:r w:rsidRPr="004352C3">
              <w:t>Range</w:t>
            </w:r>
            <w:r>
              <w:br/>
              <w:t>(mg/L)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header"/>
            </w:pPr>
            <w:r w:rsidRPr="004352C3">
              <w:t>%S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header"/>
            </w:pPr>
            <w:r w:rsidRPr="004352C3">
              <w:t>%I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header"/>
            </w:pPr>
            <w:r w:rsidRPr="004352C3">
              <w:t>%R</w:t>
            </w:r>
          </w:p>
        </w:tc>
      </w:tr>
      <w:tr w:rsidR="004A5017" w:rsidRPr="00E128EE" w:rsidTr="00E12EF0">
        <w:trPr>
          <w:trHeight w:val="300"/>
        </w:trPr>
        <w:tc>
          <w:tcPr>
            <w:tcW w:w="3761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Africa/Middle East, ESBL-positive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2012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39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0.12–</w:t>
            </w:r>
            <w:r w:rsidRPr="004352C3">
              <w:t>4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84.6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15.4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2013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98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92.9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7.1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2014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109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1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96.3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3.7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2015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68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1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98.5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1.5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2016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77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0.12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0.12–</w:t>
            </w:r>
            <w:r w:rsidRPr="004352C3">
              <w:t>0.5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100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</w:t>
            </w:r>
            <w:r>
              <w:t>.0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2017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82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4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98.8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1.2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2018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136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1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97.1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2.9</w:t>
            </w:r>
          </w:p>
        </w:tc>
      </w:tr>
      <w:tr w:rsidR="004A5017" w:rsidRPr="00E128EE" w:rsidTr="00E12EF0">
        <w:trPr>
          <w:trHeight w:val="300"/>
        </w:trPr>
        <w:tc>
          <w:tcPr>
            <w:tcW w:w="376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Africa/Middle East, ESBL-negative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2012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47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0.12–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80.9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19.1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2013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72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1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93.1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6.9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2014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95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0.12–</w:t>
            </w:r>
            <w:r w:rsidRPr="004352C3">
              <w:t>1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96.8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3.2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2015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50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0.12–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96</w:t>
            </w:r>
            <w:r>
              <w:t>.0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4</w:t>
            </w:r>
            <w:r>
              <w:t>.0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2016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80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4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98.8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1.3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2017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78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4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93.6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6.4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2018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110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1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98.2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1.8</w:t>
            </w:r>
          </w:p>
        </w:tc>
      </w:tr>
      <w:tr w:rsidR="004A5017" w:rsidRPr="00E128EE" w:rsidTr="00E12EF0">
        <w:trPr>
          <w:trHeight w:val="300"/>
        </w:trPr>
        <w:tc>
          <w:tcPr>
            <w:tcW w:w="376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Asia/South Pacific, ESBL-positive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2012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123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0.12–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87.8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12.2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2013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148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4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92.6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7.4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2014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159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94.3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5.7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2015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152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1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97.4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2.6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2016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206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0.03–</w:t>
            </w:r>
            <w:r w:rsidRPr="004352C3">
              <w:t>≥16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96.6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3.4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2017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204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0.03–</w:t>
            </w:r>
            <w:r w:rsidRPr="004352C3">
              <w:t>8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95.6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4.4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lastRenderedPageBreak/>
              <w:t>2018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291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≥16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93.8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6.2</w:t>
            </w:r>
          </w:p>
        </w:tc>
      </w:tr>
      <w:tr w:rsidR="004A5017" w:rsidRPr="00E128EE" w:rsidTr="00E12EF0">
        <w:trPr>
          <w:trHeight w:val="300"/>
        </w:trPr>
        <w:tc>
          <w:tcPr>
            <w:tcW w:w="376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Asia/South Pacific, ESBL-negative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2012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131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87.8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12.2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2013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143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95.8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4.2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2014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150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0.03–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94</w:t>
            </w:r>
            <w:r>
              <w:t>.0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6</w:t>
            </w:r>
            <w:r>
              <w:t>.0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2015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119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90.8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9.2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2016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173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1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99.4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0.6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2017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154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4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95.5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4.5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2018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184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2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96.7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3.3</w:t>
            </w:r>
          </w:p>
        </w:tc>
      </w:tr>
      <w:tr w:rsidR="004A5017" w:rsidRPr="00E128EE" w:rsidTr="00E12EF0">
        <w:trPr>
          <w:trHeight w:val="300"/>
        </w:trPr>
        <w:tc>
          <w:tcPr>
            <w:tcW w:w="376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Europe, ESBL-positive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2012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175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0.03–</w:t>
            </w:r>
            <w:r w:rsidRPr="004352C3">
              <w:t>4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84.6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15.4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2013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361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95.3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4.7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2014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347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95.7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4.3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2015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305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≤0.015–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96.4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3.6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2016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316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0.03–</w:t>
            </w:r>
            <w:r w:rsidRPr="004352C3">
              <w:t>1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99.4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0.6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2017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343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4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98.5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1.5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2018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443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0.12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0.03–</w:t>
            </w:r>
            <w:r w:rsidRPr="004352C3">
              <w:t>2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98.2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1.8</w:t>
            </w:r>
          </w:p>
        </w:tc>
      </w:tr>
      <w:tr w:rsidR="004A5017" w:rsidRPr="00E128EE" w:rsidTr="00E12EF0">
        <w:trPr>
          <w:trHeight w:val="300"/>
        </w:trPr>
        <w:tc>
          <w:tcPr>
            <w:tcW w:w="376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Europe, ESBL-negative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2012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247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0.12–</w:t>
            </w:r>
            <w:r w:rsidRPr="004352C3">
              <w:t>4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78.9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21.1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2013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340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90.9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9.1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2014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380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0.03–</w:t>
            </w:r>
            <w:r w:rsidRPr="004352C3">
              <w:t>4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94.5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5.5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2015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315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93.7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6.3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2016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393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≤0.015–</w:t>
            </w:r>
            <w:r w:rsidRPr="004352C3">
              <w:t>1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99</w:t>
            </w:r>
            <w:r>
              <w:t>.0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</w:t>
            </w:r>
            <w:r>
              <w:t>.0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2017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326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0.03–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96.9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3.1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2018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372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0.12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0.03–</w:t>
            </w:r>
            <w:r w:rsidRPr="004352C3">
              <w:t>2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99.2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0.8</w:t>
            </w:r>
          </w:p>
        </w:tc>
      </w:tr>
      <w:tr w:rsidR="004A5017" w:rsidRPr="00E128EE" w:rsidTr="00E12EF0">
        <w:trPr>
          <w:trHeight w:val="300"/>
        </w:trPr>
        <w:tc>
          <w:tcPr>
            <w:tcW w:w="376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Latin America, ESBL-positive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2012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150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0.12–</w:t>
            </w:r>
            <w:r w:rsidRPr="004352C3">
              <w:t>4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85.3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14.7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2013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185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≤0.015–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93.5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6.5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lastRenderedPageBreak/>
              <w:t>2014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229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4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96.1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3.9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2015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193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96.9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3.1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2016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311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1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98.7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1.3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2017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258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96.9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3.1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2018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241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0.03–</w:t>
            </w:r>
            <w:r w:rsidRPr="004352C3">
              <w:t>2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97.9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2.1</w:t>
            </w:r>
          </w:p>
        </w:tc>
      </w:tr>
      <w:tr w:rsidR="004A5017" w:rsidRPr="00E128EE" w:rsidTr="00E12EF0">
        <w:trPr>
          <w:trHeight w:val="300"/>
        </w:trPr>
        <w:tc>
          <w:tcPr>
            <w:tcW w:w="3761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jc w:val="left"/>
              <w:rPr>
                <w:b/>
              </w:rPr>
            </w:pPr>
            <w:r w:rsidRPr="00E128EE">
              <w:rPr>
                <w:b/>
              </w:rPr>
              <w:t>Latin America, ESBL-negative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5017" w:rsidRPr="00E128EE" w:rsidRDefault="004A5017" w:rsidP="00E12EF0">
            <w:pPr>
              <w:pStyle w:val="Tabletext"/>
              <w:rPr>
                <w:b/>
              </w:rPr>
            </w:pP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2012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100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88</w:t>
            </w:r>
            <w:r>
              <w:t>.0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12</w:t>
            </w:r>
            <w:r>
              <w:t>.0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2013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147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≤0.015–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93.9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6.1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2014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146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0.12–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97.3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2.7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2015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163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0.12–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95.1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4.9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2016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183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0.06–</w:t>
            </w:r>
            <w:r w:rsidRPr="004352C3">
              <w:t>4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97.8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2.2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2017</w:t>
            </w:r>
          </w:p>
        </w:tc>
        <w:tc>
          <w:tcPr>
            <w:tcW w:w="844" w:type="dxa"/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180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545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0.5</w:t>
            </w:r>
          </w:p>
        </w:tc>
        <w:tc>
          <w:tcPr>
            <w:tcW w:w="1966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≤0.015–</w:t>
            </w:r>
            <w:r w:rsidRPr="004352C3"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96.7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3.3</w:t>
            </w:r>
          </w:p>
        </w:tc>
      </w:tr>
      <w:tr w:rsidR="004A5017" w:rsidRPr="004352C3" w:rsidTr="00E12EF0">
        <w:trPr>
          <w:trHeight w:val="300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2018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4A5017" w:rsidRPr="004352C3" w:rsidRDefault="004A5017" w:rsidP="00E12EF0">
            <w:pPr>
              <w:pStyle w:val="Tabletext"/>
            </w:pPr>
            <w:r w:rsidRPr="004352C3">
              <w:t>213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0.12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0.25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t>0.03–</w:t>
            </w:r>
            <w:r w:rsidRPr="004352C3">
              <w:t>2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96.2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A5017" w:rsidRPr="004352C3" w:rsidRDefault="004A5017" w:rsidP="00E12EF0">
            <w:pPr>
              <w:pStyle w:val="Tabletext"/>
            </w:pPr>
            <w:r w:rsidRPr="004352C3">
              <w:t>3.8</w:t>
            </w:r>
          </w:p>
        </w:tc>
      </w:tr>
    </w:tbl>
    <w:p w:rsidR="004A5017" w:rsidRDefault="004A5017" w:rsidP="004A5017">
      <w:pPr>
        <w:pStyle w:val="FootnoteText"/>
      </w:pPr>
      <w:r w:rsidRPr="00B72A2D">
        <w:t>–</w:t>
      </w:r>
      <w:r>
        <w:t xml:space="preserve"> Indicates no breakpoint for the agent </w:t>
      </w:r>
      <w:r>
        <w:br/>
        <w:t xml:space="preserve">ESBL, extended-spectrum </w:t>
      </w:r>
      <w:r>
        <w:rPr>
          <w:rFonts w:ascii="Calibri" w:hAnsi="Calibri" w:cs="Calibri"/>
        </w:rPr>
        <w:t>β</w:t>
      </w:r>
      <w:r>
        <w:t xml:space="preserve">-lactamase; %I, percentage of isolates susceptible, increased exposure; </w:t>
      </w:r>
      <w:r w:rsidRPr="00CF037C">
        <w:t>MIC, minimum inhibitory concentration; MIC</w:t>
      </w:r>
      <w:r w:rsidRPr="003B75D2">
        <w:rPr>
          <w:vertAlign w:val="subscript"/>
        </w:rPr>
        <w:t>50</w:t>
      </w:r>
      <w:r w:rsidRPr="00CF037C">
        <w:t>, MIC required to inhibit growth of 50% of isolates (mg/L); MIC</w:t>
      </w:r>
      <w:r w:rsidRPr="003B75D2">
        <w:rPr>
          <w:vertAlign w:val="subscript"/>
        </w:rPr>
        <w:t>90</w:t>
      </w:r>
      <w:r w:rsidRPr="00CF037C">
        <w:t>, MIC required to inhibit growth of 90% of isolates (mg/L)</w:t>
      </w:r>
      <w:r>
        <w:t>; %R, percentage of isolates resistant; %S, percentage of isolates susceptible, standard dosing.</w:t>
      </w:r>
    </w:p>
    <w:p w:rsidR="004A5017" w:rsidRPr="009B23ED" w:rsidRDefault="004A5017" w:rsidP="004A5017"/>
    <w:p w:rsidR="004A5017" w:rsidRDefault="004A5017" w:rsidP="004A5017">
      <w:pPr>
        <w:rPr>
          <w:lang w:val="en-GB"/>
        </w:rPr>
      </w:pPr>
    </w:p>
    <w:p w:rsidR="00B57F37" w:rsidRDefault="004A5017">
      <w:bookmarkStart w:id="0" w:name="_GoBack"/>
      <w:bookmarkEnd w:id="0"/>
    </w:p>
    <w:sectPr w:rsidR="00B57F37" w:rsidSect="00B344FA">
      <w:pgSz w:w="11906" w:h="16838" w:code="9"/>
      <w:pgMar w:top="1440" w:right="1440" w:bottom="1440" w:left="1440" w:header="567" w:footer="567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2C22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1CB2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E5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C97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3691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C01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10B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3A0B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DAD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742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55EC6"/>
    <w:multiLevelType w:val="hybridMultilevel"/>
    <w:tmpl w:val="3DF40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7D4F39"/>
    <w:multiLevelType w:val="hybridMultilevel"/>
    <w:tmpl w:val="6352C0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0A4EFC"/>
    <w:multiLevelType w:val="hybridMultilevel"/>
    <w:tmpl w:val="5A5AAB90"/>
    <w:lvl w:ilvl="0" w:tplc="1F4C26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712AC"/>
    <w:multiLevelType w:val="hybridMultilevel"/>
    <w:tmpl w:val="C2943C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50D55"/>
    <w:multiLevelType w:val="hybridMultilevel"/>
    <w:tmpl w:val="5B14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3B5AED"/>
    <w:multiLevelType w:val="hybridMultilevel"/>
    <w:tmpl w:val="E5F8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647C5"/>
    <w:multiLevelType w:val="hybridMultilevel"/>
    <w:tmpl w:val="17080A28"/>
    <w:lvl w:ilvl="0" w:tplc="3CEECCB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33AED"/>
    <w:multiLevelType w:val="hybridMultilevel"/>
    <w:tmpl w:val="C4962830"/>
    <w:lvl w:ilvl="0" w:tplc="3552DC3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3570A9"/>
    <w:multiLevelType w:val="hybridMultilevel"/>
    <w:tmpl w:val="EBB4123E"/>
    <w:lvl w:ilvl="0" w:tplc="2D3CC84A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B15908"/>
    <w:multiLevelType w:val="hybridMultilevel"/>
    <w:tmpl w:val="D0C82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123E72">
      <w:start w:val="1"/>
      <w:numFmt w:val="bullet"/>
      <w:lvlText w:val="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621E7"/>
    <w:multiLevelType w:val="hybridMultilevel"/>
    <w:tmpl w:val="9546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F7161"/>
    <w:multiLevelType w:val="hybridMultilevel"/>
    <w:tmpl w:val="8CA63E66"/>
    <w:lvl w:ilvl="0" w:tplc="1B2485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450A6"/>
    <w:multiLevelType w:val="multilevel"/>
    <w:tmpl w:val="47E81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9D1890"/>
    <w:multiLevelType w:val="hybridMultilevel"/>
    <w:tmpl w:val="EE0A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F729C"/>
    <w:multiLevelType w:val="hybridMultilevel"/>
    <w:tmpl w:val="B456D3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873C8"/>
    <w:multiLevelType w:val="hybridMultilevel"/>
    <w:tmpl w:val="95C8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D74FF"/>
    <w:multiLevelType w:val="hybridMultilevel"/>
    <w:tmpl w:val="C5C84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80E48"/>
    <w:multiLevelType w:val="multilevel"/>
    <w:tmpl w:val="1094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F36915"/>
    <w:multiLevelType w:val="hybridMultilevel"/>
    <w:tmpl w:val="003A25BE"/>
    <w:lvl w:ilvl="0" w:tplc="49465A5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E031D"/>
    <w:multiLevelType w:val="hybridMultilevel"/>
    <w:tmpl w:val="1BD046C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393AAD"/>
    <w:multiLevelType w:val="hybridMultilevel"/>
    <w:tmpl w:val="5C3277E4"/>
    <w:lvl w:ilvl="0" w:tplc="0010DC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7934493"/>
    <w:multiLevelType w:val="hybridMultilevel"/>
    <w:tmpl w:val="EB0A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D6C01"/>
    <w:multiLevelType w:val="hybridMultilevel"/>
    <w:tmpl w:val="21587382"/>
    <w:lvl w:ilvl="0" w:tplc="6330C002">
      <w:start w:val="1"/>
      <w:numFmt w:val="decimal"/>
      <w:pStyle w:val="Bibliography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5774C"/>
    <w:multiLevelType w:val="hybridMultilevel"/>
    <w:tmpl w:val="DDFA7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867C8"/>
    <w:multiLevelType w:val="hybridMultilevel"/>
    <w:tmpl w:val="198C4E46"/>
    <w:lvl w:ilvl="0" w:tplc="68D09002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13"/>
  </w:num>
  <w:num w:numId="13">
    <w:abstractNumId w:val="24"/>
  </w:num>
  <w:num w:numId="14">
    <w:abstractNumId w:val="22"/>
  </w:num>
  <w:num w:numId="15">
    <w:abstractNumId w:val="30"/>
  </w:num>
  <w:num w:numId="16">
    <w:abstractNumId w:val="10"/>
  </w:num>
  <w:num w:numId="17">
    <w:abstractNumId w:val="11"/>
  </w:num>
  <w:num w:numId="18">
    <w:abstractNumId w:val="33"/>
  </w:num>
  <w:num w:numId="19">
    <w:abstractNumId w:val="14"/>
  </w:num>
  <w:num w:numId="20">
    <w:abstractNumId w:val="26"/>
  </w:num>
  <w:num w:numId="21">
    <w:abstractNumId w:val="19"/>
  </w:num>
  <w:num w:numId="22">
    <w:abstractNumId w:val="23"/>
  </w:num>
  <w:num w:numId="23">
    <w:abstractNumId w:val="18"/>
  </w:num>
  <w:num w:numId="24">
    <w:abstractNumId w:val="28"/>
  </w:num>
  <w:num w:numId="25">
    <w:abstractNumId w:val="17"/>
  </w:num>
  <w:num w:numId="26">
    <w:abstractNumId w:val="31"/>
  </w:num>
  <w:num w:numId="27">
    <w:abstractNumId w:val="25"/>
  </w:num>
  <w:num w:numId="28">
    <w:abstractNumId w:val="15"/>
  </w:num>
  <w:num w:numId="29">
    <w:abstractNumId w:val="34"/>
  </w:num>
  <w:num w:numId="30">
    <w:abstractNumId w:val="12"/>
  </w:num>
  <w:num w:numId="31">
    <w:abstractNumId w:val="21"/>
  </w:num>
  <w:num w:numId="32">
    <w:abstractNumId w:val="16"/>
  </w:num>
  <w:num w:numId="33">
    <w:abstractNumId w:val="32"/>
  </w:num>
  <w:num w:numId="34">
    <w:abstractNumId w:val="2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17"/>
    <w:rsid w:val="004A5017"/>
    <w:rsid w:val="00935206"/>
    <w:rsid w:val="00953E1B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7D5FA-DBFD-4076-A476-AF2B1109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017"/>
    <w:pPr>
      <w:spacing w:after="0" w:line="480" w:lineRule="auto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4A5017"/>
    <w:pPr>
      <w:keepNext/>
      <w:widowControl w:val="0"/>
      <w:spacing w:before="240" w:after="120"/>
      <w:outlineLvl w:val="0"/>
    </w:pPr>
    <w:rPr>
      <w:rFonts w:eastAsia="Times New Roman"/>
      <w:b/>
      <w:sz w:val="24"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5017"/>
    <w:pPr>
      <w:keepNext/>
      <w:keepLines/>
      <w:spacing w:before="240" w:after="120"/>
      <w:outlineLvl w:val="1"/>
    </w:pPr>
    <w:rPr>
      <w:rFonts w:eastAsia="Times New Roman"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017"/>
    <w:pPr>
      <w:keepNext/>
      <w:keepLines/>
      <w:spacing w:before="120"/>
      <w:outlineLvl w:val="2"/>
    </w:pPr>
    <w:rPr>
      <w:rFonts w:eastAsia="Times New Roman"/>
      <w:bCs/>
      <w:i/>
    </w:rPr>
  </w:style>
  <w:style w:type="paragraph" w:styleId="Heading4">
    <w:name w:val="heading 4"/>
    <w:basedOn w:val="Caption"/>
    <w:next w:val="Normal"/>
    <w:link w:val="Heading4Char"/>
    <w:uiPriority w:val="9"/>
    <w:unhideWhenUsed/>
    <w:qFormat/>
    <w:rsid w:val="004A5017"/>
    <w:pPr>
      <w:spacing w:line="480" w:lineRule="auto"/>
      <w:outlineLvl w:val="3"/>
    </w:pPr>
    <w:rPr>
      <w:color w:val="auto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5017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rsid w:val="004A5017"/>
    <w:pPr>
      <w:keepNext/>
      <w:outlineLvl w:val="5"/>
    </w:pPr>
    <w:rPr>
      <w:szCs w:val="20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01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4A5017"/>
    <w:pPr>
      <w:keepNext/>
      <w:spacing w:before="120" w:after="120" w:line="360" w:lineRule="auto"/>
      <w:outlineLvl w:val="7"/>
    </w:pPr>
    <w:rPr>
      <w:rFonts w:ascii="Arial" w:hAnsi="Arial"/>
      <w:b/>
      <w:sz w:val="4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01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017"/>
    <w:rPr>
      <w:rFonts w:ascii="Times New Roman" w:eastAsia="Times New Roman" w:hAnsi="Times New Roman" w:cs="Times New Roman"/>
      <w:b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A5017"/>
    <w:rPr>
      <w:rFonts w:ascii="Times New Roman" w:eastAsia="Times New Roman" w:hAnsi="Times New Roman" w:cs="Times New Roman"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A5017"/>
    <w:rPr>
      <w:rFonts w:ascii="Times New Roman" w:eastAsia="Times New Roman" w:hAnsi="Times New Roman" w:cs="Times New Roman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4A5017"/>
    <w:rPr>
      <w:rFonts w:ascii="Times New Roman" w:eastAsia="Calibri" w:hAnsi="Times New Roman" w:cs="Times New Roman"/>
      <w:b/>
      <w:bCs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4A5017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4A5017"/>
    <w:rPr>
      <w:rFonts w:ascii="Times New Roman" w:eastAsia="Calibri" w:hAnsi="Times New Roman" w:cs="Times New Roman"/>
      <w:szCs w:val="20"/>
      <w:lang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017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4A5017"/>
    <w:rPr>
      <w:rFonts w:ascii="Arial" w:eastAsia="Calibri" w:hAnsi="Arial" w:cs="Times New Roman"/>
      <w:b/>
      <w:sz w:val="40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017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A5017"/>
    <w:pPr>
      <w:numPr>
        <w:numId w:val="23"/>
      </w:numPr>
      <w:contextualSpacing/>
    </w:pPr>
  </w:style>
  <w:style w:type="table" w:styleId="TableGrid">
    <w:name w:val="Table Grid"/>
    <w:basedOn w:val="TableNormal"/>
    <w:uiPriority w:val="59"/>
    <w:rsid w:val="004A501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A501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A501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4A5017"/>
    <w:pPr>
      <w:tabs>
        <w:tab w:val="center" w:pos="4320"/>
        <w:tab w:val="right" w:pos="8640"/>
      </w:tabs>
      <w:spacing w:line="240" w:lineRule="auto"/>
    </w:pPr>
    <w:rPr>
      <w:rFonts w:eastAsia="Times New Roman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A5017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01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1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A501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017"/>
    <w:rPr>
      <w:rFonts w:ascii="Times New Roman" w:eastAsia="Calibri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4A5017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A5017"/>
    <w:pPr>
      <w:spacing w:before="120" w:after="120"/>
      <w:contextualSpacing/>
      <w:jc w:val="center"/>
    </w:pPr>
    <w:rPr>
      <w:rFonts w:eastAsia="Times New Roman"/>
      <w:b/>
      <w:spacing w:val="5"/>
      <w:kern w:val="28"/>
      <w:sz w:val="24"/>
      <w:szCs w:val="52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4A5017"/>
    <w:rPr>
      <w:rFonts w:ascii="Times New Roman" w:eastAsia="Times New Roman" w:hAnsi="Times New Roman" w:cs="Times New Roman"/>
      <w:b/>
      <w:spacing w:val="5"/>
      <w:kern w:val="28"/>
      <w:sz w:val="24"/>
      <w:szCs w:val="52"/>
      <w:lang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01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4A5017"/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character" w:styleId="Strong">
    <w:name w:val="Strong"/>
    <w:uiPriority w:val="22"/>
    <w:qFormat/>
    <w:rsid w:val="004A5017"/>
    <w:rPr>
      <w:b/>
      <w:bCs/>
    </w:rPr>
  </w:style>
  <w:style w:type="character" w:styleId="Emphasis">
    <w:name w:val="Emphasis"/>
    <w:uiPriority w:val="20"/>
    <w:qFormat/>
    <w:rsid w:val="004A501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A5017"/>
    <w:rPr>
      <w:rFonts w:ascii="Calibri" w:hAnsi="Calibri"/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4A5017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017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017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4A5017"/>
    <w:rPr>
      <w:i/>
      <w:iCs/>
      <w:color w:val="auto"/>
    </w:rPr>
  </w:style>
  <w:style w:type="character" w:styleId="IntenseEmphasis">
    <w:name w:val="Intense Emphasis"/>
    <w:uiPriority w:val="21"/>
    <w:qFormat/>
    <w:rsid w:val="004A5017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A5017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A5017"/>
    <w:rPr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5017"/>
    <w:pPr>
      <w:keepLines/>
      <w:spacing w:before="480" w:line="276" w:lineRule="auto"/>
      <w:outlineLvl w:val="9"/>
    </w:pPr>
    <w:rPr>
      <w:rFonts w:ascii="Cambria" w:hAnsi="Cambria"/>
      <w:bCs/>
      <w:color w:val="365F91"/>
    </w:rPr>
  </w:style>
  <w:style w:type="paragraph" w:customStyle="1" w:styleId="Headingpre">
    <w:name w:val="Headingpre"/>
    <w:basedOn w:val="Title"/>
    <w:link w:val="HeadingpreChar"/>
    <w:qFormat/>
    <w:rsid w:val="004A5017"/>
  </w:style>
  <w:style w:type="character" w:customStyle="1" w:styleId="HeadingpreChar">
    <w:name w:val="Headingpre Char"/>
    <w:link w:val="Headingpre"/>
    <w:rsid w:val="004A5017"/>
    <w:rPr>
      <w:rFonts w:ascii="Times New Roman" w:eastAsia="Times New Roman" w:hAnsi="Times New Roman" w:cs="Times New Roman"/>
      <w:b/>
      <w:spacing w:val="5"/>
      <w:kern w:val="28"/>
      <w:sz w:val="24"/>
      <w:szCs w:val="52"/>
      <w:lang w:eastAsia="x-none"/>
    </w:rPr>
  </w:style>
  <w:style w:type="paragraph" w:customStyle="1" w:styleId="Headingtitle">
    <w:name w:val="Heading title"/>
    <w:basedOn w:val="Normal"/>
    <w:next w:val="Title"/>
    <w:link w:val="HeadingtitleChar"/>
    <w:autoRedefine/>
    <w:qFormat/>
    <w:rsid w:val="004A5017"/>
    <w:pPr>
      <w:jc w:val="center"/>
    </w:pPr>
    <w:rPr>
      <w:b/>
      <w:sz w:val="28"/>
      <w:szCs w:val="20"/>
      <w:lang w:val="x-none" w:eastAsia="x-none"/>
    </w:rPr>
  </w:style>
  <w:style w:type="character" w:customStyle="1" w:styleId="HeadingtitleChar">
    <w:name w:val="Heading title Char"/>
    <w:link w:val="Headingtitle"/>
    <w:rsid w:val="004A5017"/>
    <w:rPr>
      <w:rFonts w:ascii="Times New Roman" w:eastAsia="Calibri" w:hAnsi="Times New Roman" w:cs="Times New Roman"/>
      <w:b/>
      <w:sz w:val="28"/>
      <w:szCs w:val="20"/>
      <w:lang w:val="x-none" w:eastAsia="x-none"/>
    </w:rPr>
  </w:style>
  <w:style w:type="character" w:styleId="CommentReference">
    <w:name w:val="annotation reference"/>
    <w:uiPriority w:val="99"/>
    <w:unhideWhenUsed/>
    <w:rsid w:val="004A5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5017"/>
    <w:pPr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01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017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4A5017"/>
    <w:pPr>
      <w:spacing w:line="240" w:lineRule="auto"/>
    </w:pPr>
    <w:rPr>
      <w:rFonts w:eastAsia="Times New Roman"/>
      <w:noProof/>
      <w:szCs w:val="20"/>
      <w:lang w:val="x-none" w:eastAsia="x-none"/>
    </w:rPr>
  </w:style>
  <w:style w:type="character" w:customStyle="1" w:styleId="EndNoteBibliographyChar">
    <w:name w:val="EndNote Bibliography Char"/>
    <w:link w:val="EndNoteBibliography"/>
    <w:rsid w:val="004A5017"/>
    <w:rPr>
      <w:rFonts w:ascii="Times New Roman" w:eastAsia="Times New Roman" w:hAnsi="Times New Roman" w:cs="Times New Roman"/>
      <w:noProof/>
      <w:szCs w:val="20"/>
      <w:lang w:val="x-none" w:eastAsia="x-none"/>
    </w:rPr>
  </w:style>
  <w:style w:type="table" w:customStyle="1" w:styleId="LightShading1">
    <w:name w:val="Light Shading1"/>
    <w:basedOn w:val="TableNormal"/>
    <w:uiPriority w:val="60"/>
    <w:rsid w:val="004A501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DocumentMapChar">
    <w:name w:val="Document Map Char"/>
    <w:link w:val="DocumentMap"/>
    <w:uiPriority w:val="99"/>
    <w:semiHidden/>
    <w:rsid w:val="004A501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A5017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4A5017"/>
    <w:rPr>
      <w:rFonts w:ascii="Segoe UI" w:eastAsia="Calibri" w:hAnsi="Segoe UI" w:cs="Segoe UI"/>
      <w:sz w:val="16"/>
      <w:szCs w:val="16"/>
    </w:rPr>
  </w:style>
  <w:style w:type="paragraph" w:styleId="Revision">
    <w:name w:val="Revision"/>
    <w:hidden/>
    <w:uiPriority w:val="99"/>
    <w:semiHidden/>
    <w:rsid w:val="004A5017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TMLCite">
    <w:name w:val="HTML Cite"/>
    <w:uiPriority w:val="99"/>
    <w:semiHidden/>
    <w:unhideWhenUsed/>
    <w:rsid w:val="004A5017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4A5017"/>
  </w:style>
  <w:style w:type="paragraph" w:customStyle="1" w:styleId="Tablefootnote">
    <w:name w:val="Table footnote"/>
    <w:basedOn w:val="Normal"/>
    <w:qFormat/>
    <w:rsid w:val="004A5017"/>
    <w:rPr>
      <w:sz w:val="20"/>
    </w:rPr>
  </w:style>
  <w:style w:type="paragraph" w:styleId="NormalWeb">
    <w:name w:val="Normal (Web)"/>
    <w:basedOn w:val="Normal"/>
    <w:uiPriority w:val="99"/>
    <w:unhideWhenUsed/>
    <w:rsid w:val="004A5017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4A5017"/>
    <w:pPr>
      <w:numPr>
        <w:numId w:val="33"/>
      </w:numPr>
    </w:pPr>
  </w:style>
  <w:style w:type="paragraph" w:customStyle="1" w:styleId="Tabletext">
    <w:name w:val="Table text"/>
    <w:basedOn w:val="Normal"/>
    <w:qFormat/>
    <w:rsid w:val="004A5017"/>
    <w:pPr>
      <w:jc w:val="center"/>
    </w:pPr>
    <w:rPr>
      <w:color w:val="000000"/>
    </w:rPr>
  </w:style>
  <w:style w:type="paragraph" w:customStyle="1" w:styleId="Tableheader">
    <w:name w:val="Table header"/>
    <w:basedOn w:val="Normal"/>
    <w:qFormat/>
    <w:rsid w:val="004A5017"/>
    <w:pPr>
      <w:jc w:val="center"/>
    </w:pPr>
    <w:rPr>
      <w:rFonts w:eastAsia="Times New Roman"/>
      <w:b/>
      <w:bCs/>
      <w:color w:val="000000"/>
    </w:rPr>
  </w:style>
  <w:style w:type="paragraph" w:styleId="ListBullet">
    <w:name w:val="List Bullet"/>
    <w:basedOn w:val="Normal"/>
    <w:uiPriority w:val="99"/>
    <w:unhideWhenUsed/>
    <w:rsid w:val="004A5017"/>
    <w:pPr>
      <w:numPr>
        <w:numId w:val="25"/>
      </w:numPr>
      <w:ind w:left="426" w:hanging="426"/>
    </w:pPr>
  </w:style>
  <w:style w:type="paragraph" w:styleId="ListBullet2">
    <w:name w:val="List Bullet 2"/>
    <w:basedOn w:val="Normal"/>
    <w:uiPriority w:val="99"/>
    <w:unhideWhenUsed/>
    <w:rsid w:val="004A5017"/>
    <w:pPr>
      <w:numPr>
        <w:numId w:val="2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A5017"/>
    <w:rPr>
      <w:rFonts w:eastAsia="SimSun"/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5017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customStyle="1" w:styleId="MDPI31text">
    <w:name w:val="MDPI_3.1_text"/>
    <w:qFormat/>
    <w:rsid w:val="004A5017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styleId="PlaceholderText">
    <w:name w:val="Placeholder Text"/>
    <w:basedOn w:val="DefaultParagraphFont"/>
    <w:uiPriority w:val="99"/>
    <w:semiHidden/>
    <w:rsid w:val="004A5017"/>
    <w:rPr>
      <w:color w:val="808080"/>
    </w:rPr>
  </w:style>
  <w:style w:type="character" w:customStyle="1" w:styleId="fontstyle01">
    <w:name w:val="fontstyle01"/>
    <w:basedOn w:val="DefaultParagraphFont"/>
    <w:rsid w:val="004A501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A501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Figurestext">
    <w:name w:val="Figures text"/>
    <w:basedOn w:val="Tabletext"/>
    <w:locked/>
    <w:rsid w:val="004A5017"/>
    <w:pPr>
      <w:spacing w:before="120"/>
    </w:pPr>
    <w:rPr>
      <w:rFonts w:ascii="Arial" w:eastAsia="Times New Roman" w:hAnsi="Arial" w:cs="Arial"/>
      <w:color w:val="auto"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4A5017"/>
    <w:pPr>
      <w:spacing w:line="240" w:lineRule="auto"/>
    </w:pPr>
    <w:rPr>
      <w:rFonts w:eastAsiaTheme="minorHAns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5017"/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A5017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Normal"/>
    <w:rsid w:val="004A5017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Normal"/>
    <w:rsid w:val="004A501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Manuscript">
    <w:name w:val="Manuscript"/>
    <w:basedOn w:val="Normal"/>
    <w:link w:val="ManuscriptChar"/>
    <w:qFormat/>
    <w:rsid w:val="004A5017"/>
    <w:pPr>
      <w:spacing w:after="240"/>
    </w:pPr>
    <w:rPr>
      <w:rFonts w:eastAsia="Times New Roman"/>
      <w:szCs w:val="20"/>
      <w:lang w:val="en-GB"/>
    </w:rPr>
  </w:style>
  <w:style w:type="character" w:customStyle="1" w:styleId="ManuscriptChar">
    <w:name w:val="Manuscript Char"/>
    <w:link w:val="Manuscript"/>
    <w:rsid w:val="004A5017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st">
    <w:name w:val="st"/>
    <w:basedOn w:val="DefaultParagraphFont"/>
    <w:rsid w:val="004A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Amrutkar</dc:creator>
  <cp:keywords/>
  <dc:description/>
  <cp:lastModifiedBy>Neha Amrutkar</cp:lastModifiedBy>
  <cp:revision>1</cp:revision>
  <dcterms:created xsi:type="dcterms:W3CDTF">2021-06-11T15:27:00Z</dcterms:created>
  <dcterms:modified xsi:type="dcterms:W3CDTF">2021-06-11T15:28:00Z</dcterms:modified>
</cp:coreProperties>
</file>